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wmf" ContentType="image/x-w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Times New Roman" w:hAnsi="Times New Roman"/>
        </w:rPr>
      </w:pPr>
      <w:r>
        <w:rPr>
          <w:rFonts w:cs="Book Antiqua"/>
          <w:b/>
          <w:bCs/>
          <w:i/>
          <w:iCs/>
          <w:shadow/>
          <w:sz w:val="32"/>
        </w:rPr>
        <w:t xml:space="preserve">O BEC    </w:t>
      </w:r>
      <w:r>
        <w:rPr>
          <w:rFonts w:cs="Book Antiqua"/>
          <w:b/>
          <w:bCs/>
          <w:i/>
          <w:iCs/>
          <w:shadow/>
          <w:sz w:val="32"/>
          <w:szCs w:val="32"/>
        </w:rPr>
        <w:t>ĽUBEĽA</w:t>
      </w:r>
    </w:p>
    <w:p>
      <w:pPr>
        <w:pStyle w:val="Hlavika"/>
        <w:tabs>
          <w:tab w:val="left" w:pos="3060" w:leader="none"/>
          <w:tab w:val="center" w:pos="4536" w:leader="none"/>
          <w:tab w:val="right" w:pos="9072" w:leader="none"/>
        </w:tabs>
        <w:spacing w:lineRule="auto" w:line="360"/>
        <w:jc w:val="center"/>
        <w:rPr/>
      </w:pPr>
      <w:r>
        <w:rPr>
          <w:rFonts w:cs="Book Antiqua" w:ascii="Book Antiqua" w:hAnsi="Book Antiqua"/>
          <w:b/>
          <w:bCs/>
          <w:i/>
          <w:iCs/>
          <w:shadow/>
          <w:sz w:val="28"/>
        </w:rPr>
        <w:t xml:space="preserve">Ľubeľa 346 </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14   Ľubeľa</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b/>
          <w:bCs/>
          <w:sz w:val="52"/>
          <w:szCs w:val="52"/>
        </w:rPr>
        <w:t>Výročná správa  obce  Ľubeľa</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2017</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Erik Gemzický PhD.</w:t>
      </w:r>
    </w:p>
    <w:p>
      <w:pPr>
        <w:pStyle w:val="Normal"/>
        <w:tabs>
          <w:tab w:val="left" w:pos="7095" w:leader="none"/>
          <w:tab w:val="left" w:pos="7513" w:leader="none"/>
        </w:tabs>
        <w:jc w:val="both"/>
        <w:rPr/>
      </w:pPr>
      <w:r>
        <w:rPr>
          <w:b/>
          <w:sz w:val="26"/>
          <w:szCs w:val="26"/>
        </w:rPr>
        <w:t>V Ľubeli, september 2018</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Kultúrne pamiatky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Hospodárstvo</w:t>
      </w:r>
    </w:p>
    <w:p>
      <w:pPr>
        <w:pStyle w:val="Normal"/>
        <w:ind w:firstLine="708"/>
        <w:jc w:val="both"/>
        <w:rPr/>
      </w:pPr>
      <w:r>
        <w:rPr/>
        <w:t>Zdravotníctvo</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2017 a jeho plnenie</w:t>
      </w:r>
    </w:p>
    <w:p>
      <w:pPr>
        <w:pStyle w:val="Normal"/>
        <w:ind w:firstLine="708"/>
        <w:jc w:val="both"/>
        <w:rPr/>
      </w:pPr>
      <w:r>
        <w:rPr/>
        <w:t>Rozbor plnenia príjmov za rok 2017</w:t>
      </w:r>
    </w:p>
    <w:p>
      <w:pPr>
        <w:pStyle w:val="Normal"/>
        <w:ind w:firstLine="708"/>
        <w:jc w:val="both"/>
        <w:rPr/>
      </w:pPr>
      <w:r>
        <w:rPr/>
        <w:t>Rozbor plnenia výdavkov  za rok 2017</w:t>
      </w:r>
    </w:p>
    <w:p>
      <w:pPr>
        <w:pStyle w:val="Normal"/>
        <w:ind w:firstLine="708"/>
        <w:jc w:val="both"/>
        <w:rPr/>
      </w:pPr>
      <w:r>
        <w:rPr/>
      </w:r>
    </w:p>
    <w:p>
      <w:pPr>
        <w:pStyle w:val="Normal"/>
        <w:ind w:firstLine="708"/>
        <w:jc w:val="both"/>
        <w:rPr/>
      </w:pPr>
      <w:r>
        <w:rPr>
          <w:b/>
          <w:bCs/>
        </w:rPr>
        <w:t>3. Hospodárenie obce a rozdelenie výsledku hospodárenia za rok 2017</w:t>
      </w:r>
    </w:p>
    <w:p>
      <w:pPr>
        <w:pStyle w:val="Normal"/>
        <w:ind w:firstLine="708"/>
        <w:jc w:val="both"/>
        <w:rPr/>
      </w:pPr>
      <w:r>
        <w:rPr/>
        <w:t>Skutočnosť a výsledok rozpočtového hospodárenia za rok 2017</w:t>
      </w:r>
    </w:p>
    <w:p>
      <w:pPr>
        <w:pStyle w:val="Normal"/>
        <w:ind w:firstLine="708"/>
        <w:jc w:val="both"/>
        <w:rPr/>
      </w:pPr>
      <w:r>
        <w:rPr/>
      </w:r>
    </w:p>
    <w:p>
      <w:pPr>
        <w:pStyle w:val="Normal"/>
        <w:ind w:firstLine="708"/>
        <w:jc w:val="both"/>
        <w:rPr/>
      </w:pPr>
      <w:r>
        <w:rPr>
          <w:b/>
          <w:bCs/>
        </w:rPr>
        <w:t>4. Bilancia aktív a pasív k 31.12.2017</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31.12.2017</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2017</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pPr>
      <w:r>
        <w:rPr>
          <w:b/>
          <w:bCs/>
        </w:rPr>
        <w:t>Názov:</w:t>
      </w:r>
      <w:r>
        <w:rPr/>
        <w:t xml:space="preserve">   Obec </w:t>
      </w:r>
      <w:r>
        <w:rPr>
          <w:b w:val="false"/>
          <w:bCs w:val="false"/>
        </w:rPr>
        <w:t>Ľubeľa</w:t>
      </w:r>
    </w:p>
    <w:p>
      <w:pPr>
        <w:pStyle w:val="Normal"/>
        <w:rPr/>
      </w:pPr>
      <w:r>
        <w:rPr>
          <w:b/>
          <w:bCs/>
        </w:rPr>
        <w:t>Adresa:</w:t>
      </w:r>
      <w:r>
        <w:rPr/>
        <w:t xml:space="preserve"> Obecný úrad Ľubeľa</w:t>
      </w:r>
    </w:p>
    <w:p>
      <w:pPr>
        <w:pStyle w:val="Normal"/>
        <w:ind w:firstLine="708"/>
        <w:rPr/>
      </w:pPr>
      <w:r>
        <w:rPr/>
        <w:t xml:space="preserve">   </w:t>
      </w:r>
      <w:r>
        <w:rPr/>
        <w:t>Ľubeľa 346</w:t>
      </w:r>
    </w:p>
    <w:p>
      <w:pPr>
        <w:pStyle w:val="Normal"/>
        <w:ind w:left="708" w:firstLine="143"/>
        <w:rPr/>
      </w:pPr>
      <w:r>
        <w:rPr/>
        <w:t>032 14  Ľubeľa</w:t>
      </w:r>
    </w:p>
    <w:p>
      <w:pPr>
        <w:pStyle w:val="Normal"/>
        <w:rPr/>
      </w:pPr>
      <w:r>
        <w:rPr>
          <w:b/>
        </w:rPr>
        <w:t>Štatutárny orgán:</w:t>
      </w:r>
      <w:r>
        <w:rPr/>
        <w:t xml:space="preserve"> Ing. Erik Gemzický PhD.</w:t>
      </w:r>
    </w:p>
    <w:p>
      <w:pPr>
        <w:pStyle w:val="Normal"/>
        <w:rPr/>
      </w:pPr>
      <w:r>
        <w:rPr/>
        <w:t>IČO: 00315567</w:t>
      </w:r>
    </w:p>
    <w:p>
      <w:pPr>
        <w:pStyle w:val="Normal"/>
        <w:rPr/>
      </w:pPr>
      <w:r>
        <w:rPr/>
        <w:t xml:space="preserve">DIČ: </w:t>
      </w:r>
      <w:r>
        <w:rPr>
          <w:b w:val="false"/>
          <w:bCs w:val="false"/>
        </w:rPr>
        <w:t>2020581552</w:t>
      </w:r>
    </w:p>
    <w:p>
      <w:pPr>
        <w:pStyle w:val="Normal"/>
        <w:rPr>
          <w:b/>
          <w:b/>
          <w:bCs/>
        </w:rPr>
      </w:pPr>
      <w:r>
        <w:rPr>
          <w:b/>
          <w:bCs/>
        </w:rPr>
        <w:t>Právna forma:</w:t>
      </w:r>
      <w:r>
        <w:rPr/>
        <w:t xml:space="preserve"> právnická osoba </w:t>
      </w:r>
    </w:p>
    <w:p>
      <w:pPr>
        <w:pStyle w:val="Normal"/>
        <w:rPr/>
      </w:pPr>
      <w:r>
        <w:rPr>
          <w:b/>
          <w:bCs/>
        </w:rPr>
        <w:t>e-mail:</w:t>
      </w:r>
      <w:r>
        <w:rPr/>
        <w:t xml:space="preserve"> </w:t>
      </w:r>
      <w:hyperlink r:id="rId3">
        <w:r>
          <w:rPr>
            <w:rStyle w:val="Internetovodkaz"/>
          </w:rPr>
          <w:t>obeclubela@imafex.sk</w:t>
        </w:r>
      </w:hyperlink>
      <w:r>
        <w:rPr/>
        <w:t xml:space="preserve"> </w:t>
      </w:r>
    </w:p>
    <w:p>
      <w:pPr>
        <w:pStyle w:val="Normal"/>
        <w:rPr/>
      </w:pPr>
      <w:hyperlink r:id="rId4">
        <w:r>
          <w:rPr>
            <w:rStyle w:val="Internetovodkaz"/>
          </w:rPr>
          <w:t xml:space="preserve">web: </w:t>
        </w:r>
      </w:hyperlink>
      <w:hyperlink r:id="rId5" w:tgtFrame="newwindow">
        <w:r>
          <w:rPr>
            <w:rStyle w:val="Internetovodkaz"/>
          </w:rPr>
          <w:t>www.lubela.sk</w:t>
        </w:r>
      </w:hyperlink>
      <w:r>
        <w:rPr>
          <w:rStyle w:val="Internetovodkaz"/>
        </w:rPr>
        <w:t xml:space="preserve"> </w:t>
      </w:r>
    </w:p>
    <w:p>
      <w:pPr>
        <w:pStyle w:val="Normal"/>
        <w:rPr/>
      </w:pPr>
      <w:r>
        <w:rPr>
          <w:b/>
          <w:bCs/>
        </w:rPr>
        <w:t xml:space="preserve">telefón a fax: </w:t>
      </w:r>
      <w:r>
        <w:rPr>
          <w:sz w:val="24"/>
          <w:szCs w:val="24"/>
        </w:rPr>
        <w:t>044/559 32 21</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Dúbrava, Liptovské Kľačany</w:t>
      </w:r>
    </w:p>
    <w:p>
      <w:pPr>
        <w:pStyle w:val="Normal"/>
        <w:rPr/>
      </w:pPr>
      <w:r>
        <w:rPr/>
        <w:t xml:space="preserve">Celková rozloha obce :   </w:t>
        <w:tab/>
        <w:t>1746 ha</w:t>
      </w:r>
    </w:p>
    <w:p>
      <w:pPr>
        <w:pStyle w:val="Normal"/>
        <w:rPr/>
      </w:pPr>
      <w:r>
        <w:rPr/>
        <w:t xml:space="preserve">Nadmorská výška :  </w:t>
        <w:tab/>
        <w:tab/>
        <w:t xml:space="preserve">617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Ľubeľa  k 31.12.2017:  </w:t>
      </w:r>
      <w:r>
        <w:rPr>
          <w:b w:val="false"/>
          <w:bCs w:val="false"/>
          <w:color w:val="auto"/>
        </w:rPr>
        <w:t>1102 obyvateľov (63,12 obyvateľa/km²)</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lnywebov"/>
        <w:jc w:val="both"/>
        <w:rPr>
          <w:color w:val="auto"/>
        </w:rPr>
      </w:pPr>
      <w:r>
        <w:rPr>
          <w:color w:val="auto"/>
        </w:rPr>
        <w:t xml:space="preserve">Najstaršia písomná správa o už existujúcej dedine pochádza z roku 1278. V tomto roku daroval kráľ Ladislav IV. Jánovi Galicusovi, majiteľovi Vlách, valónskej národnosti, územný majetok ležiaci medzi Ľubeľou a Vlachmi, dovtedy patriaci k Ľubeli. Do tohto roku bolo územie Ľubele výlučným majetkom uhorského kráľa. Kráľ si časť ľubeľských majetkov ponechal aj v 14. a 15. storočí. Patrili ku hradnému panstvu Liptovského hradu. Po zániku Liptovského hradu v roku 1474 bola kráľovská časť Ľubele pričlenená k majetkom hradu Likava. V tomto období sa pre spomínanú časť obce zaužíval názov Kráľovská (Kyral Lubele). Na začiatku 16. storočia bolo v Kráľovej Ľubeli 6 sedliackych usadlostí, jedna usadlosť richtára a dve usadlosti slobodníkov (libertínov). Od stredoveku boli oblasti Kľačian, Dúbravy a Ľubele predmetom záujmu bohatých ťažiarov najmä z okolia Banskej Bystrice a Banskej Štiavnice. V tomto období sa v údolí Kľačianky ťažilo najmä zlato. Od konca 16. storočia sa časť Ľubele vo vlastníctve zemanov nazývala Zemianska Ľubeľa (Lwbele Nymes, Nyemes Lwbele). Udalosti v Liptove (hladomor, cholera) na konci 16. storočia a začiatku 17. storočia spôsobili úbytok obyvateľstva v tejto oblasti. V roku 1831 postihla celý Liptov a iné oblasti Uhorska dovtedy nevídaná epidémia cholery. Už pred vypuknutím epidémie v Liptove bolo 15. júla 1831 vydané krajinské nariadenie, ktoré malo zamedziť šírenie cholery. Cholera sa v Liptove prejavila prvýkrát 25. júla 1831 a trvala až do 15. januára 1832. V Ľubeli vtedy zomrelo 81 ľudí. Od polovice 19. storočia v Ľubeli existovala rímsko-katolícka škola. Mená učiteľov v tomto období nie sú známe. V roku 1900 si postavili novú drevenú budovu jednotriednej školy. Prvým učiteľom bol tunajší roľník Adam Bubniak Dipko. Neskôr bola škola trojtriedna a na jej čele stál správca-učiteľ Ambróz Lukáč. Rímsko-katolícka škola v Ľubeli existovala do roku 1945, keď bola pretvorená na Národnú školu. Po vzniku Československej republiky v roku 1918 nasledovali aj v Ľubeli prevratné zmeny. V roku 1923 v obci zorganizovali a zahrali prvé ochotnícke divadelné predstavenie. V roku 1924 sa obidve obce zlúčili do jednej politickej obce s názvom Ľubeľa. V roku 1932 vznikol v Ľubeli dobrovoľný hasičský zbor. Ešte pred vypuknutím Slovenského národného povstania odišla štvorčlenná skupina odbojárov pod vedením Petra Kubíka 9. augusta 1944 do partizánskeho tábora pod Prašivú a neskôr sa stali príslušníkmi brigády kapitána Jána Nálepku a 1. československej brigády M. R. Štefánika. Po ústupe partizánskych a vojenských jednotiek do hôr, boli obyvatelia obce v úzkom kontakte s partizánskym oddielom Kirov a štvrtou partizánskou brigádou. Od januára 1945 bolo v Ľubeli umiestnených 74 evakuantov z východného Slovenska. Po tom, čo v marci 1945 partizáni napadli v obci nemeckú hliadku a zastrelili dvoch nemeckých vojakov, nasledovali represálie. Trestná jednotka SS 24. marca 1945 obkľúčila obec. Najprv ju ostreľovala a potom obsadila. Nemeckí vojaci zastrelili 4 ľudí, zapálili 6 domov a 19 hospodárskych budov. Do koncentračných táborov nakoniec odvliekli 31 obyvateľov. Obec bola oslobodená 4. apríla 1945 sovietskou armádou a 1. čs. armádnym zborom. V súčasnosti má obec 1140 obyvateľov a je napojená na Liptovskú cyklomagistrálu. V tesnej blízkosti sa nachádza vodné dielo Liptovská Mara, termálne Bešeňovské kúpaliská, Aquapark v Liptovskom Trnovci. </w:t>
      </w:r>
    </w:p>
    <w:p>
      <w:pPr>
        <w:pStyle w:val="Normal"/>
        <w:rPr>
          <w:color w:val="auto"/>
        </w:rPr>
      </w:pPr>
      <w:r>
        <w:rPr>
          <w:b/>
          <w:bCs/>
          <w:color w:val="auto"/>
          <w:sz w:val="28"/>
          <w:szCs w:val="28"/>
        </w:rPr>
        <w:t>Kultúrne pamiatky v obci:</w:t>
      </w:r>
    </w:p>
    <w:p>
      <w:pPr>
        <w:pStyle w:val="Normal"/>
        <w:rPr>
          <w:color w:val="EF413D"/>
        </w:rPr>
      </w:pPr>
      <w:r>
        <w:rPr>
          <w:color w:val="EF413D"/>
        </w:rPr>
      </w:r>
    </w:p>
    <w:p>
      <w:pPr>
        <w:pStyle w:val="Normal"/>
        <w:rPr>
          <w:color w:val="auto"/>
        </w:rPr>
      </w:pPr>
      <w:r>
        <w:rPr>
          <w:color w:val="auto"/>
        </w:rPr>
        <w:t>V obci sa nenachádzajú kultúrne pamiatky významnejšieho charakteru.</w:t>
      </w:r>
    </w:p>
    <w:p>
      <w:pPr>
        <w:pStyle w:val="Normal"/>
        <w:rPr>
          <w:b/>
          <w:b/>
          <w:bCs/>
          <w:sz w:val="28"/>
          <w:szCs w:val="28"/>
        </w:rPr>
      </w:pPr>
      <w:r>
        <w:rPr>
          <w:b/>
          <w:bCs/>
          <w:sz w:val="28"/>
          <w:szCs w:val="28"/>
        </w:rPr>
      </w:r>
    </w:p>
    <w:p>
      <w:pPr>
        <w:pStyle w:val="Normal"/>
        <w:jc w:val="both"/>
        <w:rPr>
          <w:b/>
          <w:b/>
          <w:color w:val="002060"/>
          <w:sz w:val="28"/>
          <w:szCs w:val="28"/>
        </w:rPr>
      </w:pPr>
      <w:r>
        <w:rPr>
          <w:b/>
          <w:color w:val="auto"/>
          <w:sz w:val="28"/>
          <w:szCs w:val="28"/>
        </w:rPr>
        <w:t>Významné osobnosti obce:</w:t>
      </w:r>
    </w:p>
    <w:p>
      <w:pPr>
        <w:pStyle w:val="Normal"/>
        <w:jc w:val="both"/>
        <w:rPr>
          <w:b/>
          <w:b/>
          <w:color w:val="EF413D"/>
          <w:sz w:val="28"/>
          <w:szCs w:val="28"/>
        </w:rPr>
      </w:pPr>
      <w:r>
        <w:rPr>
          <w:b/>
          <w:color w:val="EF413D"/>
          <w:sz w:val="28"/>
          <w:szCs w:val="28"/>
        </w:rPr>
      </w:r>
    </w:p>
    <w:p>
      <w:pPr>
        <w:pStyle w:val="Normal"/>
        <w:spacing w:lineRule="auto" w:line="360"/>
        <w:jc w:val="both"/>
        <w:rPr>
          <w:b w:val="false"/>
          <w:b w:val="false"/>
          <w:bCs w:val="false"/>
          <w:color w:val="auto"/>
          <w:sz w:val="24"/>
          <w:szCs w:val="24"/>
        </w:rPr>
      </w:pPr>
      <w:r>
        <w:rPr>
          <w:b w:val="false"/>
          <w:bCs w:val="false"/>
          <w:color w:val="auto"/>
          <w:sz w:val="24"/>
          <w:szCs w:val="24"/>
        </w:rPr>
        <w:t>Jonáš Bohumil Guoth – významný národovec a lekár</w:t>
      </w:r>
    </w:p>
    <w:p>
      <w:pPr>
        <w:pStyle w:val="Normal"/>
        <w:rPr>
          <w:b/>
          <w:b/>
          <w:bCs/>
          <w:color w:val="EF413D"/>
          <w:sz w:val="28"/>
          <w:szCs w:val="28"/>
        </w:rPr>
      </w:pPr>
      <w:r>
        <w:rPr>
          <w:b/>
          <w:bCs/>
          <w:color w:val="EF413D"/>
          <w:sz w:val="28"/>
          <w:szCs w:val="28"/>
        </w:rPr>
      </w:r>
    </w:p>
    <w:p>
      <w:pPr>
        <w:pStyle w:val="Normal"/>
        <w:rPr>
          <w:color w:val="auto"/>
        </w:rPr>
      </w:pPr>
      <w:r>
        <w:rPr>
          <w:b/>
          <w:bCs/>
          <w:color w:val="auto"/>
          <w:sz w:val="28"/>
          <w:szCs w:val="28"/>
        </w:rPr>
        <w:t xml:space="preserve">Symboly obce: </w:t>
      </w:r>
    </w:p>
    <w:p>
      <w:pPr>
        <w:pStyle w:val="Normal"/>
        <w:rPr>
          <w:color w:val="auto"/>
        </w:rPr>
      </w:pPr>
      <w:r>
        <w:rPr>
          <w:color w:val="auto"/>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color w:val="EF413D"/>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color w:val="EF413D"/>
          <w:sz w:val="20"/>
          <w:szCs w:val="20"/>
        </w:rPr>
        <w:t xml:space="preserve">                                                           </w:t>
      </w:r>
      <w:r>
        <w:rPr>
          <w:i/>
          <w:iCs/>
          <w:color w:val="auto"/>
          <w:sz w:val="20"/>
          <w:szCs w:val="20"/>
        </w:rPr>
        <w:t xml:space="preserve">  •</w:t>
      </w:r>
      <w:r>
        <w:rPr>
          <w:i/>
          <w:iCs/>
          <w:color w:val="auto"/>
          <w:sz w:val="20"/>
          <w:szCs w:val="20"/>
        </w:rPr>
        <w:t xml:space="preserve">Obecný erb             • Obecná vlajka         </w:t>
      </w:r>
    </w:p>
    <w:p>
      <w:pPr>
        <w:pStyle w:val="Default"/>
        <w:rPr>
          <w:b/>
          <w:b/>
        </w:rPr>
      </w:pPr>
      <w:r>
        <w:rPr>
          <w:b/>
        </w:rPr>
      </w:r>
    </w:p>
    <w:p>
      <w:pPr>
        <w:pStyle w:val="Default"/>
        <w:rPr/>
      </w:pPr>
      <w:r>
        <w:rPr>
          <w:rFonts w:cs="Times New Roman" w:ascii="Times New Roman" w:hAnsi="Times New Roman"/>
          <w:b/>
          <w:bCs/>
        </w:rPr>
        <w:t xml:space="preserve">Erb obce </w:t>
      </w:r>
      <w:r>
        <w:rPr>
          <w:rFonts w:cs="Times New Roman" w:ascii="Times New Roman" w:hAnsi="Times New Roman"/>
        </w:rPr>
        <w:t xml:space="preserve">: zo spodného okraja modrého štítu vyrastajúce zlaté obrátené cepy sprevádzané vľavo striebornými baníckymi kladivkami na zlatých skrížených rukovätiach, to všetko prevýšené zlatou, rubínmi a perlami zdobenou korunou. </w:t>
      </w:r>
    </w:p>
    <w:p>
      <w:pPr>
        <w:pStyle w:val="Default"/>
        <w:rPr/>
      </w:pPr>
      <w:r>
        <w:rPr>
          <w:rFonts w:cs="Times New Roman" w:ascii="Times New Roman" w:hAnsi="Times New Roman"/>
          <w:b/>
          <w:bCs/>
        </w:rPr>
        <w:t xml:space="preserve">Vlajka obce </w:t>
      </w:r>
      <w:r>
        <w:rPr>
          <w:rFonts w:cs="Times New Roman" w:ascii="Times New Roman" w:hAnsi="Times New Roman"/>
        </w:rPr>
        <w:t xml:space="preserve">: pozostáva zo štyroch pozdĺžnych pruhov vo farbách bielej (1/6), červenej (1/6), modrej (2/6) a žltej (1/6). Vlajka má pomer strán 2:3 a ukončená je tromi cípmi, t. j. dvomi zástrihmi, siahajúcimi do tretiny jej listu </w:t>
      </w:r>
    </w:p>
    <w:p>
      <w:pPr>
        <w:pStyle w:val="Default"/>
        <w:jc w:val="both"/>
        <w:rPr>
          <w:b w:val="false"/>
          <w:b w:val="false"/>
          <w:bCs w:val="false"/>
          <w:color w:val="auto"/>
        </w:rPr>
      </w:pPr>
      <w:r>
        <w:rPr>
          <w:rFonts w:cs="Times New Roman" w:ascii="Times New Roman" w:hAnsi="Times New Roman"/>
          <w:b/>
          <w:bCs/>
          <w:color w:val="auto"/>
        </w:rPr>
        <w:t>Pečať obce</w:t>
      </w:r>
      <w:r>
        <w:rPr>
          <w:rFonts w:cs="Times New Roman" w:ascii="Times New Roman" w:hAnsi="Times New Roman"/>
          <w:b w:val="false"/>
          <w:bCs w:val="false"/>
          <w:color w:val="auto"/>
        </w:rPr>
        <w:t xml:space="preserve"> : je tvorená okružím veľkého znaku a kruhopisom “OBEC ĽUBEĽA“ po obvode. Stred tvorí erb obce Ľubeľa. </w:t>
      </w:r>
    </w:p>
    <w:p>
      <w:pPr>
        <w:pStyle w:val="Normal"/>
        <w:jc w:val="both"/>
        <w:rPr>
          <w:b w:val="false"/>
          <w:b w:val="false"/>
          <w:bCs w:val="false"/>
          <w:color w:val="auto"/>
        </w:rPr>
      </w:pPr>
      <w:r>
        <w:rPr>
          <w:b w:val="false"/>
          <w:bCs w:val="false"/>
          <w:color w:val="auto"/>
        </w:rPr>
      </w:r>
    </w:p>
    <w:p>
      <w:pPr>
        <w:pStyle w:val="Normal"/>
        <w:rPr>
          <w:color w:val="auto"/>
        </w:rPr>
      </w:pPr>
      <w:r>
        <w:rPr>
          <w:b/>
          <w:bCs/>
          <w:color w:val="auto"/>
          <w:sz w:val="28"/>
          <w:szCs w:val="28"/>
        </w:rPr>
        <w:t>Obec a jej úlohy</w:t>
      </w:r>
    </w:p>
    <w:p>
      <w:pPr>
        <w:pStyle w:val="Normal"/>
        <w:ind w:firstLine="708"/>
        <w:jc w:val="both"/>
        <w:rPr>
          <w:color w:val="auto"/>
        </w:rPr>
      </w:pPr>
      <w:r>
        <w:rPr>
          <w:color w:val="auto"/>
        </w:rPr>
        <w:t>Obec Ľubeľa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color w:val="auto"/>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color w:val="auto"/>
        </w:rPr>
      </w:pPr>
      <w:r>
        <w:rPr>
          <w:b/>
          <w:bCs/>
          <w:color w:val="auto"/>
          <w:sz w:val="28"/>
          <w:szCs w:val="28"/>
        </w:rPr>
        <w:t>Základné orgány obce:</w:t>
      </w:r>
    </w:p>
    <w:p>
      <w:pPr>
        <w:pStyle w:val="Normal"/>
        <w:rPr>
          <w:color w:val="auto"/>
        </w:rPr>
      </w:pPr>
      <w:r>
        <w:rPr>
          <w:color w:val="auto"/>
        </w:rPr>
        <w:t>1.Obecné zastupiteľstvo</w:t>
      </w:r>
    </w:p>
    <w:p>
      <w:pPr>
        <w:pStyle w:val="Normal"/>
        <w:rPr>
          <w:b/>
          <w:b/>
        </w:rPr>
      </w:pPr>
      <w:r>
        <w:rPr>
          <w:color w:val="auto"/>
        </w:rPr>
        <w:t xml:space="preserve">2.Starosta obce </w:t>
      </w:r>
    </w:p>
    <w:p>
      <w:pPr>
        <w:pStyle w:val="Normal"/>
        <w:rPr>
          <w:b/>
          <w:b/>
          <w:color w:val="auto"/>
        </w:rPr>
      </w:pPr>
      <w:r>
        <w:rPr>
          <w:b/>
          <w:color w:val="auto"/>
        </w:rPr>
      </w:r>
    </w:p>
    <w:p>
      <w:pPr>
        <w:pStyle w:val="Normal"/>
        <w:ind w:firstLine="708"/>
        <w:jc w:val="both"/>
        <w:rPr/>
      </w:pPr>
      <w:r>
        <w:rPr>
          <w:color w:val="auto"/>
        </w:rPr>
        <w:t>V roku 2017 vykonávali samosprávu obce jeho obyvatelia prostredníctvom volených orgánov obce, ktoré vzišli z komunálnych volieb na obdobie 4 rokov zo dňa 1. decembra 2014.</w:t>
      </w:r>
    </w:p>
    <w:p>
      <w:pPr>
        <w:pStyle w:val="Normal"/>
        <w:ind w:firstLine="708"/>
        <w:jc w:val="both"/>
        <w:rPr/>
      </w:pPr>
      <w:r>
        <w:rPr>
          <w:color w:val="auto"/>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color w:val="auto"/>
        </w:rPr>
        <w:t xml:space="preserve">Obecné zastupiteľstvo je zastupiteľský zbor obce Ľubeľa zložený z poslancov zvolených v priamych voľbách obyvateľmi obce Ľubeľa. Obecné zastupiteľstvo v Ľubeli má 9 poslancov. Funkčné obdobie poslancov končí zložením sľubu poslancov novozvoleného obecného zastupiteľstva. Obecné zastupiteľstvo rozhoduje o všetkých základných otázkach života obce Ľubeľa a vykonáva svoju vyhradenú právomoc podľa § 11 ods. 4 zákona č. 369/1990 Zb. o obecnom zriadení v znení neskorších zmien a doplnkov. </w:t>
      </w:r>
    </w:p>
    <w:p>
      <w:pPr>
        <w:pStyle w:val="Normal"/>
        <w:jc w:val="both"/>
        <w:rPr>
          <w:color w:val="auto"/>
          <w:highlight w:val="red"/>
        </w:rPr>
      </w:pPr>
      <w:r>
        <w:rPr>
          <w:color w:val="auto"/>
          <w:highlight w:val="red"/>
        </w:rPr>
      </w:r>
    </w:p>
    <w:p>
      <w:pPr>
        <w:pStyle w:val="Normal"/>
        <w:jc w:val="both"/>
        <w:rPr>
          <w:color w:val="auto"/>
        </w:rPr>
      </w:pPr>
      <w:r>
        <w:rPr>
          <w:b/>
          <w:color w:val="auto"/>
        </w:rPr>
        <w:t>Obecnému zastupiteľstvu je vyhradené najmä:</w:t>
      </w:r>
    </w:p>
    <w:p>
      <w:pPr>
        <w:pStyle w:val="Normal"/>
        <w:ind w:left="284" w:hanging="284"/>
        <w:jc w:val="both"/>
        <w:rPr>
          <w:color w:val="auto"/>
        </w:rPr>
      </w:pPr>
      <w:r>
        <w:rPr>
          <w:color w:val="auto"/>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color w:val="auto"/>
        </w:rPr>
      </w:pPr>
      <w:r>
        <w:rPr>
          <w:color w:val="auto"/>
        </w:rPr>
        <w:t>b) schvaľovať rozpočet obce a jeho zmeny, kontrolovať jeho čerpanie a schvaľovať záverečný účet, schvaľovať počet a v akej výške môže zmeny v rozpočte vykonávať starosta,</w:t>
      </w:r>
    </w:p>
    <w:p>
      <w:pPr>
        <w:pStyle w:val="Normal"/>
        <w:ind w:left="284" w:hanging="284"/>
        <w:jc w:val="both"/>
        <w:rPr>
          <w:color w:val="auto"/>
        </w:rPr>
      </w:pPr>
      <w:r>
        <w:rPr>
          <w:color w:val="auto"/>
        </w:rPr>
        <w:t>c) schvaľovať územný plán obce alebo jeho časti a koncepcie rozvoja jednotlivých oblasti života obce,</w:t>
      </w:r>
    </w:p>
    <w:p>
      <w:pPr>
        <w:pStyle w:val="Normal"/>
        <w:ind w:left="284" w:hanging="284"/>
        <w:jc w:val="both"/>
        <w:rPr>
          <w:color w:val="auto"/>
        </w:rPr>
      </w:pPr>
      <w:r>
        <w:rPr>
          <w:color w:val="auto"/>
        </w:rPr>
        <w:t>d) určovať náležitosti dane a poplatku poľa osobitných predpisov a rozhodovať o prijatí úveru alebo pôžičky,</w:t>
      </w:r>
    </w:p>
    <w:p>
      <w:pPr>
        <w:pStyle w:val="Normal"/>
        <w:ind w:left="284" w:hanging="284"/>
        <w:jc w:val="both"/>
        <w:rPr>
          <w:color w:val="auto"/>
        </w:rPr>
      </w:pPr>
      <w:r>
        <w:rPr>
          <w:color w:val="auto"/>
        </w:rPr>
        <w:t>e) vyhlasovať miestne referendum o najdôležitejších otázkach života a rozvoja obce a zvolávať verejné zhromaždenia občanov,</w:t>
      </w:r>
    </w:p>
    <w:p>
      <w:pPr>
        <w:pStyle w:val="Normal"/>
        <w:jc w:val="both"/>
        <w:rPr>
          <w:color w:val="auto"/>
        </w:rPr>
      </w:pPr>
      <w:r>
        <w:rPr>
          <w:color w:val="auto"/>
        </w:rPr>
        <w:t>f) uznášať sa na nariadeniach obce,</w:t>
      </w:r>
    </w:p>
    <w:p>
      <w:pPr>
        <w:pStyle w:val="Normal"/>
        <w:ind w:left="284" w:hanging="284"/>
        <w:jc w:val="both"/>
        <w:rPr>
          <w:color w:val="auto"/>
        </w:rPr>
      </w:pPr>
      <w:r>
        <w:rPr>
          <w:color w:val="auto"/>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auto"/>
        </w:rPr>
      </w:pPr>
      <w:r>
        <w:rPr>
          <w:color w:val="auto"/>
        </w:rPr>
        <w:t>h) schvaľovať združovanie obecných prostriedkov a činnosti a účasť v združeniach,</w:t>
      </w:r>
    </w:p>
    <w:p>
      <w:pPr>
        <w:pStyle w:val="Normal"/>
        <w:jc w:val="both"/>
        <w:rPr>
          <w:color w:val="auto"/>
        </w:rPr>
      </w:pPr>
      <w:r>
        <w:rPr>
          <w:color w:val="auto"/>
        </w:rPr>
        <w:t>i) zriaďovať orgány potrebné na samosprávu obce a určovať náplň ich práce,</w:t>
      </w:r>
    </w:p>
    <w:p>
      <w:pPr>
        <w:pStyle w:val="Normal"/>
        <w:jc w:val="both"/>
        <w:rPr>
          <w:color w:val="auto"/>
        </w:rPr>
      </w:pPr>
      <w:r>
        <w:rPr>
          <w:color w:val="auto"/>
        </w:rPr>
        <w:t>j) udeľovať čestné občianstvo obce, obecné vyznamenania a ceny,</w:t>
      </w:r>
    </w:p>
    <w:p>
      <w:pPr>
        <w:pStyle w:val="Normal"/>
        <w:ind w:left="284" w:hanging="284"/>
        <w:jc w:val="both"/>
        <w:rPr>
          <w:color w:val="auto"/>
        </w:rPr>
      </w:pPr>
      <w:r>
        <w:rPr>
          <w:color w:val="auto"/>
        </w:rPr>
        <w:t>k) voliť a odvolávať hlavného kontrolóra obce, určiť rozsah výkonu funkcie hlavného kontrolóra a jeho plat, schvaľovať odmenu hlavnému kontrolórovi,</w:t>
      </w:r>
    </w:p>
    <w:p>
      <w:pPr>
        <w:pStyle w:val="Normal"/>
        <w:jc w:val="both"/>
        <w:rPr>
          <w:color w:val="auto"/>
        </w:rPr>
      </w:pPr>
      <w:r>
        <w:rPr>
          <w:color w:val="auto"/>
        </w:rPr>
        <w:t>l) ustanoviť erb, vlajku obce, pečať obce,</w:t>
      </w:r>
    </w:p>
    <w:p>
      <w:pPr>
        <w:pStyle w:val="Normal"/>
        <w:ind w:left="284" w:hanging="284"/>
        <w:jc w:val="both"/>
        <w:rPr>
          <w:color w:val="auto"/>
        </w:rPr>
      </w:pPr>
      <w:r>
        <w:rPr>
          <w:color w:val="auto"/>
        </w:rPr>
        <w:t>m)schvaľovať štatút obce, rokovací poriadok obecného zastupiteľstva a zásady odmeňovania poslancov.</w:t>
      </w:r>
    </w:p>
    <w:p>
      <w:pPr>
        <w:pStyle w:val="Normal"/>
        <w:jc w:val="both"/>
        <w:rPr>
          <w:color w:val="auto"/>
        </w:rPr>
      </w:pPr>
      <w:r>
        <w:rPr>
          <w:color w:val="auto"/>
        </w:rPr>
        <w:t>Obecné zastupiteľstvo si môže vyhradiť rozhodovanie o akejkoľvek ďalšej otázke života obce.</w:t>
      </w:r>
    </w:p>
    <w:p>
      <w:pPr>
        <w:pStyle w:val="Normal"/>
        <w:ind w:firstLine="708"/>
        <w:jc w:val="both"/>
        <w:rPr>
          <w:color w:val="auto"/>
        </w:rPr>
      </w:pPr>
      <w:r>
        <w:rPr>
          <w:color w:val="auto"/>
        </w:rPr>
      </w:r>
    </w:p>
    <w:p>
      <w:pPr>
        <w:pStyle w:val="Normal"/>
        <w:ind w:firstLine="708"/>
        <w:jc w:val="both"/>
        <w:rPr>
          <w:color w:val="auto"/>
        </w:rPr>
      </w:pPr>
      <w:r>
        <w:rPr>
          <w:color w:val="auto"/>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Ľubeli..</w:t>
      </w:r>
    </w:p>
    <w:p>
      <w:pPr>
        <w:pStyle w:val="Normal"/>
        <w:suppressAutoHyphens w:val="false"/>
        <w:rPr>
          <w:rFonts w:ascii="ComicSansMS" w:hAnsi="ComicSansMS" w:cs="ComicSansMS"/>
          <w:b/>
          <w:b/>
          <w:bCs/>
          <w:color w:val="auto"/>
          <w:sz w:val="26"/>
          <w:szCs w:val="26"/>
        </w:rPr>
      </w:pPr>
      <w:r>
        <w:rPr>
          <w:rFonts w:cs="ComicSansMS" w:ascii="ComicSansMS" w:hAnsi="ComicSansMS"/>
          <w:b/>
          <w:bCs/>
          <w:color w:val="auto"/>
          <w:sz w:val="26"/>
          <w:szCs w:val="26"/>
        </w:rPr>
      </w:r>
    </w:p>
    <w:p>
      <w:pPr>
        <w:pStyle w:val="Normal"/>
        <w:rPr>
          <w:color w:val="auto"/>
        </w:rPr>
      </w:pPr>
      <w:r>
        <w:rPr>
          <w:b/>
          <w:bCs/>
          <w:color w:val="auto"/>
        </w:rPr>
        <w:t>Orgány obce vo volebnom období 2014 - 2018</w:t>
      </w:r>
    </w:p>
    <w:p>
      <w:pPr>
        <w:pStyle w:val="Normal"/>
        <w:ind w:firstLine="708"/>
        <w:jc w:val="both"/>
        <w:rPr>
          <w:color w:val="auto"/>
        </w:rPr>
      </w:pPr>
      <w:r>
        <w:rPr>
          <w:color w:val="auto"/>
        </w:rPr>
        <w:t>Zvolený starosta obce a poslanci obecného zastupiteľstva zložili zákonom predpísaný sľub na ustanovujúcom zasadnutí OZ v Ľubeli.</w:t>
      </w:r>
    </w:p>
    <w:p>
      <w:pPr>
        <w:pStyle w:val="Normal"/>
        <w:ind w:firstLine="708"/>
        <w:jc w:val="both"/>
        <w:rPr>
          <w:color w:val="auto"/>
          <w:highlight w:val="red"/>
        </w:rPr>
      </w:pPr>
      <w:r>
        <w:rPr>
          <w:color w:val="auto"/>
          <w:highlight w:val="red"/>
        </w:rPr>
      </w:r>
    </w:p>
    <w:p>
      <w:pPr>
        <w:pStyle w:val="Normal"/>
        <w:suppressAutoHyphens w:val="false"/>
        <w:rPr>
          <w:color w:val="auto"/>
        </w:rPr>
      </w:pPr>
      <w:r>
        <w:rPr>
          <w:b/>
          <w:color w:val="auto"/>
        </w:rPr>
        <w:t>Starosta obce:</w:t>
      </w:r>
      <w:r>
        <w:rPr>
          <w:b/>
          <w:bCs/>
          <w:color w:val="auto"/>
        </w:rPr>
        <w:t xml:space="preserve"> </w:t>
      </w:r>
      <w:r>
        <w:rPr>
          <w:color w:val="auto"/>
        </w:rPr>
        <w:t>Ing. Erik Gemzický PhD.</w:t>
      </w:r>
    </w:p>
    <w:p>
      <w:pPr>
        <w:pStyle w:val="Normal"/>
        <w:rPr>
          <w:color w:val="EF413D"/>
          <w:highlight w:val="red"/>
        </w:rPr>
      </w:pPr>
      <w:r>
        <w:rPr>
          <w:color w:val="EF413D"/>
          <w:highlight w:val="red"/>
        </w:rPr>
      </w:r>
    </w:p>
    <w:p>
      <w:pPr>
        <w:pStyle w:val="Normal"/>
        <w:jc w:val="both"/>
        <w:rPr>
          <w:color w:val="auto"/>
        </w:rPr>
      </w:pPr>
      <w:r>
        <w:rPr>
          <w:b/>
          <w:bCs/>
          <w:color w:val="auto"/>
        </w:rPr>
        <w:t>Poslanci obecného zastupite</w:t>
      </w:r>
      <w:r>
        <w:rPr>
          <w:rFonts w:cs="TimesNewRoman" w:ascii="TimesNewRoman" w:hAnsi="TimesNewRoman"/>
          <w:b/>
          <w:bCs/>
          <w:color w:val="auto"/>
        </w:rPr>
        <w:t>ľ</w:t>
      </w:r>
      <w:r>
        <w:rPr>
          <w:b/>
          <w:bCs/>
          <w:color w:val="auto"/>
        </w:rPr>
        <w:t>stva v Ľubeli</w:t>
      </w:r>
      <w:r>
        <w:rPr>
          <w:b/>
          <w:color w:val="auto"/>
        </w:rPr>
        <w:t xml:space="preserve">  2014 - 2018</w:t>
      </w:r>
    </w:p>
    <w:p>
      <w:pPr>
        <w:pStyle w:val="Normal"/>
        <w:rPr>
          <w:color w:val="auto"/>
        </w:rPr>
      </w:pPr>
      <w:r>
        <w:rPr>
          <w:color w:val="auto"/>
        </w:rPr>
        <w:t>1/ Bc. Peter Slavkovský – zástupca starostu obce</w:t>
      </w:r>
    </w:p>
    <w:p>
      <w:pPr>
        <w:pStyle w:val="Normal"/>
        <w:rPr>
          <w:color w:val="auto"/>
        </w:rPr>
      </w:pPr>
      <w:r>
        <w:rPr>
          <w:color w:val="auto"/>
        </w:rPr>
        <w:t>2/ Mgr. Erika Miklášová</w:t>
      </w:r>
    </w:p>
    <w:p>
      <w:pPr>
        <w:pStyle w:val="Normal"/>
        <w:rPr>
          <w:color w:val="auto"/>
        </w:rPr>
      </w:pPr>
      <w:r>
        <w:rPr>
          <w:color w:val="auto"/>
        </w:rPr>
        <w:t>3/ PhDr. Mariana Magerčiaková PhD.</w:t>
      </w:r>
    </w:p>
    <w:p>
      <w:pPr>
        <w:pStyle w:val="Normal"/>
        <w:rPr>
          <w:color w:val="auto"/>
        </w:rPr>
      </w:pPr>
      <w:r>
        <w:rPr>
          <w:color w:val="auto"/>
        </w:rPr>
        <w:t>4/ MUDr. Adrian Kališ PhD.</w:t>
      </w:r>
    </w:p>
    <w:p>
      <w:pPr>
        <w:pStyle w:val="Normal"/>
        <w:rPr>
          <w:color w:val="auto"/>
        </w:rPr>
      </w:pPr>
      <w:r>
        <w:rPr>
          <w:color w:val="auto"/>
        </w:rPr>
        <w:t>5/ Marian Matejovie</w:t>
      </w:r>
    </w:p>
    <w:p>
      <w:pPr>
        <w:pStyle w:val="Normal"/>
        <w:rPr>
          <w:color w:val="auto"/>
        </w:rPr>
      </w:pPr>
      <w:r>
        <w:rPr>
          <w:color w:val="auto"/>
        </w:rPr>
        <w:t>6/ Ing. Zuzana Kubíková</w:t>
      </w:r>
    </w:p>
    <w:p>
      <w:pPr>
        <w:pStyle w:val="Normal"/>
        <w:rPr>
          <w:color w:val="auto"/>
        </w:rPr>
      </w:pPr>
      <w:r>
        <w:rPr>
          <w:color w:val="auto"/>
        </w:rPr>
        <w:t>7/ Ľubomír Kubík</w:t>
      </w:r>
    </w:p>
    <w:p>
      <w:pPr>
        <w:pStyle w:val="Normal"/>
        <w:rPr>
          <w:color w:val="auto"/>
        </w:rPr>
      </w:pPr>
      <w:r>
        <w:rPr>
          <w:color w:val="auto"/>
        </w:rPr>
        <w:t>8/ Ing. Andrej Kubík</w:t>
      </w:r>
    </w:p>
    <w:p>
      <w:pPr>
        <w:pStyle w:val="Normal"/>
        <w:rPr>
          <w:color w:val="auto"/>
        </w:rPr>
      </w:pPr>
      <w:r>
        <w:rPr>
          <w:color w:val="auto"/>
        </w:rPr>
        <w:t>9/ Daniel Kandera</w:t>
      </w:r>
    </w:p>
    <w:p>
      <w:pPr>
        <w:pStyle w:val="Normal"/>
        <w:rPr>
          <w:bCs w:val="false"/>
          <w:color w:val="EF413D"/>
        </w:rPr>
      </w:pPr>
      <w:r>
        <w:rPr>
          <w:bCs w:val="false"/>
          <w:color w:val="EF413D"/>
        </w:rPr>
      </w:r>
    </w:p>
    <w:p>
      <w:pPr>
        <w:pStyle w:val="Nadpis1"/>
        <w:numPr>
          <w:ilvl w:val="0"/>
          <w:numId w:val="3"/>
        </w:numPr>
        <w:jc w:val="both"/>
        <w:rPr/>
      </w:pPr>
      <w:r>
        <w:rPr>
          <w:bCs w:val="false"/>
          <w:color w:val="auto"/>
        </w:rPr>
        <w:t xml:space="preserve">Pri obecnom zastupiteľstve vykonávali v roku 2017 svoju činnosť jeho poradné orgány, a to: </w:t>
      </w:r>
    </w:p>
    <w:p>
      <w:pPr>
        <w:pStyle w:val="Nadpis1"/>
        <w:numPr>
          <w:ilvl w:val="0"/>
          <w:numId w:val="0"/>
        </w:numPr>
        <w:jc w:val="both"/>
        <w:rPr>
          <w:color w:val="auto"/>
          <w:highlight w:val="red"/>
        </w:rPr>
      </w:pPr>
      <w:r>
        <w:rPr>
          <w:color w:val="auto"/>
          <w:highlight w:val="red"/>
        </w:rPr>
      </w:r>
    </w:p>
    <w:p>
      <w:pPr>
        <w:pStyle w:val="Normal"/>
        <w:rPr>
          <w:color w:val="auto"/>
        </w:rPr>
      </w:pPr>
      <w:r>
        <w:rPr>
          <w:color w:val="auto"/>
        </w:rPr>
        <w:t>1. Komisia pre ochranu verejného poriadku</w:t>
      </w:r>
    </w:p>
    <w:p>
      <w:pPr>
        <w:pStyle w:val="Normal"/>
        <w:rPr>
          <w:color w:val="auto"/>
        </w:rPr>
      </w:pPr>
      <w:r>
        <w:rPr>
          <w:color w:val="auto"/>
        </w:rPr>
        <w:t>2. Komisia výstavby a životného prostredia</w:t>
      </w:r>
    </w:p>
    <w:p>
      <w:pPr>
        <w:pStyle w:val="Normal"/>
        <w:rPr>
          <w:color w:val="auto"/>
        </w:rPr>
      </w:pPr>
      <w:r>
        <w:rPr>
          <w:color w:val="auto"/>
        </w:rPr>
        <w:t>3. Komisia kultúry, školstva a sociálnych vecí</w:t>
      </w:r>
    </w:p>
    <w:p>
      <w:pPr>
        <w:pStyle w:val="Normal"/>
        <w:rPr>
          <w:color w:val="auto"/>
        </w:rPr>
      </w:pPr>
      <w:r>
        <w:rPr>
          <w:color w:val="auto"/>
        </w:rPr>
        <w:t>4. Komisia športová</w:t>
      </w:r>
    </w:p>
    <w:p>
      <w:pPr>
        <w:pStyle w:val="Normal"/>
        <w:rPr>
          <w:color w:val="auto"/>
        </w:rPr>
      </w:pPr>
      <w:r>
        <w:rPr>
          <w:color w:val="auto"/>
        </w:rPr>
        <w:t>5. Komisia pre ochranu verejného záujmu</w:t>
      </w:r>
    </w:p>
    <w:p>
      <w:pPr>
        <w:pStyle w:val="Normal"/>
        <w:rPr>
          <w:b/>
          <w:b/>
          <w:bCs/>
          <w:color w:val="EF413D"/>
          <w:highlight w:val="red"/>
        </w:rPr>
      </w:pPr>
      <w:r>
        <w:rPr>
          <w:b/>
          <w:bCs/>
          <w:color w:val="EF413D"/>
          <w:highlight w:val="red"/>
        </w:rPr>
      </w:r>
    </w:p>
    <w:p>
      <w:pPr>
        <w:pStyle w:val="Normal"/>
        <w:rPr>
          <w:color w:val="000000"/>
        </w:rPr>
      </w:pPr>
      <w:r>
        <w:rPr>
          <w:b/>
          <w:bCs/>
          <w:color w:val="auto"/>
        </w:rPr>
        <w:t>Hlavný kontrolór:</w:t>
      </w:r>
    </w:p>
    <w:p>
      <w:pPr>
        <w:pStyle w:val="Normal"/>
        <w:ind w:firstLine="708"/>
        <w:jc w:val="both"/>
        <w:rPr>
          <w:color w:val="auto"/>
        </w:rPr>
      </w:pPr>
      <w:r>
        <w:rPr>
          <w:color w:val="auto"/>
        </w:rPr>
        <w:t xml:space="preserve">Kontrolu  zákonnosti,   účinnosti,  hospodárnosti  a efektívnosti  pri hospodárení  a nakladaní s majetkom  a   majetkovými    právami  obce v roku  2017  vykonával  hlavný kontrolór  obce </w:t>
      </w:r>
    </w:p>
    <w:p>
      <w:pPr>
        <w:pStyle w:val="Normal"/>
        <w:ind w:hanging="0"/>
        <w:jc w:val="both"/>
        <w:rPr>
          <w:color w:val="auto"/>
        </w:rPr>
      </w:pPr>
      <w:r>
        <w:rPr>
          <w:color w:val="auto"/>
        </w:rPr>
        <w:t>Ing. Slávka Medveďová, zvolená do funkcie  obecným zastupiteľstvom na obdobie 6 rokov</w:t>
      </w:r>
    </w:p>
    <w:p>
      <w:pPr>
        <w:pStyle w:val="Normal"/>
        <w:ind w:hanging="0"/>
        <w:jc w:val="both"/>
        <w:rPr>
          <w:color w:val="auto"/>
        </w:rPr>
      </w:pPr>
      <w:r>
        <w:rPr>
          <w:color w:val="auto"/>
        </w:rPr>
        <w:t>(2012-2018).</w:t>
      </w:r>
    </w:p>
    <w:p>
      <w:pPr>
        <w:pStyle w:val="Normal"/>
        <w:ind w:firstLine="708"/>
        <w:jc w:val="both"/>
        <w:rPr>
          <w:color w:val="EF413D"/>
        </w:rPr>
      </w:pPr>
      <w:r>
        <w:rPr>
          <w:color w:val="EF413D"/>
        </w:rPr>
      </w:r>
    </w:p>
    <w:p>
      <w:pPr>
        <w:pStyle w:val="Normal"/>
        <w:rPr>
          <w:color w:val="auto"/>
        </w:rPr>
      </w:pPr>
      <w:r>
        <w:rPr>
          <w:b/>
          <w:bCs/>
          <w:color w:val="auto"/>
          <w:sz w:val="28"/>
          <w:szCs w:val="28"/>
        </w:rPr>
        <w:t>Obecný úrad:</w:t>
      </w:r>
    </w:p>
    <w:p>
      <w:pPr>
        <w:pStyle w:val="Normal"/>
        <w:ind w:firstLine="708"/>
        <w:jc w:val="both"/>
        <w:rPr>
          <w:b/>
          <w:b/>
          <w:bCs/>
          <w:highlight w:val="red"/>
        </w:rPr>
      </w:pPr>
      <w:r>
        <w:rPr>
          <w:color w:val="auto"/>
        </w:rPr>
        <w:t xml:space="preserve">Je výkonným orgánom obecného zastupiteľstva a starostu obce, zabezpečuje organizačné a administratívne veci. Prácu obecného úradu organizuje starosta obce. </w:t>
      </w:r>
    </w:p>
    <w:p>
      <w:pPr>
        <w:pStyle w:val="Normal"/>
        <w:rPr>
          <w:b/>
          <w:b/>
          <w:bCs/>
          <w:color w:val="EF413D"/>
          <w:highlight w:val="red"/>
        </w:rPr>
      </w:pPr>
      <w:r>
        <w:rPr>
          <w:b/>
          <w:bCs/>
          <w:color w:val="EF413D"/>
          <w:highlight w:val="red"/>
        </w:rPr>
      </w:r>
    </w:p>
    <w:p>
      <w:pPr>
        <w:pStyle w:val="Normal"/>
        <w:rPr>
          <w:color w:val="EF413D"/>
        </w:rPr>
      </w:pPr>
      <w:r>
        <w:rPr>
          <w:b/>
          <w:bCs/>
          <w:color w:val="auto"/>
        </w:rPr>
        <w:t>Zamestnanci obecného úradu:</w:t>
      </w:r>
    </w:p>
    <w:p>
      <w:pPr>
        <w:pStyle w:val="Normal"/>
        <w:ind w:firstLine="708"/>
        <w:jc w:val="both"/>
        <w:rPr/>
      </w:pPr>
      <w:r>
        <w:rPr>
          <w:color w:val="auto"/>
        </w:rPr>
        <w:t xml:space="preserve">Lenka Krajčiová – </w:t>
      </w:r>
      <w:bookmarkStart w:id="0" w:name="__DdeLink__3633_1300878589"/>
      <w:r>
        <w:rPr>
          <w:color w:val="auto"/>
        </w:rPr>
        <w:t>samostatný odborný referent</w:t>
      </w:r>
      <w:bookmarkEnd w:id="0"/>
      <w:r>
        <w:rPr>
          <w:color w:val="auto"/>
        </w:rPr>
        <w:t xml:space="preserve"> </w:t>
      </w:r>
    </w:p>
    <w:p>
      <w:pPr>
        <w:pStyle w:val="Predformtovantext"/>
        <w:ind w:firstLine="708"/>
        <w:jc w:val="both"/>
        <w:rPr>
          <w:rFonts w:ascii="Times New Roman" w:hAnsi="Times New Roman"/>
          <w:sz w:val="24"/>
          <w:szCs w:val="24"/>
        </w:rPr>
      </w:pPr>
      <w:r>
        <w:rPr>
          <w:rFonts w:ascii="Times New Roman" w:hAnsi="Times New Roman"/>
          <w:color w:val="auto"/>
          <w:sz w:val="24"/>
          <w:szCs w:val="24"/>
        </w:rPr>
        <w:t>Milena Škvarková -  samostatný odborný referent</w:t>
      </w:r>
    </w:p>
    <w:p>
      <w:pPr>
        <w:pStyle w:val="Predformtovantext"/>
        <w:ind w:firstLine="708"/>
        <w:jc w:val="both"/>
        <w:rPr>
          <w:color w:val="EF413D"/>
          <w:highlight w:val="red"/>
        </w:rPr>
      </w:pPr>
      <w:r>
        <w:rPr>
          <w:color w:val="EF413D"/>
          <w:highlight w:val="red"/>
        </w:rPr>
      </w:r>
    </w:p>
    <w:p>
      <w:pPr>
        <w:pStyle w:val="Normal"/>
        <w:jc w:val="both"/>
        <w:rPr>
          <w:color w:val="auto"/>
        </w:rPr>
      </w:pPr>
      <w:r>
        <w:rPr>
          <w:b/>
          <w:bCs/>
          <w:color w:val="auto"/>
          <w:sz w:val="28"/>
          <w:szCs w:val="28"/>
        </w:rPr>
        <w:t>Financovanie  obce:</w:t>
      </w:r>
    </w:p>
    <w:p>
      <w:pPr>
        <w:pStyle w:val="Normal"/>
        <w:ind w:firstLine="708"/>
        <w:jc w:val="both"/>
        <w:rPr>
          <w:highlight w:val="red"/>
        </w:rPr>
      </w:pPr>
      <w:r>
        <w:rPr>
          <w:color w:val="auto"/>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color w:val="auto"/>
        </w:rPr>
      </w:pPr>
      <w:r>
        <w:rPr>
          <w:color w:val="auto"/>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color w:val="auto"/>
        </w:rPr>
      </w:pPr>
      <w:r>
        <w:rPr>
          <w:color w:val="auto"/>
        </w:rPr>
        <w:t xml:space="preserve">     </w:t>
      </w:r>
      <w:r>
        <w:rPr>
          <w:color w:val="auto"/>
        </w:rPr>
        <w:tab/>
        <w:t>Hospodárenie obce sa riadilo podľa schváleného rozpočtu obce na rok 2017. Rozpočet schválilo obecné zastupiteľstvo obce Ľubeľa dňa 24. novembra 2016 uznesením č. 29/2016.</w:t>
      </w:r>
    </w:p>
    <w:p>
      <w:pPr>
        <w:pStyle w:val="Normal"/>
        <w:ind w:firstLine="708"/>
        <w:jc w:val="both"/>
        <w:rPr>
          <w:b/>
          <w:b/>
          <w:color w:val="0066CC"/>
          <w:sz w:val="28"/>
          <w:szCs w:val="28"/>
          <w:highlight w:val="red"/>
        </w:rPr>
      </w:pPr>
      <w:r>
        <w:rPr>
          <w:color w:val="auto"/>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auto"/>
        </w:rPr>
      </w:pPr>
      <w:r>
        <w:rPr>
          <w:color w:val="auto"/>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ind w:firstLine="708"/>
        <w:jc w:val="both"/>
        <w:rPr>
          <w:color w:val="auto"/>
        </w:rPr>
      </w:pPr>
      <w:r>
        <w:rPr>
          <w:color w:val="auto"/>
        </w:rPr>
        <w:t>Podiely na daniach v správe štátu upravuje zákon č. 564/2004 Z. z. o rozpočtovom určení výnosu dane z príjmov územnej samospráve a o zmene a doplnení niektorých zákonov.</w:t>
      </w:r>
    </w:p>
    <w:p>
      <w:pPr>
        <w:pStyle w:val="Normal"/>
        <w:ind w:firstLine="708"/>
        <w:jc w:val="both"/>
        <w:rPr>
          <w:color w:val="auto"/>
        </w:rPr>
      </w:pPr>
      <w:r>
        <w:rPr>
          <w:color w:val="auto"/>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auto"/>
        </w:rPr>
      </w:pPr>
      <w:r>
        <w:rPr>
          <w:color w:val="auto"/>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auto"/>
        </w:rPr>
      </w:pPr>
      <w:r>
        <w:rPr>
          <w:color w:val="auto"/>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b/>
          <w:b/>
          <w:color w:val="002060"/>
          <w:sz w:val="28"/>
          <w:szCs w:val="28"/>
        </w:rPr>
      </w:pPr>
      <w:r>
        <w:rPr>
          <w:color w:val="auto"/>
        </w:rPr>
        <w:tab/>
      </w:r>
    </w:p>
    <w:p>
      <w:pPr>
        <w:pStyle w:val="Normal"/>
        <w:jc w:val="both"/>
        <w:rPr>
          <w:color w:val="auto"/>
        </w:rPr>
      </w:pPr>
      <w:r>
        <w:rPr>
          <w:b/>
          <w:color w:val="auto"/>
          <w:sz w:val="28"/>
          <w:szCs w:val="28"/>
        </w:rPr>
        <w:t>Výchova a vzdelávanie:</w:t>
      </w:r>
    </w:p>
    <w:p>
      <w:pPr>
        <w:pStyle w:val="Normal"/>
        <w:ind w:firstLine="708"/>
        <w:jc w:val="both"/>
        <w:rPr>
          <w:color w:val="auto"/>
        </w:rPr>
      </w:pPr>
      <w:r>
        <w:rPr>
          <w:color w:val="auto"/>
        </w:rPr>
        <w:t xml:space="preserve">Výchovu a vzdelávanie detí v obci poskytuje </w:t>
      </w:r>
      <w:r>
        <w:rPr>
          <w:b w:val="false"/>
          <w:bCs w:val="false"/>
          <w:color w:val="auto"/>
          <w:sz w:val="24"/>
          <w:szCs w:val="24"/>
        </w:rPr>
        <w:t>Základná škola s materskou školou v Ľubeli.</w:t>
      </w:r>
    </w:p>
    <w:p>
      <w:pPr>
        <w:pStyle w:val="Normal"/>
        <w:spacing w:lineRule="auto" w:line="240"/>
        <w:ind w:hanging="0"/>
        <w:jc w:val="both"/>
        <w:rPr>
          <w:color w:val="auto"/>
        </w:rPr>
      </w:pPr>
      <w:r>
        <w:rPr>
          <w:b w:val="false"/>
          <w:bCs w:val="false"/>
          <w:color w:val="auto"/>
          <w:sz w:val="24"/>
          <w:szCs w:val="24"/>
        </w:rPr>
        <w:t>Na základe analýzy doterajšieho vývoja možno očakávať, že rozvoj vzdelávania sa bude orientovať na: štandardnú východu detí a mládeže v súbehu s modernými trendmi uplatňujúcimi sa vo výchove a vzdelávaní.</w:t>
      </w:r>
    </w:p>
    <w:p>
      <w:pPr>
        <w:pStyle w:val="Normal"/>
        <w:spacing w:lineRule="auto" w:line="240"/>
        <w:ind w:firstLine="708"/>
        <w:jc w:val="both"/>
        <w:rPr>
          <w:b w:val="false"/>
          <w:b w:val="false"/>
          <w:bCs w:val="false"/>
          <w:sz w:val="24"/>
          <w:szCs w:val="24"/>
        </w:rPr>
      </w:pPr>
      <w:r>
        <w:rPr>
          <w:b w:val="false"/>
          <w:bCs w:val="false"/>
          <w:sz w:val="24"/>
          <w:szCs w:val="24"/>
        </w:rPr>
      </w:r>
    </w:p>
    <w:p>
      <w:pPr>
        <w:pStyle w:val="Normal"/>
        <w:jc w:val="both"/>
        <w:rPr>
          <w:color w:val="auto"/>
        </w:rPr>
      </w:pPr>
      <w:r>
        <w:rPr>
          <w:b/>
          <w:bCs/>
          <w:color w:val="auto"/>
          <w:sz w:val="28"/>
          <w:szCs w:val="28"/>
        </w:rPr>
        <w:t>Kultúra:</w:t>
      </w:r>
    </w:p>
    <w:p>
      <w:pPr>
        <w:pStyle w:val="Normal"/>
        <w:spacing w:lineRule="auto" w:line="240"/>
        <w:ind w:left="435" w:hanging="0"/>
        <w:jc w:val="both"/>
        <w:rPr/>
      </w:pPr>
      <w:r>
        <w:rPr/>
        <w:t xml:space="preserve"> </w:t>
      </w:r>
      <w:r>
        <w:rPr/>
        <w:t>Spoločenský a kultúrny život v obci zabezpečujú : miestne kultúrno-spoločenské organizácie.</w:t>
      </w:r>
    </w:p>
    <w:p>
      <w:pPr>
        <w:pStyle w:val="Normal"/>
        <w:spacing w:lineRule="auto" w:line="240"/>
        <w:ind w:hanging="0"/>
        <w:jc w:val="both"/>
        <w:rPr/>
      </w:pPr>
      <w:r>
        <w:rPr>
          <w:color w:val="auto"/>
        </w:rPr>
        <w:t>Na základe analýzy doterajšieho vývoja možno očakávať, že kultúrny a spoločenský život sa bude orientovať na : všestranný kultúrny a spoločenský život v obci.</w:t>
      </w:r>
    </w:p>
    <w:p>
      <w:pPr>
        <w:pStyle w:val="Normal"/>
        <w:spacing w:lineRule="auto" w:line="240"/>
        <w:ind w:hanging="0"/>
        <w:jc w:val="both"/>
        <w:rPr>
          <w:color w:val="auto"/>
        </w:rPr>
      </w:pPr>
      <w:r>
        <w:rPr>
          <w:color w:val="auto"/>
        </w:rPr>
      </w:r>
    </w:p>
    <w:p>
      <w:pPr>
        <w:pStyle w:val="Normal"/>
        <w:ind w:left="-14" w:firstLine="14"/>
        <w:jc w:val="both"/>
        <w:rPr>
          <w:color w:val="auto"/>
        </w:rPr>
      </w:pPr>
      <w:r>
        <w:rPr>
          <w:b/>
          <w:bCs/>
          <w:color w:val="auto"/>
          <w:sz w:val="28"/>
          <w:szCs w:val="28"/>
        </w:rPr>
        <w:t>Sociálne zabezpečenie:</w:t>
      </w:r>
    </w:p>
    <w:p>
      <w:pPr>
        <w:pStyle w:val="Normal"/>
        <w:spacing w:lineRule="auto" w:line="240"/>
        <w:ind w:left="435" w:hanging="0"/>
        <w:jc w:val="both"/>
        <w:rPr/>
      </w:pPr>
      <w:r>
        <w:rPr/>
        <w:t>Sociálne služby v obci nezabezpečujeme.</w:t>
      </w:r>
    </w:p>
    <w:p>
      <w:pPr>
        <w:pStyle w:val="Normal"/>
        <w:spacing w:lineRule="auto" w:line="240"/>
        <w:ind w:hanging="0"/>
        <w:jc w:val="both"/>
        <w:rPr/>
      </w:pPr>
      <w:r>
        <w:rPr/>
        <w:t>V prípade potreby sociálneho zabezpečenia pre obyvateľov našej obce sú vybudované zariadenia tohto druhu v spádovej oblasti Liptovský Mikuláš a Ružomberok.</w:t>
      </w:r>
    </w:p>
    <w:p>
      <w:pPr>
        <w:pStyle w:val="Normal"/>
        <w:spacing w:lineRule="auto" w:line="240"/>
        <w:ind w:hanging="0"/>
        <w:jc w:val="both"/>
        <w:rPr>
          <w:color w:val="auto"/>
        </w:rPr>
      </w:pPr>
      <w:r>
        <w:rPr>
          <w:color w:val="auto"/>
        </w:rPr>
        <w:t>Na základe analýzy doterajšieho vývoja možno očakávať, že rozvoj sociálnych služieb sa bude orientovať na : podporu opatrovníkov v domácnostiach</w:t>
      </w:r>
    </w:p>
    <w:p>
      <w:pPr>
        <w:pStyle w:val="Normal"/>
        <w:ind w:firstLine="708"/>
        <w:jc w:val="both"/>
        <w:rPr>
          <w:color w:val="EF413D"/>
          <w:highlight w:val="red"/>
        </w:rPr>
      </w:pPr>
      <w:r>
        <w:rPr>
          <w:color w:val="EF413D"/>
          <w:highlight w:val="red"/>
        </w:rPr>
      </w:r>
    </w:p>
    <w:p>
      <w:pPr>
        <w:pStyle w:val="Normal"/>
        <w:ind w:left="-14" w:firstLine="14"/>
        <w:jc w:val="both"/>
        <w:rPr>
          <w:color w:val="auto"/>
        </w:rPr>
      </w:pPr>
      <w:r>
        <w:rPr>
          <w:b/>
          <w:bCs/>
          <w:color w:val="auto"/>
          <w:sz w:val="28"/>
          <w:szCs w:val="28"/>
        </w:rPr>
        <w:t>Hospodárstvo:</w:t>
      </w:r>
    </w:p>
    <w:p>
      <w:pPr>
        <w:pStyle w:val="Normal"/>
        <w:spacing w:lineRule="auto" w:line="240"/>
        <w:ind w:hanging="0"/>
        <w:jc w:val="both"/>
        <w:rPr/>
      </w:pPr>
      <w:r>
        <w:rPr/>
        <w:t>Najvýznamnejší poskytovatelia služieb v obci :</w:t>
      </w:r>
    </w:p>
    <w:p>
      <w:pPr>
        <w:pStyle w:val="Normal"/>
        <w:numPr>
          <w:ilvl w:val="0"/>
          <w:numId w:val="2"/>
        </w:numPr>
        <w:spacing w:lineRule="auto" w:line="240"/>
        <w:jc w:val="both"/>
        <w:rPr/>
      </w:pPr>
      <w:r>
        <w:rPr/>
        <w:t>Predajne potravín – COOP Jednota, VEREX</w:t>
      </w:r>
    </w:p>
    <w:p>
      <w:pPr>
        <w:pStyle w:val="Normal"/>
        <w:numPr>
          <w:ilvl w:val="0"/>
          <w:numId w:val="2"/>
        </w:numPr>
        <w:spacing w:lineRule="auto" w:line="240"/>
        <w:jc w:val="both"/>
        <w:rPr/>
      </w:pPr>
      <w:r>
        <w:rPr/>
        <w:t>Kaderníctvo</w:t>
      </w:r>
    </w:p>
    <w:p>
      <w:pPr>
        <w:pStyle w:val="Normal"/>
        <w:spacing w:lineRule="auto" w:line="240"/>
        <w:ind w:hanging="0"/>
        <w:jc w:val="both"/>
        <w:rPr/>
      </w:pPr>
      <w:r>
        <w:rPr/>
        <w:t>Najvýznamnejší priemysel v obci :</w:t>
      </w:r>
    </w:p>
    <w:p>
      <w:pPr>
        <w:pStyle w:val="Normal"/>
        <w:numPr>
          <w:ilvl w:val="0"/>
          <w:numId w:val="2"/>
        </w:numPr>
        <w:spacing w:lineRule="auto" w:line="240"/>
        <w:jc w:val="both"/>
        <w:rPr/>
      </w:pPr>
      <w:r>
        <w:rPr/>
        <w:t>Pekárenská výroba – MIPEK s.r.o.</w:t>
      </w:r>
    </w:p>
    <w:p>
      <w:pPr>
        <w:pStyle w:val="Normal"/>
        <w:spacing w:lineRule="auto" w:line="240"/>
        <w:ind w:hanging="0"/>
        <w:jc w:val="both"/>
        <w:rPr/>
      </w:pPr>
      <w:r>
        <w:rPr/>
        <w:t>Najvýznamnejšia poľnohospodárska výroba v obci :</w:t>
      </w:r>
    </w:p>
    <w:p>
      <w:pPr>
        <w:pStyle w:val="Normal"/>
        <w:numPr>
          <w:ilvl w:val="0"/>
          <w:numId w:val="2"/>
        </w:numPr>
        <w:spacing w:lineRule="auto" w:line="240"/>
        <w:jc w:val="both"/>
        <w:rPr/>
      </w:pPr>
      <w:r>
        <w:rPr/>
        <w:t>Poľnohospodárska výroba – Agro-Racio, s.r.o.</w:t>
      </w:r>
    </w:p>
    <w:p>
      <w:pPr>
        <w:pStyle w:val="Normal"/>
        <w:spacing w:lineRule="auto" w:line="240"/>
        <w:ind w:left="-14" w:firstLine="14"/>
        <w:jc w:val="both"/>
        <w:rPr/>
      </w:pPr>
      <w:r>
        <w:rPr>
          <w:color w:val="auto"/>
        </w:rPr>
        <w:t xml:space="preserve">      </w:t>
      </w:r>
      <w:r>
        <w:rPr>
          <w:color w:val="auto"/>
        </w:rPr>
        <w:t>Na základe analýzy doterajšieho vývoja možno očakávať, že hospodársky život v obci sa bude orientovať na : pokračovanie v rozvoji poskytovateľov služieb pre občanov v našej obci.</w:t>
      </w:r>
    </w:p>
    <w:p>
      <w:pPr>
        <w:pStyle w:val="Normal"/>
        <w:spacing w:lineRule="auto" w:line="240"/>
        <w:ind w:left="-14" w:firstLine="14"/>
        <w:jc w:val="both"/>
        <w:rPr>
          <w:color w:val="auto"/>
        </w:rPr>
      </w:pPr>
      <w:r>
        <w:rPr>
          <w:b/>
          <w:bCs/>
          <w:color w:val="auto"/>
          <w:sz w:val="28"/>
          <w:szCs w:val="28"/>
        </w:rPr>
        <w:t>Zdravotníctvo:</w:t>
      </w:r>
    </w:p>
    <w:p>
      <w:pPr>
        <w:pStyle w:val="Normal"/>
        <w:jc w:val="both"/>
        <w:rPr/>
      </w:pPr>
      <w:r>
        <w:rPr/>
        <w:t xml:space="preserve"> </w:t>
      </w:r>
      <w:r>
        <w:rPr/>
        <w:t>Zdravotnú starostlivosť pre obyvateľov obce poskytuje:</w:t>
      </w:r>
    </w:p>
    <w:p>
      <w:pPr>
        <w:pStyle w:val="Normal"/>
        <w:jc w:val="both"/>
        <w:rPr/>
      </w:pPr>
      <w:r>
        <w:rPr/>
        <w:tab/>
        <w:t xml:space="preserve"> Všeobecný lekár pre dospelých – MUDr. Elena Hrbčová</w:t>
      </w:r>
    </w:p>
    <w:p>
      <w:pPr>
        <w:pStyle w:val="Normal"/>
        <w:numPr>
          <w:ilvl w:val="0"/>
          <w:numId w:val="0"/>
        </w:numPr>
        <w:ind w:left="795" w:hanging="0"/>
        <w:jc w:val="both"/>
        <w:rPr/>
      </w:pPr>
      <w:r>
        <w:rPr/>
        <w:t>Poliklinika v Liptovskom Mikuláši</w:t>
      </w:r>
    </w:p>
    <w:p>
      <w:pPr>
        <w:pStyle w:val="Normal"/>
        <w:numPr>
          <w:ilvl w:val="0"/>
          <w:numId w:val="0"/>
        </w:numPr>
        <w:ind w:left="795" w:hanging="0"/>
        <w:jc w:val="both"/>
        <w:rPr/>
      </w:pPr>
      <w:r>
        <w:rPr/>
        <w:t xml:space="preserve">Nemocnica s poliklinikou v Liptovskom Mikuláši </w:t>
      </w:r>
    </w:p>
    <w:p>
      <w:pPr>
        <w:pStyle w:val="Normal"/>
        <w:numPr>
          <w:ilvl w:val="0"/>
          <w:numId w:val="0"/>
        </w:numPr>
        <w:ind w:left="795" w:hanging="0"/>
        <w:jc w:val="both"/>
        <w:rPr/>
      </w:pPr>
      <w:r>
        <w:rPr/>
        <w:t>Vojenská ústredná nemocnica v Ružomberku</w:t>
      </w:r>
    </w:p>
    <w:p>
      <w:pPr>
        <w:pStyle w:val="Normal"/>
        <w:spacing w:lineRule="auto" w:line="240"/>
        <w:ind w:left="-14" w:firstLine="14"/>
        <w:jc w:val="both"/>
        <w:rPr>
          <w:b w:val="false"/>
          <w:b w:val="false"/>
          <w:bCs w:val="false"/>
          <w:color w:val="auto"/>
          <w:sz w:val="24"/>
          <w:szCs w:val="24"/>
        </w:rPr>
      </w:pPr>
      <w:r>
        <w:rPr>
          <w:b w:val="false"/>
          <w:bCs w:val="false"/>
          <w:color w:val="auto"/>
          <w:sz w:val="24"/>
          <w:szCs w:val="24"/>
        </w:rPr>
        <w:t>Na základe analýzy doterajšieho vývoja možno očakávať, že rozvoj zdravotnej starostlivosti sa v nasledujúcich rokoch meniť nebude.</w:t>
      </w:r>
    </w:p>
    <w:p>
      <w:pPr>
        <w:pStyle w:val="Normal"/>
        <w:rPr>
          <w:b w:val="false"/>
          <w:b w:val="false"/>
          <w:bCs w:val="false"/>
          <w:color w:val="EF413D"/>
          <w:sz w:val="24"/>
          <w:szCs w:val="24"/>
        </w:rPr>
      </w:pPr>
      <w:r>
        <w:rPr>
          <w:b w:val="false"/>
          <w:bCs w:val="false"/>
          <w:color w:val="EF413D"/>
          <w:sz w:val="24"/>
          <w:szCs w:val="24"/>
        </w:rPr>
        <w:tab/>
      </w:r>
    </w:p>
    <w:p>
      <w:pPr>
        <w:pStyle w:val="Normal"/>
        <w:jc w:val="both"/>
        <w:rPr>
          <w:b/>
          <w:b/>
          <w:bCs/>
          <w:color w:val="000000"/>
        </w:rPr>
      </w:pPr>
      <w:r>
        <w:rPr>
          <w:b/>
          <w:bCs/>
          <w:color w:val="auto"/>
          <w:sz w:val="28"/>
          <w:szCs w:val="28"/>
        </w:rPr>
        <w:t xml:space="preserve">Rozpočtová  organizácia </w:t>
      </w:r>
    </w:p>
    <w:p>
      <w:pPr>
        <w:pStyle w:val="Normal"/>
        <w:jc w:val="both"/>
        <w:rPr>
          <w:b/>
          <w:b/>
          <w:bCs/>
          <w:color w:val="auto"/>
        </w:rPr>
      </w:pPr>
      <w:r>
        <w:rPr>
          <w:b/>
          <w:bCs/>
          <w:color w:val="auto"/>
        </w:rPr>
      </w:r>
    </w:p>
    <w:p>
      <w:pPr>
        <w:pStyle w:val="Normal"/>
        <w:jc w:val="both"/>
        <w:rPr>
          <w:color w:val="auto"/>
        </w:rPr>
      </w:pPr>
      <w:r>
        <w:rPr>
          <w:b/>
          <w:bCs/>
          <w:color w:val="auto"/>
        </w:rPr>
        <w:t>Základná škola s materskou školou Ľubeľa</w:t>
      </w:r>
    </w:p>
    <w:p>
      <w:pPr>
        <w:pStyle w:val="Normal"/>
        <w:rPr>
          <w:color w:val="auto"/>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bookmarkStart w:id="1" w:name="__DdeLink__3730_111153707"/>
      <w:r>
        <w:rPr>
          <w:b w:val="false"/>
          <w:bCs w:val="false"/>
          <w:color w:val="auto"/>
        </w:rPr>
        <w:t>Mgr. Iveta Kališová</w:t>
      </w:r>
      <w:bookmarkEnd w:id="1"/>
    </w:p>
    <w:p>
      <w:pPr>
        <w:pStyle w:val="Normal"/>
        <w:rPr>
          <w:color w:val="auto"/>
        </w:rPr>
      </w:pPr>
      <w:r>
        <w:rPr>
          <w:b/>
          <w:color w:val="auto"/>
        </w:rPr>
        <w:t>IČO:</w:t>
      </w:r>
      <w:r>
        <w:rPr>
          <w:color w:val="auto"/>
        </w:rPr>
        <w:t xml:space="preserve"> </w:t>
      </w:r>
      <w:r>
        <w:rPr>
          <w:b w:val="false"/>
          <w:bCs w:val="false"/>
          <w:color w:val="auto"/>
        </w:rPr>
        <w:t>37810413</w:t>
      </w:r>
    </w:p>
    <w:p>
      <w:pPr>
        <w:pStyle w:val="Normal"/>
        <w:rPr>
          <w:color w:val="auto"/>
        </w:rPr>
      </w:pPr>
      <w:r>
        <w:rPr>
          <w:b/>
          <w:bCs/>
          <w:color w:val="auto"/>
        </w:rPr>
        <w:t xml:space="preserve">Počet žiakov: </w:t>
      </w:r>
      <w:r>
        <w:rPr>
          <w:b w:val="false"/>
          <w:bCs w:val="false"/>
          <w:color w:val="auto"/>
        </w:rPr>
        <w:t>188 detí</w:t>
      </w:r>
    </w:p>
    <w:p>
      <w:pPr>
        <w:pStyle w:val="Normal"/>
        <w:rPr>
          <w:color w:val="EF413D"/>
        </w:rPr>
      </w:pPr>
      <w:r>
        <w:rPr>
          <w:color w:val="EF413D"/>
        </w:rPr>
      </w:r>
    </w:p>
    <w:p>
      <w:pPr>
        <w:pStyle w:val="Normal"/>
        <w:ind w:firstLine="708"/>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b/>
          <w:b/>
          <w:color w:val="EF413D"/>
          <w:sz w:val="28"/>
          <w:szCs w:val="28"/>
        </w:rPr>
      </w:pPr>
      <w:r>
        <w:rPr>
          <w:b/>
          <w:color w:val="EF413D"/>
          <w:sz w:val="28"/>
          <w:szCs w:val="28"/>
        </w:rPr>
      </w:r>
    </w:p>
    <w:p>
      <w:pPr>
        <w:pStyle w:val="Normal"/>
        <w:jc w:val="both"/>
        <w:rPr>
          <w:color w:val="0066B3"/>
        </w:rPr>
      </w:pPr>
      <w:r>
        <w:rPr>
          <w:b/>
          <w:color w:val="0066B3"/>
          <w:sz w:val="28"/>
          <w:szCs w:val="28"/>
        </w:rPr>
        <w:t>2. Rozpočet obce za rok 2017 a jeho plnenie</w:t>
      </w:r>
    </w:p>
    <w:p>
      <w:pPr>
        <w:pStyle w:val="Normal"/>
        <w:jc w:val="both"/>
        <w:rPr>
          <w:b/>
          <w:b/>
          <w:color w:val="EF413D"/>
          <w:sz w:val="28"/>
          <w:szCs w:val="28"/>
        </w:rPr>
      </w:pPr>
      <w:r>
        <w:rPr>
          <w:b/>
          <w:color w:val="EF413D"/>
          <w:sz w:val="28"/>
          <w:szCs w:val="28"/>
        </w:rPr>
      </w:r>
    </w:p>
    <w:p>
      <w:pPr>
        <w:pStyle w:val="ListParagraph"/>
        <w:ind w:left="708" w:hanging="0"/>
        <w:rPr>
          <w:b/>
          <w:b/>
          <w:color w:val="auto"/>
          <w:sz w:val="28"/>
          <w:szCs w:val="28"/>
        </w:rPr>
      </w:pPr>
      <w:r>
        <w:rPr>
          <w:b/>
          <w:color w:val="auto"/>
          <w:sz w:val="28"/>
          <w:szCs w:val="28"/>
        </w:rPr>
        <w:t>Rozbor čerpania príjmov za rok 2017</w:t>
      </w:r>
    </w:p>
    <w:tbl>
      <w:tblPr>
        <w:tblW w:w="9040" w:type="dxa"/>
        <w:jc w:val="left"/>
        <w:tblInd w:w="80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521"/>
        <w:gridCol w:w="3673"/>
        <w:gridCol w:w="1846"/>
      </w:tblGrid>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2017</w:t>
            </w:r>
          </w:p>
        </w:tc>
        <w:tc>
          <w:tcPr>
            <w:tcW w:w="36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52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1.213.675,79</w:t>
            </w:r>
          </w:p>
        </w:tc>
        <w:tc>
          <w:tcPr>
            <w:tcW w:w="36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1.209.596,92</w:t>
            </w:r>
          </w:p>
        </w:tc>
        <w:tc>
          <w:tcPr>
            <w:tcW w:w="184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99,66</w:t>
            </w:r>
          </w:p>
        </w:tc>
      </w:tr>
    </w:tbl>
    <w:p>
      <w:pPr>
        <w:pStyle w:val="Normal"/>
        <w:rPr>
          <w:color w:val="EF413D"/>
        </w:rPr>
      </w:pPr>
      <w:r>
        <w:rPr>
          <w:color w:val="EF413D"/>
        </w:rPr>
      </w:r>
    </w:p>
    <w:p>
      <w:pPr>
        <w:pStyle w:val="Normal"/>
        <w:rPr>
          <w:b/>
          <w:b/>
          <w:bCs/>
          <w:sz w:val="32"/>
          <w:szCs w:val="32"/>
          <w:lang w:val="sk-SK"/>
        </w:rPr>
      </w:pPr>
      <w:r>
        <w:rPr>
          <w:b/>
          <w:bCs/>
          <w:color w:val="auto"/>
          <w:sz w:val="32"/>
          <w:szCs w:val="32"/>
          <w:lang w:val="sk-SK"/>
        </w:rPr>
        <w:t>1)   Bežné príjmy</w:t>
      </w:r>
    </w:p>
    <w:p>
      <w:pPr>
        <w:pStyle w:val="Normal"/>
        <w:rPr>
          <w:b/>
          <w:b/>
          <w:bCs/>
          <w:color w:val="EF413D"/>
          <w:sz w:val="32"/>
          <w:szCs w:val="32"/>
        </w:rPr>
      </w:pPr>
      <w:r>
        <w:rPr>
          <w:b/>
          <w:bCs/>
          <w:color w:val="EF413D"/>
          <w:sz w:val="32"/>
          <w:szCs w:val="32"/>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Rozpočet na rok 2017</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Skutočnosť k 31.12.2017</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color w:val="auto"/>
                <w:lang w:val="sk-SK"/>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1.132.493,84</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lang w:val="sk-SK"/>
              </w:rPr>
              <w:t>1.128.414,97</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lang w:val="sk-SK"/>
              </w:rPr>
              <w:t>99,64</w:t>
            </w:r>
          </w:p>
        </w:tc>
      </w:tr>
    </w:tbl>
    <w:p>
      <w:pPr>
        <w:pStyle w:val="Normal"/>
        <w:rPr>
          <w:color w:val="EF413D"/>
          <w:lang w:val="sk-SK"/>
        </w:rPr>
      </w:pPr>
      <w:r>
        <w:rPr>
          <w:color w:val="EF413D"/>
          <w:lang w:val="sk-SK"/>
        </w:rPr>
      </w:r>
    </w:p>
    <w:p>
      <w:pPr>
        <w:pStyle w:val="Normal"/>
        <w:tabs>
          <w:tab w:val="left" w:pos="353" w:leader="none"/>
        </w:tabs>
        <w:rPr>
          <w:color w:val="EF413D"/>
        </w:rPr>
      </w:pPr>
      <w:r>
        <w:rPr>
          <w:color w:val="EF413D"/>
          <w:lang w:val="sk-SK"/>
        </w:rPr>
        <w:tab/>
      </w:r>
      <w:r>
        <w:rPr>
          <w:b/>
          <w:bCs/>
          <w:color w:val="auto"/>
          <w:sz w:val="28"/>
          <w:szCs w:val="28"/>
          <w:lang w:val="sk-SK"/>
        </w:rPr>
        <w:t>A. Bežné príjmy  - daňové</w:t>
      </w:r>
    </w:p>
    <w:p>
      <w:pPr>
        <w:pStyle w:val="Normal"/>
        <w:tabs>
          <w:tab w:val="left" w:pos="353" w:leader="none"/>
        </w:tabs>
        <w:rPr>
          <w:color w:val="EF413D"/>
          <w:lang w:val="sk-SK"/>
        </w:rPr>
      </w:pPr>
      <w:r>
        <w:rPr>
          <w:color w:val="EF413D"/>
          <w:lang w:val="sk-SK"/>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2017</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410.539,00</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409.085,95</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99,65</w:t>
            </w:r>
          </w:p>
        </w:tc>
      </w:tr>
    </w:tbl>
    <w:p>
      <w:pPr>
        <w:pStyle w:val="Normal"/>
        <w:tabs>
          <w:tab w:val="left" w:pos="353" w:leader="none"/>
        </w:tabs>
        <w:rPr>
          <w:color w:val="EF413D"/>
          <w:lang w:val="sk-SK"/>
        </w:rPr>
      </w:pPr>
      <w:r>
        <w:rPr>
          <w:color w:val="EF413D"/>
          <w:lang w:val="sk-SK"/>
        </w:rPr>
      </w:r>
    </w:p>
    <w:p>
      <w:pPr>
        <w:pStyle w:val="Normal"/>
        <w:rPr/>
      </w:pPr>
      <w:r>
        <w:rPr>
          <w:b/>
          <w:bCs/>
          <w:color w:val="EF413D"/>
          <w:lang w:val="sk-SK"/>
        </w:rPr>
        <w:tab/>
      </w:r>
      <w:r>
        <w:rPr>
          <w:b/>
          <w:bCs/>
          <w:color w:val="auto"/>
          <w:lang w:val="sk-SK"/>
        </w:rPr>
        <w:t>1. Výnos dane z príjmov poukázaný územnej samospráve</w:t>
      </w:r>
    </w:p>
    <w:p>
      <w:pPr>
        <w:pStyle w:val="Normal"/>
        <w:ind w:firstLine="360"/>
        <w:jc w:val="both"/>
        <w:rPr/>
      </w:pPr>
      <w:r>
        <w:rPr/>
        <w:tab/>
        <w:t xml:space="preserve">Z predpokladanej finančnej čiastky 378.000,00 EUR  z výnosu dane z príjmov  k 31.12.2017 </w:t>
        <w:tab/>
        <w:t xml:space="preserve">boli poukázané prostriedky zo ŠR vo výške 377.869,24 EUR, čo predstavuje plnenie na </w:t>
        <w:tab/>
        <w:t xml:space="preserve">99,97%. </w:t>
      </w:r>
    </w:p>
    <w:p>
      <w:pPr>
        <w:pStyle w:val="Normal"/>
        <w:rPr/>
      </w:pPr>
      <w:r>
        <w:rPr/>
      </w:r>
    </w:p>
    <w:p>
      <w:pPr>
        <w:pStyle w:val="Normal"/>
        <w:rPr>
          <w:b/>
          <w:b/>
          <w:bCs/>
        </w:rPr>
      </w:pPr>
      <w:r>
        <w:rPr>
          <w:b/>
          <w:bCs/>
        </w:rPr>
        <w:tab/>
        <w:t>2. Daň z nehnuteľností</w:t>
      </w:r>
    </w:p>
    <w:p>
      <w:pPr>
        <w:pStyle w:val="Normal"/>
        <w:jc w:val="both"/>
        <w:rPr/>
      </w:pPr>
      <w:r>
        <w:rPr/>
        <w:tab/>
        <w:t xml:space="preserve">Z rozpočtovaných 20.030,00 EUR bol skutočný príjem 18.754,29 EUR, čo je 93,63 % </w:t>
        <w:tab/>
        <w:t xml:space="preserve">plnenia. Z toho príjem dane z pozemkov vo výške 8.400,48 EUR, dane zo stavieb vo </w:t>
      </w:r>
    </w:p>
    <w:p>
      <w:pPr>
        <w:pStyle w:val="Normal"/>
        <w:jc w:val="both"/>
        <w:rPr/>
      </w:pPr>
      <w:r>
        <w:rPr/>
        <w:tab/>
        <w:t>výške 10.174,86 EUR a daň z bytov vo výške 178,95 EUR.</w:t>
      </w:r>
    </w:p>
    <w:p>
      <w:pPr>
        <w:pStyle w:val="Normal"/>
        <w:rPr/>
      </w:pPr>
      <w:r>
        <w:rPr/>
      </w:r>
    </w:p>
    <w:p>
      <w:pPr>
        <w:pStyle w:val="Normal"/>
        <w:rPr>
          <w:b/>
          <w:b/>
          <w:bCs/>
        </w:rPr>
      </w:pPr>
      <w:r>
        <w:rPr>
          <w:b/>
          <w:bCs/>
        </w:rPr>
        <w:tab/>
        <w:t>3.ostatné miestne dane</w:t>
      </w:r>
    </w:p>
    <w:tbl>
      <w:tblPr>
        <w:tblW w:w="9069" w:type="dxa"/>
        <w:jc w:val="left"/>
        <w:tblInd w:w="73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630"/>
        <w:gridCol w:w="2273"/>
        <w:gridCol w:w="2261"/>
        <w:gridCol w:w="1904"/>
      </w:tblGrid>
      <w:tr>
        <w:trPr/>
        <w:tc>
          <w:tcPr>
            <w:tcW w:w="263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2273"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 xml:space="preserve">Rozpočet upravený na rok 2017          </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xml:space="preserve">   </w:t>
            </w:r>
            <w:r>
              <w:rPr/>
              <w:t>% plnenia</w:t>
            </w:r>
          </w:p>
        </w:tc>
      </w:tr>
      <w:tr>
        <w:trPr/>
        <w:tc>
          <w:tcPr>
            <w:tcW w:w="263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Daň za psa</w:t>
            </w:r>
          </w:p>
        </w:tc>
        <w:tc>
          <w:tcPr>
            <w:tcW w:w="227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1.649,00</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1.629,00</w:t>
            </w:r>
          </w:p>
        </w:tc>
        <w:tc>
          <w:tcPr>
            <w:tcW w:w="1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98,79</w:t>
            </w:r>
          </w:p>
        </w:tc>
      </w:tr>
      <w:tr>
        <w:trPr/>
        <w:tc>
          <w:tcPr>
            <w:tcW w:w="263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Daň za ubytovanie</w:t>
            </w:r>
          </w:p>
        </w:tc>
        <w:tc>
          <w:tcPr>
            <w:tcW w:w="227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60,00</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48,00</w:t>
            </w:r>
          </w:p>
        </w:tc>
        <w:tc>
          <w:tcPr>
            <w:tcW w:w="1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80,00</w:t>
            </w:r>
          </w:p>
        </w:tc>
      </w:tr>
      <w:tr>
        <w:trPr/>
        <w:tc>
          <w:tcPr>
            <w:tcW w:w="2630"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Poplatok za TKO</w:t>
            </w:r>
          </w:p>
        </w:tc>
        <w:tc>
          <w:tcPr>
            <w:tcW w:w="227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10.800,00</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10.785,42</w:t>
            </w:r>
          </w:p>
        </w:tc>
        <w:tc>
          <w:tcPr>
            <w:tcW w:w="19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99,87</w:t>
            </w:r>
          </w:p>
        </w:tc>
      </w:tr>
    </w:tbl>
    <w:p>
      <w:pPr>
        <w:pStyle w:val="Normal"/>
        <w:rPr>
          <w:b/>
          <w:b/>
          <w:bCs/>
          <w:color w:val="EF413D"/>
          <w:lang w:val="sk-SK"/>
        </w:rPr>
      </w:pPr>
      <w:r>
        <w:rPr>
          <w:b/>
          <w:bCs/>
          <w:color w:val="EF413D"/>
          <w:lang w:val="sk-SK"/>
        </w:rPr>
      </w:r>
    </w:p>
    <w:p>
      <w:pPr>
        <w:pStyle w:val="Normal"/>
        <w:tabs>
          <w:tab w:val="left" w:pos="388" w:leader="none"/>
        </w:tabs>
        <w:rPr>
          <w:color w:val="EF413D"/>
        </w:rPr>
      </w:pPr>
      <w:r>
        <w:rPr>
          <w:bCs/>
          <w:color w:val="EF413D"/>
          <w:lang w:val="sk-SK"/>
        </w:rPr>
        <w:t xml:space="preserve"> </w:t>
      </w:r>
      <w:r>
        <w:rPr>
          <w:bCs/>
          <w:color w:val="EF413D"/>
          <w:lang w:val="sk-SK"/>
        </w:rPr>
        <w:tab/>
      </w:r>
      <w:r>
        <w:rPr>
          <w:bCs/>
          <w:color w:val="auto"/>
          <w:lang w:val="sk-SK"/>
        </w:rPr>
        <w:t xml:space="preserve"> </w:t>
      </w:r>
      <w:r>
        <w:rPr>
          <w:b/>
          <w:bCs/>
          <w:color w:val="auto"/>
          <w:sz w:val="28"/>
          <w:szCs w:val="28"/>
          <w:lang w:val="sk-SK"/>
        </w:rPr>
        <w:t>B.</w:t>
      </w:r>
      <w:r>
        <w:rPr>
          <w:b/>
          <w:bCs/>
          <w:color w:val="auto"/>
          <w:sz w:val="32"/>
          <w:lang w:val="sk-SK"/>
        </w:rPr>
        <w:t xml:space="preserve">  </w:t>
      </w:r>
      <w:r>
        <w:rPr>
          <w:b/>
          <w:bCs/>
          <w:color w:val="auto"/>
          <w:sz w:val="28"/>
          <w:lang w:val="sk-SK"/>
        </w:rPr>
        <w:t>Bežné príjmy – nedaňové</w:t>
      </w:r>
    </w:p>
    <w:p>
      <w:pPr>
        <w:pStyle w:val="Normal"/>
        <w:rPr>
          <w:color w:val="auto"/>
        </w:rPr>
      </w:pPr>
      <w:r>
        <w:rPr>
          <w:color w:val="auto"/>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2017</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rHeight w:val="314" w:hRule="atLeast"/>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23.208,18</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22.465,27</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96,8</w:t>
            </w:r>
          </w:p>
        </w:tc>
      </w:tr>
    </w:tbl>
    <w:p>
      <w:pPr>
        <w:pStyle w:val="Normal"/>
        <w:rPr>
          <w:color w:val="EF413D"/>
          <w:lang w:val="sk-SK"/>
        </w:rPr>
      </w:pPr>
      <w:r>
        <w:rPr>
          <w:color w:val="EF413D"/>
          <w:lang w:val="sk-SK"/>
        </w:rPr>
      </w:r>
    </w:p>
    <w:p>
      <w:pPr>
        <w:pStyle w:val="Normal"/>
        <w:rPr/>
      </w:pPr>
      <w:r>
        <w:rPr>
          <w:b/>
          <w:bCs/>
          <w:color w:val="EF413D"/>
          <w:lang w:val="sk-SK"/>
        </w:rPr>
        <w:tab/>
      </w:r>
      <w:r>
        <w:rPr>
          <w:b/>
          <w:bCs/>
          <w:color w:val="auto"/>
          <w:lang w:val="sk-SK"/>
        </w:rPr>
        <w:t>1. Príjmy z prenájmu:</w:t>
      </w:r>
    </w:p>
    <w:p>
      <w:pPr>
        <w:pStyle w:val="Normal"/>
        <w:tabs>
          <w:tab w:val="left" w:pos="382" w:leader="none"/>
        </w:tabs>
        <w:ind w:firstLine="360"/>
        <w:jc w:val="both"/>
        <w:rPr/>
      </w:pPr>
      <w:r>
        <w:rPr/>
        <w:tab/>
        <w:tab/>
        <w:t xml:space="preserve">Z rozpočtovaných 8.590,00 EUR bol skutočný príjem vo výške 8.335,11 EUR, čo predstavuje </w:t>
        <w:tab/>
        <w:tab/>
        <w:t>plnenie na  97,03 %.</w:t>
      </w:r>
    </w:p>
    <w:p>
      <w:pPr>
        <w:pStyle w:val="Normal"/>
        <w:rPr>
          <w:b/>
          <w:b/>
          <w:bCs/>
        </w:rPr>
      </w:pPr>
      <w:r>
        <w:rPr>
          <w:b/>
          <w:bCs/>
        </w:rPr>
        <w:tab/>
        <w:t>2. Administratívne - správne poplatky a iné  poplatky:</w:t>
      </w:r>
    </w:p>
    <w:p>
      <w:pPr>
        <w:pStyle w:val="Normal"/>
        <w:tabs>
          <w:tab w:val="left" w:pos="382" w:leader="none"/>
        </w:tabs>
        <w:ind w:firstLine="360"/>
        <w:jc w:val="both"/>
        <w:rPr/>
      </w:pPr>
      <w:r>
        <w:rPr/>
        <w:tab/>
        <w:tab/>
        <w:t xml:space="preserve">Z rozpočtovaných 3.658,50 EUR bol skutočný príjem vo výške 3.370,25 EUR, čo predstavuje </w:t>
        <w:tab/>
        <w:tab/>
        <w:t>plnenie na  92,12 %.</w:t>
      </w:r>
    </w:p>
    <w:p>
      <w:pPr>
        <w:pStyle w:val="Normal"/>
        <w:jc w:val="both"/>
        <w:rPr>
          <w:b/>
          <w:b/>
          <w:bCs/>
        </w:rPr>
      </w:pPr>
      <w:r>
        <w:rPr>
          <w:b/>
          <w:bCs/>
        </w:rPr>
        <w:tab/>
        <w:t>3. Poplatky z predaja</w:t>
      </w:r>
    </w:p>
    <w:p>
      <w:pPr>
        <w:pStyle w:val="Normal"/>
        <w:ind w:firstLine="360"/>
        <w:jc w:val="both"/>
        <w:rPr/>
      </w:pPr>
      <w:r>
        <w:rPr>
          <w:b/>
          <w:bCs/>
        </w:rPr>
        <w:tab/>
      </w:r>
      <w:r>
        <w:rPr/>
        <w:t xml:space="preserve">Z rozpočtovaných 2.640,00 EUR bol skutočný príjem vo výške 2.446,14 EUR, čo predstavuje </w:t>
        <w:tab/>
        <w:t>plnenie na 92,66%.</w:t>
      </w:r>
    </w:p>
    <w:p>
      <w:pPr>
        <w:pStyle w:val="Normal"/>
        <w:jc w:val="both"/>
        <w:rPr>
          <w:b/>
          <w:b/>
          <w:bCs/>
        </w:rPr>
      </w:pPr>
      <w:r>
        <w:rPr>
          <w:b/>
          <w:bCs/>
        </w:rPr>
        <w:tab/>
        <w:t>4. Úroky z vkladov</w:t>
      </w:r>
    </w:p>
    <w:p>
      <w:pPr>
        <w:pStyle w:val="Normal"/>
        <w:ind w:firstLine="360"/>
        <w:jc w:val="both"/>
        <w:rPr/>
      </w:pPr>
      <w:r>
        <w:rPr/>
        <w:tab/>
        <w:t xml:space="preserve">Z rozpočtovaných 3,00 EUR bol skutočný príjem vo výške 0,00 EUR, čo predstavuje plnenie </w:t>
        <w:tab/>
        <w:t>na 0,00%</w:t>
      </w:r>
    </w:p>
    <w:p>
      <w:pPr>
        <w:pStyle w:val="Normal"/>
        <w:jc w:val="both"/>
        <w:rPr>
          <w:b/>
          <w:b/>
          <w:bCs/>
        </w:rPr>
      </w:pPr>
      <w:r>
        <w:rPr>
          <w:b/>
          <w:bCs/>
        </w:rPr>
        <w:tab/>
        <w:t>5. Príjmy z dobropisov a vratiek</w:t>
      </w:r>
    </w:p>
    <w:p>
      <w:pPr>
        <w:pStyle w:val="Normal"/>
        <w:ind w:firstLine="360"/>
        <w:jc w:val="both"/>
        <w:rPr/>
      </w:pPr>
      <w:r>
        <w:rPr/>
        <w:t xml:space="preserve">   </w:t>
      </w:r>
      <w:r>
        <w:rPr/>
        <w:tab/>
        <w:t>Z rozpočtovaných 8.316,68 EUR bol skutočný príjem vo výške 8.313,77 EUR,</w:t>
      </w:r>
    </w:p>
    <w:p>
      <w:pPr>
        <w:pStyle w:val="Normal"/>
        <w:rPr/>
      </w:pPr>
      <w:r>
        <w:rPr>
          <w:b/>
          <w:bCs/>
          <w:color w:val="EF413D"/>
          <w:lang w:val="sk-SK"/>
        </w:rPr>
        <w:tab/>
      </w:r>
      <w:r>
        <w:rPr>
          <w:b w:val="false"/>
          <w:bCs w:val="false"/>
          <w:color w:val="auto"/>
          <w:lang w:val="sk-SK"/>
        </w:rPr>
        <w:t>čo predstavuje plnenie na 99,97%</w:t>
      </w:r>
    </w:p>
    <w:p>
      <w:pPr>
        <w:pStyle w:val="Normal"/>
        <w:tabs>
          <w:tab w:val="left" w:pos="459" w:leader="none"/>
        </w:tabs>
        <w:rPr>
          <w:color w:val="EF413D"/>
        </w:rPr>
      </w:pPr>
      <w:r>
        <w:rPr>
          <w:color w:val="auto"/>
          <w:lang w:val="sk-SK"/>
        </w:rPr>
        <w:tab/>
      </w:r>
      <w:r>
        <w:rPr>
          <w:b/>
          <w:bCs/>
          <w:color w:val="auto"/>
          <w:sz w:val="28"/>
          <w:szCs w:val="28"/>
          <w:lang w:val="sk-SK"/>
        </w:rPr>
        <w:t>C. Iné nedaňové príjmy</w:t>
      </w:r>
    </w:p>
    <w:p>
      <w:pPr>
        <w:pStyle w:val="Normal"/>
        <w:rPr>
          <w:color w:val="EF413D"/>
        </w:rPr>
      </w:pPr>
      <w:r>
        <w:rPr>
          <w:color w:val="EF413D"/>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3"/>
        <w:gridCol w:w="3709"/>
        <w:gridCol w:w="1936"/>
      </w:tblGrid>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2017</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47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698.746,66</w:t>
            </w:r>
          </w:p>
        </w:tc>
        <w:tc>
          <w:tcPr>
            <w:tcW w:w="370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696.863,75</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99,73</w:t>
            </w:r>
          </w:p>
        </w:tc>
      </w:tr>
    </w:tbl>
    <w:p>
      <w:pPr>
        <w:pStyle w:val="Normal"/>
        <w:jc w:val="both"/>
        <w:rPr>
          <w:color w:val="EF413D"/>
        </w:rPr>
      </w:pPr>
      <w:r>
        <w:rPr>
          <w:color w:val="EF413D"/>
        </w:rPr>
      </w:r>
    </w:p>
    <w:p>
      <w:pPr>
        <w:pStyle w:val="Normal"/>
        <w:ind w:left="0" w:right="0" w:firstLine="360"/>
        <w:rPr>
          <w:color w:val="EF413D"/>
        </w:rPr>
      </w:pPr>
      <w:r>
        <w:rPr>
          <w:b/>
          <w:bCs/>
          <w:color w:val="auto"/>
          <w:lang w:val="sk-SK"/>
        </w:rPr>
        <w:tab/>
        <w:t>Obec prijala nasledovné transfery:</w:t>
      </w:r>
    </w:p>
    <w:p>
      <w:pPr>
        <w:pStyle w:val="Normal"/>
        <w:rPr>
          <w:color w:val="EF413D"/>
          <w:lang w:val="sk-SK"/>
        </w:rPr>
      </w:pPr>
      <w:r>
        <w:rPr>
          <w:color w:val="EF413D"/>
          <w:lang w:val="sk-SK"/>
        </w:rPr>
      </w:r>
    </w:p>
    <w:tbl>
      <w:tblPr>
        <w:tblW w:w="9135"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82"/>
        <w:gridCol w:w="3265"/>
        <w:gridCol w:w="2118"/>
        <w:gridCol w:w="2869"/>
      </w:tblGrid>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 xml:space="preserve">   </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 xml:space="preserve">Poskytovateľ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 xml:space="preserve"> </w:t>
            </w:r>
            <w:r>
              <w:rPr/>
              <w:t>Suma  v EUR</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xml:space="preserve">      </w:t>
            </w:r>
            <w:r>
              <w:rPr/>
              <w:t xml:space="preserve">Účel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586,61</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Register obyvateľ. adries</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 xml:space="preserve">Krajský stavebný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sz w:val="22"/>
                <w:szCs w:val="22"/>
              </w:rPr>
            </w:pPr>
            <w:r>
              <w:rPr>
                <w:sz w:val="22"/>
                <w:szCs w:val="22"/>
              </w:rPr>
              <w:t>1.038,81</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 xml:space="preserve">Stavebný úrad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3</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Krajský úrad, cestná dopr.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48,25</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Doprava a komunikácie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4</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512,8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Voľby NR SR</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MŽP</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104,38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Životné prostredie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zxx" w:eastAsia="zxx" w:bidi="zxx"/>
              </w:rPr>
            </w:pPr>
            <w:r>
              <w:rPr>
                <w:lang w:val="zxx" w:eastAsia="zxx" w:bidi="zxx"/>
              </w:rPr>
              <w:t xml:space="preserve">         </w:t>
            </w:r>
            <w:r>
              <w:rPr>
                <w:lang w:val="zxx" w:eastAsia="zxx" w:bidi="zxx"/>
              </w:rPr>
              <w:t>UPSVaR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4.773,04</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UPSVaR</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7</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4.204,14</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Matrika</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8</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MV SR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164.052,64</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Povodne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9</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Mimo VS</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3.000,00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t xml:space="preserve">DHZ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10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KŠU</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 xml:space="preserve">505.013,08 </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 xml:space="preserve"> </w:t>
            </w:r>
            <w:r>
              <w:rPr/>
              <w:t>ZŠ</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11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MV SR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 xml:space="preserve">9.000,00 </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 xml:space="preserve"> </w:t>
            </w:r>
            <w:r>
              <w:rPr/>
              <w:t>Kamerový systém</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t>13</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t xml:space="preserve">          </w:t>
            </w:r>
            <w:r>
              <w:rPr/>
              <w:t xml:space="preserve">Mimo VS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right"/>
              <w:rPr/>
            </w:pPr>
            <w:r>
              <w:rPr/>
              <w:t xml:space="preserve">4.530,00 </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rPr/>
            </w:pPr>
            <w:r>
              <w:rPr/>
              <w:t xml:space="preserve"> </w:t>
            </w:r>
            <w:r>
              <w:rPr/>
              <w:t>Ostatné</w:t>
            </w:r>
          </w:p>
        </w:tc>
      </w:tr>
    </w:tbl>
    <w:p>
      <w:pPr>
        <w:pStyle w:val="Normal"/>
        <w:rPr>
          <w:color w:val="EF413D"/>
        </w:rPr>
      </w:pPr>
      <w:r>
        <w:rPr>
          <w:color w:val="EF413D"/>
          <w:lang w:val="sk-SK"/>
        </w:rPr>
        <w:t xml:space="preserve"> </w:t>
      </w:r>
      <w:r>
        <w:rPr>
          <w:color w:val="EF413D"/>
          <w:lang w:val="sk-SK"/>
        </w:rPr>
        <w:tab/>
      </w:r>
    </w:p>
    <w:p>
      <w:pPr>
        <w:pStyle w:val="Normal"/>
        <w:rPr>
          <w:color w:val="EF413D"/>
        </w:rPr>
      </w:pPr>
      <w:r>
        <w:rPr>
          <w:color w:val="EF413D"/>
          <w:lang w:val="sk-SK"/>
        </w:rPr>
        <w:tab/>
      </w:r>
      <w:r>
        <w:rPr>
          <w:color w:val="auto"/>
          <w:lang w:val="sk-SK"/>
        </w:rPr>
        <w:t>Prijaté transfery boli účelovo viazané a boli  použité v súlade s ich účelom.</w:t>
      </w:r>
    </w:p>
    <w:p>
      <w:pPr>
        <w:pStyle w:val="Normal"/>
        <w:rPr>
          <w:color w:val="EF413D"/>
          <w:highlight w:val="lightGray"/>
          <w:lang w:val="sk-SK"/>
        </w:rPr>
      </w:pPr>
      <w:r>
        <w:rPr>
          <w:color w:val="EF413D"/>
          <w:highlight w:val="lightGray"/>
          <w:lang w:val="sk-SK"/>
        </w:rPr>
      </w:r>
    </w:p>
    <w:p>
      <w:pPr>
        <w:pStyle w:val="Normal"/>
        <w:rPr>
          <w:b/>
          <w:b/>
          <w:bCs/>
          <w:sz w:val="28"/>
          <w:lang w:val="sk-SK"/>
        </w:rPr>
      </w:pPr>
      <w:r>
        <w:rPr>
          <w:b/>
          <w:bCs/>
          <w:color w:val="auto"/>
          <w:sz w:val="28"/>
          <w:lang w:val="sk-SK"/>
        </w:rPr>
        <w:t>2)   Kapitálové príjmy</w:t>
      </w:r>
    </w:p>
    <w:p>
      <w:pPr>
        <w:pStyle w:val="Normal"/>
        <w:rPr>
          <w:b/>
          <w:b/>
          <w:bCs/>
          <w:color w:val="EF413D"/>
          <w:sz w:val="28"/>
          <w:lang w:val="sk-SK"/>
        </w:rPr>
      </w:pPr>
      <w:r>
        <w:rPr>
          <w:b/>
          <w:bCs/>
          <w:color w:val="EF413D"/>
          <w:sz w:val="28"/>
          <w:lang w:val="sk-SK"/>
        </w:rPr>
      </w:r>
    </w:p>
    <w:tbl>
      <w:tblPr>
        <w:tblW w:w="8924" w:type="dxa"/>
        <w:jc w:val="left"/>
        <w:tblInd w:w="83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06"/>
        <w:gridCol w:w="3565"/>
        <w:gridCol w:w="1653"/>
      </w:tblGrid>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2017</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20.000,00</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20.000,00</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100,00</w:t>
            </w:r>
          </w:p>
        </w:tc>
      </w:tr>
    </w:tbl>
    <w:p>
      <w:pPr>
        <w:pStyle w:val="Normal"/>
        <w:ind w:left="0" w:right="0" w:firstLine="708"/>
        <w:rPr>
          <w:color w:val="EF413D"/>
          <w:lang w:val="sk-SK"/>
        </w:rPr>
      </w:pPr>
      <w:r>
        <w:rPr>
          <w:color w:val="EF413D"/>
          <w:lang w:val="sk-SK"/>
        </w:rPr>
      </w:r>
    </w:p>
    <w:p>
      <w:pPr>
        <w:pStyle w:val="Normal"/>
        <w:jc w:val="both"/>
        <w:rPr/>
      </w:pPr>
      <w:r>
        <w:rPr>
          <w:color w:val="EF413D"/>
          <w:lang w:val="sk-SK"/>
        </w:rPr>
        <w:tab/>
      </w:r>
      <w:r>
        <w:rPr>
          <w:color w:val="auto"/>
          <w:lang w:val="sk-SK"/>
        </w:rPr>
        <w:t>Kapitálové príjmy tvorili príjmy finančných zábezpek na verejné obstarávanie.</w:t>
      </w:r>
    </w:p>
    <w:p>
      <w:pPr>
        <w:pStyle w:val="Normal"/>
        <w:jc w:val="both"/>
        <w:rPr>
          <w:color w:val="EF413D"/>
          <w:lang w:val="sk-SK"/>
        </w:rPr>
      </w:pPr>
      <w:r>
        <w:rPr>
          <w:color w:val="EF413D"/>
          <w:lang w:val="sk-SK"/>
        </w:rPr>
      </w:r>
    </w:p>
    <w:p>
      <w:pPr>
        <w:pStyle w:val="Normal"/>
        <w:tabs>
          <w:tab w:val="left" w:pos="0" w:leader="none"/>
        </w:tabs>
        <w:rPr>
          <w:b/>
          <w:b/>
          <w:sz w:val="28"/>
          <w:lang w:val="sk-SK"/>
        </w:rPr>
      </w:pPr>
      <w:r>
        <w:rPr>
          <w:b/>
          <w:color w:val="auto"/>
          <w:sz w:val="28"/>
          <w:lang w:val="sk-SK"/>
        </w:rPr>
        <w:t>3)   Finančné príjmy</w:t>
      </w:r>
    </w:p>
    <w:p>
      <w:pPr>
        <w:pStyle w:val="Normal"/>
        <w:rPr>
          <w:b/>
          <w:b/>
          <w:color w:val="EF413D"/>
          <w:sz w:val="28"/>
          <w:lang w:val="sk-SK"/>
        </w:rPr>
      </w:pPr>
      <w:r>
        <w:rPr>
          <w:b/>
          <w:color w:val="EF413D"/>
          <w:sz w:val="28"/>
          <w:lang w:val="sk-SK"/>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upravený na rok 2017</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0,00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0,00</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0,00</w:t>
            </w:r>
          </w:p>
        </w:tc>
      </w:tr>
    </w:tbl>
    <w:p>
      <w:pPr>
        <w:pStyle w:val="Odsekzoznamu"/>
        <w:ind w:left="0" w:right="0" w:firstLine="708"/>
        <w:jc w:val="both"/>
        <w:rPr>
          <w:color w:val="EF413D"/>
          <w:lang w:val="sk-SK"/>
        </w:rPr>
      </w:pPr>
      <w:r>
        <w:rPr>
          <w:color w:val="EF413D"/>
          <w:lang w:val="sk-SK"/>
        </w:rPr>
      </w:r>
    </w:p>
    <w:p>
      <w:pPr>
        <w:pStyle w:val="Normal"/>
        <w:ind w:left="0" w:right="0" w:firstLine="708"/>
        <w:jc w:val="both"/>
        <w:rPr>
          <w:color w:val="auto"/>
        </w:rPr>
      </w:pPr>
      <w:r>
        <w:rPr>
          <w:color w:val="auto"/>
          <w:lang w:val="sk-SK"/>
        </w:rPr>
        <w:t>Obec nemala v roku 2017 rozpočtované žiadne finančné príjmy.</w:t>
      </w:r>
    </w:p>
    <w:p>
      <w:pPr>
        <w:pStyle w:val="Odsekzoznamu"/>
        <w:ind w:left="0" w:right="0" w:firstLine="708"/>
        <w:jc w:val="both"/>
        <w:rPr>
          <w:bCs/>
          <w:smallCaps/>
          <w:color w:val="EF413D"/>
          <w:highlight w:val="lightGray"/>
          <w:lang w:val="sk-SK"/>
        </w:rPr>
      </w:pPr>
      <w:r>
        <w:rPr>
          <w:bCs/>
          <w:smallCaps/>
          <w:color w:val="EF413D"/>
          <w:highlight w:val="lightGray"/>
          <w:lang w:val="sk-SK"/>
        </w:rPr>
      </w:r>
    </w:p>
    <w:p>
      <w:pPr>
        <w:pStyle w:val="Normal"/>
        <w:suppressAutoHyphens w:val="false"/>
        <w:ind w:left="720" w:right="0" w:hanging="0"/>
        <w:jc w:val="both"/>
        <w:rPr>
          <w:bCs/>
          <w:smallCaps/>
          <w:color w:val="EF413D"/>
          <w:highlight w:val="lightGray"/>
          <w:lang w:val="sk-SK"/>
        </w:rPr>
      </w:pPr>
      <w:r>
        <w:rPr>
          <w:bCs/>
          <w:smallCaps/>
          <w:color w:val="EF413D"/>
          <w:highlight w:val="lightGray"/>
          <w:lang w:val="sk-SK"/>
        </w:rPr>
      </w:r>
    </w:p>
    <w:p>
      <w:pPr>
        <w:pStyle w:val="Normal"/>
        <w:suppressAutoHyphens w:val="false"/>
        <w:ind w:left="284" w:right="0" w:hanging="284"/>
        <w:jc w:val="both"/>
        <w:rPr>
          <w:b/>
          <w:b/>
          <w:sz w:val="28"/>
          <w:szCs w:val="28"/>
        </w:rPr>
      </w:pPr>
      <w:r>
        <w:rPr>
          <w:b/>
          <w:color w:val="auto"/>
          <w:sz w:val="28"/>
          <w:szCs w:val="28"/>
        </w:rPr>
        <w:t>4)  Príjmy rozpočtových organizácií s právnou subjektivitou - ZŠ:</w:t>
      </w:r>
    </w:p>
    <w:p>
      <w:pPr>
        <w:pStyle w:val="Normal"/>
        <w:jc w:val="both"/>
        <w:rPr>
          <w:b/>
          <w:b/>
          <w:color w:val="auto"/>
          <w:highlight w:val="lightGray"/>
        </w:rPr>
      </w:pPr>
      <w:r>
        <w:rPr>
          <w:b/>
          <w:color w:val="auto"/>
          <w:highlight w:val="lightGray"/>
        </w:rPr>
      </w:r>
    </w:p>
    <w:p>
      <w:pPr>
        <w:pStyle w:val="Normal"/>
        <w:rPr>
          <w:b/>
          <w:b/>
        </w:rPr>
      </w:pPr>
      <w:r>
        <w:rPr>
          <w:b/>
          <w:color w:val="auto"/>
        </w:rPr>
        <w:tab/>
        <w:t xml:space="preserve">Bežné príjmy </w:t>
      </w:r>
    </w:p>
    <w:p>
      <w:pPr>
        <w:pStyle w:val="Normal"/>
        <w:rPr>
          <w:b/>
          <w:b/>
          <w:color w:val="auto"/>
        </w:rPr>
      </w:pPr>
      <w:r>
        <w:rPr>
          <w:b/>
          <w:color w:val="auto"/>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Rozpočet na rok 2017</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Skutočnosť k 31.12.2017</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61.181,95</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61.181,95</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100,00</w:t>
            </w:r>
          </w:p>
        </w:tc>
      </w:tr>
    </w:tbl>
    <w:p>
      <w:pPr>
        <w:pStyle w:val="Normal"/>
        <w:rPr>
          <w:b/>
          <w:b/>
          <w:color w:val="EF413D"/>
        </w:rPr>
      </w:pPr>
      <w:r>
        <w:rPr>
          <w:b/>
          <w:color w:val="EF413D"/>
        </w:rPr>
      </w:r>
    </w:p>
    <w:p>
      <w:pPr>
        <w:pStyle w:val="Normal"/>
        <w:jc w:val="both"/>
        <w:rPr/>
      </w:pPr>
      <w:r>
        <w:rPr>
          <w:color w:val="EF413D"/>
        </w:rPr>
        <w:tab/>
      </w:r>
      <w:r>
        <w:rPr>
          <w:color w:val="auto"/>
        </w:rPr>
        <w:t xml:space="preserve">Z rozpočtovaných bežných príjmov 61.181,95 EUR bol skutočný príjem k 31.12.2017 </w:t>
        <w:tab/>
      </w:r>
    </w:p>
    <w:p>
      <w:pPr>
        <w:pStyle w:val="Normal"/>
        <w:jc w:val="both"/>
        <w:rPr/>
      </w:pPr>
      <w:r>
        <w:rPr/>
        <w:tab/>
        <w:t xml:space="preserve">v  sume  61.181,95 EUR, čo predstavuje 100,00% plnenie. </w:t>
      </w:r>
    </w:p>
    <w:p>
      <w:pPr>
        <w:pStyle w:val="Normal"/>
        <w:jc w:val="both"/>
        <w:rPr>
          <w:color w:val="EF413D"/>
        </w:rPr>
      </w:pPr>
      <w:r>
        <w:rPr>
          <w:color w:val="EF413D"/>
        </w:rPr>
      </w:r>
    </w:p>
    <w:p>
      <w:pPr>
        <w:pStyle w:val="Normal"/>
        <w:rPr/>
      </w:pPr>
      <w:r>
        <w:rPr>
          <w:b/>
          <w:color w:val="EF413D"/>
        </w:rPr>
        <w:tab/>
      </w:r>
      <w:r>
        <w:rPr>
          <w:b/>
          <w:color w:val="auto"/>
        </w:rPr>
        <w:t>Bežné príjmy Základnej školy s materskou školou:</w:t>
        <w:tab/>
        <w:tab/>
        <w:t>61.181,95 EUR</w:t>
      </w:r>
    </w:p>
    <w:p>
      <w:pPr>
        <w:pStyle w:val="Normal"/>
        <w:tabs>
          <w:tab w:val="left" w:pos="-3060" w:leader="none"/>
          <w:tab w:val="left" w:pos="709" w:leader="none"/>
          <w:tab w:val="right" w:pos="5040" w:leader="none"/>
        </w:tabs>
        <w:rPr/>
      </w:pPr>
      <w:r>
        <w:rPr>
          <w:color w:val="EF413D"/>
        </w:rPr>
        <w:tab/>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ListParagraph"/>
        <w:ind w:left="708" w:hanging="0"/>
        <w:rPr>
          <w:color w:val="auto"/>
        </w:rPr>
      </w:pPr>
      <w:r>
        <w:rPr>
          <w:b/>
          <w:color w:val="auto"/>
          <w:sz w:val="28"/>
          <w:szCs w:val="28"/>
        </w:rPr>
        <w:t>Rozbor čerpania výdavkov za rok 2017</w:t>
      </w:r>
    </w:p>
    <w:tbl>
      <w:tblPr>
        <w:tblW w:w="8906" w:type="dxa"/>
        <w:jc w:val="left"/>
        <w:tblInd w:w="90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41"/>
        <w:gridCol w:w="3583"/>
        <w:gridCol w:w="1582"/>
      </w:tblGrid>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rPr>
            </w:pPr>
            <w:r>
              <w:rPr>
                <w:b/>
              </w:rPr>
              <w:t>Rozpočet upravený na rok 2017</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rPr>
            </w:pPr>
            <w:r>
              <w:rPr>
                <w:b/>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rPr>
            </w:pPr>
            <w:r>
              <w:rPr>
                <w:b/>
              </w:rPr>
              <w:t>% plnenia</w:t>
            </w:r>
          </w:p>
        </w:tc>
      </w:tr>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1.200.315,01</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1.163.940,51</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96,97</w:t>
            </w:r>
          </w:p>
        </w:tc>
      </w:tr>
    </w:tbl>
    <w:p>
      <w:pPr>
        <w:pStyle w:val="Normal"/>
        <w:rPr>
          <w:color w:val="EF413D"/>
          <w:highlight w:val="lightGray"/>
        </w:rPr>
      </w:pPr>
      <w:r>
        <w:rPr>
          <w:color w:val="EF413D"/>
          <w:highlight w:val="lightGray"/>
        </w:rPr>
      </w:r>
    </w:p>
    <w:p>
      <w:pPr>
        <w:pStyle w:val="Normal"/>
        <w:rPr>
          <w:b/>
          <w:b/>
          <w:bCs/>
          <w:sz w:val="28"/>
          <w:lang w:val="sk-SK"/>
        </w:rPr>
      </w:pPr>
      <w:r>
        <w:rPr>
          <w:b/>
          <w:bCs/>
          <w:color w:val="auto"/>
          <w:sz w:val="28"/>
          <w:lang w:val="sk-SK"/>
        </w:rPr>
        <w:t>1)   Bežné výdavky</w:t>
      </w:r>
    </w:p>
    <w:p>
      <w:pPr>
        <w:pStyle w:val="Normal"/>
        <w:rPr>
          <w:b/>
          <w:b/>
          <w:bCs/>
          <w:color w:val="auto"/>
          <w:sz w:val="28"/>
          <w:lang w:val="sk-SK"/>
        </w:rPr>
      </w:pPr>
      <w:r>
        <w:rPr>
          <w:b/>
          <w:bCs/>
          <w:color w:val="auto"/>
          <w:sz w:val="28"/>
          <w:lang w:val="sk-SK"/>
        </w:rPr>
      </w:r>
    </w:p>
    <w:tbl>
      <w:tblPr>
        <w:tblW w:w="8924"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90"/>
        <w:gridCol w:w="3549"/>
        <w:gridCol w:w="1585"/>
      </w:tblGrid>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Rozpočet na rok 2017</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Skutočnosť k 31.12.2017</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color w:val="auto"/>
                <w:lang w:val="sk-SK"/>
              </w:rPr>
              <w:t>% plnenia</w:t>
            </w:r>
          </w:p>
        </w:tc>
      </w:tr>
      <w:tr>
        <w:trPr/>
        <w:tc>
          <w:tcPr>
            <w:tcW w:w="379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399.062,35</w:t>
            </w:r>
          </w:p>
        </w:tc>
        <w:tc>
          <w:tcPr>
            <w:tcW w:w="354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368.268,36</w:t>
            </w:r>
          </w:p>
        </w:tc>
        <w:tc>
          <w:tcPr>
            <w:tcW w:w="158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92,28</w:t>
            </w:r>
          </w:p>
        </w:tc>
      </w:tr>
    </w:tbl>
    <w:p>
      <w:pPr>
        <w:pStyle w:val="Normal"/>
        <w:rPr>
          <w:color w:val="auto"/>
          <w:highlight w:val="lightGray"/>
          <w:lang w:val="sk-SK"/>
        </w:rPr>
      </w:pPr>
      <w:r>
        <w:rPr>
          <w:color w:val="auto"/>
          <w:highlight w:val="lightGray"/>
          <w:lang w:val="sk-SK"/>
        </w:rPr>
      </w:r>
    </w:p>
    <w:p>
      <w:pPr>
        <w:pStyle w:val="Normal"/>
        <w:rPr>
          <w:color w:val="EF413D"/>
          <w:highlight w:val="lightGray"/>
          <w:lang w:val="sk-SK"/>
        </w:rPr>
      </w:pPr>
      <w:r>
        <w:rPr>
          <w:color w:val="EF413D"/>
          <w:highlight w:val="lightGray"/>
          <w:lang w:val="sk-SK"/>
        </w:rPr>
      </w:r>
    </w:p>
    <w:p>
      <w:pPr>
        <w:pStyle w:val="Normal"/>
        <w:rPr>
          <w:color w:val="EF413D"/>
        </w:rPr>
      </w:pPr>
      <w:r>
        <w:rPr>
          <w:color w:val="EF413D"/>
          <w:lang w:val="sk-SK"/>
        </w:rPr>
        <w:tab/>
      </w:r>
      <w:r>
        <w:rPr>
          <w:color w:val="auto"/>
          <w:lang w:val="sk-SK"/>
        </w:rPr>
        <w:t>V tom:</w:t>
      </w:r>
    </w:p>
    <w:tbl>
      <w:tblPr>
        <w:tblW w:w="8906"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34"/>
        <w:gridCol w:w="1820"/>
        <w:gridCol w:w="1693"/>
        <w:gridCol w:w="1758"/>
      </w:tblGrid>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b/>
                <w:b/>
              </w:rPr>
            </w:pPr>
            <w:r>
              <w:rPr>
                <w:b/>
              </w:rPr>
              <w:t>Funkčná klasifikácia</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rPr>
            </w:pPr>
            <w:r>
              <w:rPr>
                <w:b/>
              </w:rPr>
              <w:t>Rozpočet</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rPr>
            </w:pPr>
            <w:r>
              <w:rPr>
                <w:b/>
              </w:rPr>
              <w:t>Skutočnosť</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rPr>
            </w:pPr>
            <w:r>
              <w:rPr>
                <w:b/>
              </w:rPr>
              <w:t>% plnenia</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rFonts w:eastAsia="Arial"/>
              </w:rPr>
            </w:pPr>
            <w:r>
              <w:rPr>
                <w:rFonts w:eastAsia="Arial"/>
              </w:rPr>
              <w:t>Výkonné a zákonodarné orgány</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356.029,35</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328.221,03</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92,19</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Ochrana pred požiarmi</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3.000,00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3.000,00</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100,00</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Cestná doprava </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2.600,00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522,00</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20,08</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Nakladanie s odpadmi a ochrana ŽP</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27.452,00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27.451,84</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99,99</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Verejné osvetlenie</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2.481,00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1.573,49</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63,42</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Kultúrne služby</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7.400,00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7.400,00</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100,00</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Staroba</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100,00</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pPr>
            <w:r>
              <w:rPr/>
              <w:t>100,00</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pPr>
            <w:r>
              <w:rPr/>
              <w:t>100,00</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b/>
                <w:b/>
              </w:rPr>
            </w:pPr>
            <w:r>
              <w:rPr>
                <w:b/>
              </w:rPr>
              <w:t>SPOLU:</w:t>
            </w:r>
          </w:p>
        </w:tc>
        <w:tc>
          <w:tcPr>
            <w:tcW w:w="182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rPr>
            </w:pPr>
            <w:r>
              <w:rPr>
                <w:b/>
              </w:rPr>
              <w:t>399.062,35</w:t>
            </w:r>
          </w:p>
        </w:tc>
        <w:tc>
          <w:tcPr>
            <w:tcW w:w="1693"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b/>
                <w:b/>
              </w:rPr>
            </w:pPr>
            <w:r>
              <w:rPr>
                <w:b/>
              </w:rPr>
              <w:t>368.268,36</w:t>
            </w:r>
          </w:p>
        </w:tc>
        <w:tc>
          <w:tcPr>
            <w:tcW w:w="17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b/>
                <w:b/>
              </w:rPr>
            </w:pPr>
            <w:r>
              <w:rPr>
                <w:b/>
              </w:rPr>
              <w:t>92,28</w:t>
            </w:r>
          </w:p>
        </w:tc>
      </w:tr>
    </w:tbl>
    <w:p>
      <w:pPr>
        <w:pStyle w:val="Normal"/>
        <w:rPr>
          <w:color w:val="EF413D"/>
          <w:highlight w:val="lightGray"/>
          <w:lang w:val="sk-SK"/>
        </w:rPr>
      </w:pPr>
      <w:r>
        <w:rPr>
          <w:color w:val="EF413D"/>
          <w:highlight w:val="lightGray"/>
          <w:lang w:val="sk-SK"/>
        </w:rPr>
      </w:r>
    </w:p>
    <w:p>
      <w:pPr>
        <w:pStyle w:val="Normal"/>
        <w:tabs>
          <w:tab w:val="right" w:pos="284" w:leader="none"/>
        </w:tabs>
        <w:ind w:left="284" w:hanging="284"/>
        <w:jc w:val="both"/>
        <w:rPr/>
      </w:pPr>
      <w:r>
        <w:rPr>
          <w:b/>
        </w:rPr>
        <w:t>a) Mzdy, platy, služobné príjmy a ostatné osobné vyrovnania</w:t>
      </w:r>
    </w:p>
    <w:p>
      <w:pPr>
        <w:pStyle w:val="Normal"/>
        <w:tabs>
          <w:tab w:val="left" w:pos="286" w:leader="none"/>
        </w:tabs>
        <w:jc w:val="both"/>
        <w:rPr/>
      </w:pPr>
      <w:r>
        <w:rPr/>
        <w:t xml:space="preserve">Z rozpočtovaných 72.640,00,- EUR bolo skutočné čerpanie k 31.12.2017 v sume 69.099,85,- EUR, </w:t>
      </w:r>
    </w:p>
    <w:p>
      <w:pPr>
        <w:pStyle w:val="Normal"/>
        <w:tabs>
          <w:tab w:val="left" w:pos="286" w:leader="none"/>
        </w:tabs>
        <w:jc w:val="both"/>
        <w:rPr/>
      </w:pPr>
      <w:r>
        <w:rPr/>
        <w:t>čo je 95,13 % čerpanie. Patria sem mzdové prostriedky všetkých pracovníkov OcÚ.</w:t>
      </w:r>
    </w:p>
    <w:p>
      <w:pPr>
        <w:pStyle w:val="Normal"/>
        <w:tabs>
          <w:tab w:val="left" w:pos="286" w:leader="none"/>
        </w:tabs>
        <w:jc w:val="both"/>
        <w:rPr/>
      </w:pPr>
      <w:r>
        <w:rPr/>
      </w:r>
    </w:p>
    <w:p>
      <w:pPr>
        <w:pStyle w:val="Normal"/>
        <w:tabs>
          <w:tab w:val="right" w:pos="284" w:leader="none"/>
        </w:tabs>
        <w:ind w:left="284" w:hanging="284"/>
        <w:jc w:val="both"/>
        <w:rPr>
          <w:b/>
          <w:b/>
        </w:rPr>
      </w:pPr>
      <w:r>
        <w:rPr>
          <w:b/>
        </w:rPr>
        <w:t>b) Poistné a príspevok do poisťovní</w:t>
      </w:r>
    </w:p>
    <w:p>
      <w:pPr>
        <w:pStyle w:val="Normal"/>
        <w:tabs>
          <w:tab w:val="left" w:pos="327" w:leader="none"/>
        </w:tabs>
        <w:ind w:left="53" w:hanging="0"/>
        <w:jc w:val="both"/>
        <w:rPr/>
      </w:pPr>
      <w:r>
        <w:rPr/>
        <w:t xml:space="preserve">Z rozpočtovaných  45,074,00,- EUR bolo skutočne čerpané k 31.12.2017 v sume 43,180,84,- EUR, </w:t>
      </w:r>
    </w:p>
    <w:p>
      <w:pPr>
        <w:pStyle w:val="Normal"/>
        <w:tabs>
          <w:tab w:val="left" w:pos="341" w:leader="none"/>
        </w:tabs>
        <w:ind w:left="53" w:hanging="0"/>
        <w:jc w:val="both"/>
        <w:rPr/>
      </w:pPr>
      <w:r>
        <w:rPr/>
        <w:t xml:space="preserve">čo je 95,80% čerpanie. </w:t>
      </w:r>
    </w:p>
    <w:p>
      <w:pPr>
        <w:pStyle w:val="Normal"/>
        <w:tabs>
          <w:tab w:val="left" w:pos="341" w:leader="none"/>
        </w:tabs>
        <w:ind w:left="53" w:hanging="0"/>
        <w:jc w:val="both"/>
        <w:rPr/>
      </w:pPr>
      <w:r>
        <w:rPr/>
      </w:r>
    </w:p>
    <w:p>
      <w:pPr>
        <w:pStyle w:val="Normal"/>
        <w:tabs>
          <w:tab w:val="right" w:pos="284" w:leader="none"/>
        </w:tabs>
        <w:ind w:left="284" w:hanging="284"/>
        <w:jc w:val="both"/>
        <w:rPr>
          <w:b/>
          <w:b/>
        </w:rPr>
      </w:pPr>
      <w:r>
        <w:rPr>
          <w:b/>
        </w:rPr>
        <w:t>c) Tovary a služby</w:t>
      </w:r>
    </w:p>
    <w:p>
      <w:pPr>
        <w:pStyle w:val="Normal"/>
        <w:tabs>
          <w:tab w:val="left" w:pos="314" w:leader="none"/>
        </w:tabs>
        <w:jc w:val="both"/>
        <w:rPr/>
      </w:pPr>
      <w:r>
        <w:rPr/>
        <w:t xml:space="preserve">Z rozpočtovaných 259.539,24,- EUR bolo skutočne čerpané k 31.12.2017 v sume 234.178,56,- EUR, </w:t>
      </w:r>
    </w:p>
    <w:p>
      <w:pPr>
        <w:pStyle w:val="Normal"/>
        <w:tabs>
          <w:tab w:val="left" w:pos="314" w:leader="none"/>
        </w:tabs>
        <w:jc w:val="both"/>
        <w:rPr/>
      </w:pPr>
      <w:r>
        <w:rPr/>
        <w:t>čo je 90,23 % čerpanie. Ide o prevádzkové výdavky všetkých stredísk OcÚ, ako sú cestovné náhrady, energie, materiál, dopravné, rutinná a štandardná údržba, nájomné za nájom a ostatné tovary a služby.</w:t>
      </w:r>
    </w:p>
    <w:p>
      <w:pPr>
        <w:pStyle w:val="Normal"/>
        <w:tabs>
          <w:tab w:val="left" w:pos="314" w:leader="none"/>
        </w:tabs>
        <w:jc w:val="both"/>
        <w:rPr/>
      </w:pPr>
      <w:r>
        <w:rPr/>
      </w:r>
    </w:p>
    <w:p>
      <w:pPr>
        <w:pStyle w:val="Normal"/>
        <w:tabs>
          <w:tab w:val="right" w:pos="284" w:leader="none"/>
        </w:tabs>
        <w:ind w:left="284" w:hanging="284"/>
        <w:jc w:val="both"/>
        <w:rPr>
          <w:b/>
          <w:b/>
        </w:rPr>
      </w:pPr>
      <w:r>
        <w:rPr>
          <w:b/>
        </w:rPr>
        <w:t>d) Bežné transfery</w:t>
      </w:r>
    </w:p>
    <w:p>
      <w:pPr>
        <w:pStyle w:val="Normal"/>
        <w:tabs>
          <w:tab w:val="left" w:pos="286" w:leader="none"/>
        </w:tabs>
        <w:jc w:val="both"/>
        <w:rPr/>
      </w:pPr>
      <w:r>
        <w:rPr/>
        <w:t xml:space="preserve">Z rozpočtovaných 21.809,11,- EUR bolo skutočne čerpané k 31.12.2017 v sume 21.809,11,- EUR, </w:t>
      </w:r>
    </w:p>
    <w:p>
      <w:pPr>
        <w:pStyle w:val="Normal"/>
        <w:tabs>
          <w:tab w:val="left" w:pos="286" w:leader="none"/>
        </w:tabs>
        <w:jc w:val="both"/>
        <w:rPr>
          <w:b w:val="false"/>
          <w:b w:val="false"/>
          <w:bCs w:val="false"/>
          <w:color w:val="auto"/>
        </w:rPr>
      </w:pPr>
      <w:r>
        <w:rPr>
          <w:b w:val="false"/>
          <w:bCs w:val="false"/>
          <w:color w:val="auto"/>
          <w:lang w:val="sk-SK"/>
        </w:rPr>
        <w:t>čo predstavuje 100,00 % čerpanie.</w:t>
      </w:r>
    </w:p>
    <w:p>
      <w:pPr>
        <w:pStyle w:val="Normal"/>
        <w:ind w:left="0" w:right="0" w:firstLine="360"/>
        <w:jc w:val="both"/>
        <w:rPr>
          <w:color w:val="EF413D"/>
          <w:highlight w:val="lightGray"/>
          <w:lang w:val="sk-SK"/>
        </w:rPr>
      </w:pPr>
      <w:r>
        <w:rPr>
          <w:color w:val="EF413D"/>
          <w:highlight w:val="lightGray"/>
          <w:lang w:val="sk-SK"/>
        </w:rPr>
      </w:r>
    </w:p>
    <w:p>
      <w:pPr>
        <w:pStyle w:val="Normal"/>
        <w:rPr>
          <w:color w:val="EF413D"/>
          <w:highlight w:val="lightGray"/>
          <w:lang w:val="sk-SK"/>
        </w:rPr>
      </w:pPr>
      <w:r>
        <w:rPr>
          <w:color w:val="EF413D"/>
          <w:highlight w:val="lightGray"/>
          <w:lang w:val="sk-SK"/>
        </w:rPr>
      </w:r>
    </w:p>
    <w:p>
      <w:pPr>
        <w:pStyle w:val="Normal"/>
        <w:rPr>
          <w:b/>
          <w:b/>
          <w:bCs/>
          <w:sz w:val="28"/>
          <w:lang w:val="sk-SK"/>
        </w:rPr>
      </w:pPr>
      <w:r>
        <w:rPr>
          <w:b/>
          <w:bCs/>
          <w:color w:val="auto"/>
          <w:sz w:val="28"/>
          <w:lang w:val="sk-SK"/>
        </w:rPr>
        <w:t>2)   Kapitálové výdavky</w:t>
      </w:r>
    </w:p>
    <w:p>
      <w:pPr>
        <w:pStyle w:val="Normal"/>
        <w:rPr>
          <w:color w:val="EF413D"/>
          <w:lang w:val="sk-SK"/>
        </w:rPr>
      </w:pPr>
      <w:r>
        <w:rPr>
          <w:color w:val="EF413D"/>
          <w:lang w:val="sk-SK"/>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Rozpočet na rok 2017</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color w:val="auto"/>
                <w:lang w:val="sk-SK"/>
              </w:rPr>
              <w:t>% plnenia</w:t>
            </w:r>
          </w:p>
        </w:tc>
      </w:tr>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62.897,00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57.316,49</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91,13</w:t>
            </w:r>
          </w:p>
        </w:tc>
      </w:tr>
    </w:tbl>
    <w:p>
      <w:pPr>
        <w:pStyle w:val="Normal"/>
        <w:rPr>
          <w:color w:val="EF413D"/>
          <w:highlight w:val="lightGray"/>
          <w:lang w:val="sk-SK"/>
        </w:rPr>
      </w:pPr>
      <w:r>
        <w:rPr>
          <w:color w:val="EF413D"/>
          <w:highlight w:val="lightGray"/>
          <w:lang w:val="sk-SK"/>
        </w:rPr>
      </w:r>
    </w:p>
    <w:p>
      <w:pPr>
        <w:pStyle w:val="Normal"/>
        <w:ind w:left="360" w:hanging="0"/>
        <w:jc w:val="both"/>
        <w:rPr/>
      </w:pPr>
      <w:r>
        <w:rPr>
          <w:b/>
          <w:color w:val="FF3333"/>
        </w:rPr>
        <w:tab/>
      </w:r>
      <w:r>
        <w:rPr>
          <w:b/>
        </w:rPr>
        <w:t>Ide o nasledovné investičné akcie :</w:t>
      </w:r>
    </w:p>
    <w:p>
      <w:pPr>
        <w:pStyle w:val="Normal"/>
        <w:numPr>
          <w:ilvl w:val="0"/>
          <w:numId w:val="4"/>
        </w:numPr>
        <w:tabs>
          <w:tab w:val="left" w:pos="709" w:leader="none"/>
        </w:tabs>
        <w:ind w:left="360" w:hanging="0"/>
        <w:jc w:val="both"/>
        <w:rPr/>
      </w:pPr>
      <w:r>
        <w:rPr/>
        <w:t>PD kanalizácia vo výške €23.748,00,-</w:t>
      </w:r>
    </w:p>
    <w:p>
      <w:pPr>
        <w:pStyle w:val="Normal"/>
        <w:numPr>
          <w:ilvl w:val="0"/>
          <w:numId w:val="4"/>
        </w:numPr>
        <w:tabs>
          <w:tab w:val="left" w:pos="709" w:leader="none"/>
        </w:tabs>
        <w:ind w:left="360" w:hanging="0"/>
        <w:jc w:val="both"/>
        <w:rPr/>
      </w:pPr>
      <w:r>
        <w:rPr/>
        <w:t>Projekty spolufinancovanie rozvoj obce €20.466,96,-</w:t>
      </w:r>
    </w:p>
    <w:p>
      <w:pPr>
        <w:pStyle w:val="Normal"/>
        <w:numPr>
          <w:ilvl w:val="0"/>
          <w:numId w:val="4"/>
        </w:numPr>
        <w:tabs>
          <w:tab w:val="left" w:pos="709" w:leader="none"/>
        </w:tabs>
        <w:ind w:left="360" w:hanging="0"/>
        <w:jc w:val="both"/>
        <w:rPr/>
      </w:pPr>
      <w:r>
        <w:rPr/>
        <w:t>Úprava verejného priestranstva vo výške €2.921,53,-</w:t>
      </w:r>
    </w:p>
    <w:p>
      <w:pPr>
        <w:pStyle w:val="Normal"/>
        <w:numPr>
          <w:ilvl w:val="0"/>
          <w:numId w:val="4"/>
        </w:numPr>
        <w:tabs>
          <w:tab w:val="left" w:pos="709" w:leader="none"/>
        </w:tabs>
        <w:ind w:left="360" w:hanging="0"/>
        <w:jc w:val="both"/>
        <w:rPr/>
      </w:pPr>
      <w:r>
        <w:rPr/>
        <w:t>Projekty spolufinancovanie vo výške €10.180,00,-</w:t>
      </w:r>
    </w:p>
    <w:p>
      <w:pPr>
        <w:pStyle w:val="Normal"/>
        <w:tabs>
          <w:tab w:val="left" w:pos="567" w:leader="none"/>
          <w:tab w:val="right" w:pos="5580" w:leader="none"/>
        </w:tabs>
        <w:ind w:left="567" w:hanging="0"/>
        <w:jc w:val="both"/>
        <w:rPr>
          <w:color w:val="EF413D"/>
          <w:lang w:val="sk-SK"/>
        </w:rPr>
      </w:pPr>
      <w:r>
        <w:rPr>
          <w:color w:val="EF413D"/>
          <w:lang w:val="sk-SK"/>
        </w:rPr>
      </w:r>
    </w:p>
    <w:p>
      <w:pPr>
        <w:pStyle w:val="Normal"/>
        <w:rPr>
          <w:b/>
          <w:b/>
          <w:bCs/>
          <w:color w:val="EF413D"/>
          <w:sz w:val="28"/>
          <w:szCs w:val="28"/>
          <w:lang w:val="sk-SK"/>
        </w:rPr>
      </w:pPr>
      <w:r>
        <w:rPr>
          <w:b/>
          <w:bCs/>
          <w:color w:val="EF413D"/>
          <w:sz w:val="28"/>
          <w:szCs w:val="28"/>
          <w:lang w:val="sk-SK"/>
        </w:rPr>
      </w:r>
    </w:p>
    <w:p>
      <w:pPr>
        <w:pStyle w:val="Normal"/>
        <w:rPr>
          <w:b/>
          <w:b/>
          <w:bCs/>
          <w:color w:val="EF413D"/>
          <w:sz w:val="28"/>
          <w:szCs w:val="28"/>
          <w:lang w:val="sk-SK"/>
        </w:rPr>
      </w:pPr>
      <w:r>
        <w:rPr>
          <w:b/>
          <w:bCs/>
          <w:color w:val="EF413D"/>
          <w:sz w:val="28"/>
          <w:szCs w:val="28"/>
          <w:lang w:val="sk-SK"/>
        </w:rPr>
      </w:r>
    </w:p>
    <w:p>
      <w:pPr>
        <w:pStyle w:val="Normal"/>
        <w:rPr>
          <w:b/>
          <w:b/>
          <w:bCs/>
          <w:color w:val="EF413D"/>
          <w:sz w:val="28"/>
          <w:szCs w:val="28"/>
          <w:lang w:val="sk-SK"/>
        </w:rPr>
      </w:pPr>
      <w:r>
        <w:rPr>
          <w:b/>
          <w:bCs/>
          <w:color w:val="EF413D"/>
          <w:sz w:val="28"/>
          <w:szCs w:val="28"/>
          <w:lang w:val="sk-SK"/>
        </w:rPr>
      </w:r>
    </w:p>
    <w:p>
      <w:pPr>
        <w:pStyle w:val="Normal"/>
        <w:rPr>
          <w:b/>
          <w:b/>
          <w:bCs/>
          <w:sz w:val="28"/>
          <w:szCs w:val="28"/>
        </w:rPr>
      </w:pPr>
      <w:r>
        <w:rPr>
          <w:b/>
          <w:bCs/>
          <w:color w:val="auto"/>
          <w:sz w:val="28"/>
          <w:szCs w:val="28"/>
        </w:rPr>
        <w:t>3)   Finančné výdavky</w:t>
      </w:r>
    </w:p>
    <w:p>
      <w:pPr>
        <w:pStyle w:val="Normal"/>
        <w:rPr>
          <w:color w:val="EF413D"/>
        </w:rPr>
      </w:pPr>
      <w:r>
        <w:rPr>
          <w:color w:val="EF413D"/>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Rozpočet na rok 2017</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color w:val="auto"/>
                <w:lang w:val="sk-SK"/>
              </w:rPr>
              <w:t>% plnenia</w:t>
            </w:r>
          </w:p>
        </w:tc>
      </w:tr>
      <w:tr>
        <w:trPr>
          <w:trHeight w:val="164" w:hRule="atLeast"/>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0,00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0,00</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0,00</w:t>
            </w:r>
          </w:p>
        </w:tc>
      </w:tr>
    </w:tbl>
    <w:p>
      <w:pPr>
        <w:pStyle w:val="Normal"/>
        <w:tabs>
          <w:tab w:val="right" w:pos="1134" w:leader="none"/>
        </w:tabs>
        <w:jc w:val="both"/>
        <w:rPr>
          <w:color w:val="EF413D"/>
        </w:rPr>
      </w:pPr>
      <w:r>
        <w:rPr>
          <w:color w:val="EF413D"/>
        </w:rPr>
        <w:tab/>
      </w:r>
    </w:p>
    <w:p>
      <w:pPr>
        <w:pStyle w:val="Normal"/>
        <w:tabs>
          <w:tab w:val="left" w:pos="570" w:leader="none"/>
        </w:tabs>
        <w:jc w:val="both"/>
        <w:rPr/>
      </w:pPr>
      <w:r>
        <w:rPr>
          <w:color w:val="EF413D"/>
        </w:rPr>
        <w:tab/>
      </w:r>
      <w:r>
        <w:rPr>
          <w:color w:val="auto"/>
        </w:rPr>
        <w:t>V rozpočte na rok 2017  neboli rozpočtované žiadne finančné výdavky.</w:t>
      </w:r>
    </w:p>
    <w:p>
      <w:pPr>
        <w:pStyle w:val="Normal"/>
        <w:tabs>
          <w:tab w:val="left" w:pos="570" w:leader="none"/>
        </w:tabs>
        <w:jc w:val="both"/>
        <w:rPr>
          <w:color w:val="EF413D"/>
        </w:rPr>
      </w:pPr>
      <w:r>
        <w:rPr>
          <w:color w:val="EF413D"/>
        </w:rPr>
      </w:r>
    </w:p>
    <w:p>
      <w:pPr>
        <w:pStyle w:val="Normal"/>
        <w:rPr/>
      </w:pPr>
      <w:r>
        <w:rPr>
          <w:b/>
          <w:bCs/>
          <w:color w:val="auto"/>
          <w:sz w:val="28"/>
          <w:lang w:val="sk-SK"/>
        </w:rPr>
        <w:t>4)   Výdavky rozpočtovej organizácie s právnou subjektivitou – ZŠ</w:t>
      </w:r>
    </w:p>
    <w:p>
      <w:pPr>
        <w:pStyle w:val="Normal"/>
        <w:rPr>
          <w:color w:val="auto"/>
          <w:lang w:val="sk-SK"/>
        </w:rPr>
      </w:pPr>
      <w:r>
        <w:rPr>
          <w:color w:val="auto"/>
          <w:lang w:val="sk-SK"/>
        </w:rPr>
      </w:r>
    </w:p>
    <w:tbl>
      <w:tblPr>
        <w:tblW w:w="8941" w:type="dxa"/>
        <w:jc w:val="left"/>
        <w:tblInd w:w="74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47"/>
        <w:gridCol w:w="3512"/>
        <w:gridCol w:w="1582"/>
      </w:tblGrid>
      <w:tr>
        <w:trPr>
          <w:trHeight w:val="229" w:hRule="atLeast"/>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Rozpočet na rok 2017</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color w:val="auto"/>
                <w:lang w:val="sk-SK"/>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color w:val="auto"/>
                <w:lang w:val="sk-SK"/>
              </w:rPr>
              <w:t>% plnenia</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color w:val="auto"/>
              </w:rPr>
            </w:pPr>
            <w:r>
              <w:rPr>
                <w:color w:val="auto"/>
              </w:rPr>
              <w:t>738.355,66</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738.355,66</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auto"/>
              </w:rPr>
            </w:pPr>
            <w:r>
              <w:rPr>
                <w:color w:val="auto"/>
              </w:rPr>
              <w:t>100,00</w:t>
            </w:r>
          </w:p>
        </w:tc>
      </w:tr>
    </w:tbl>
    <w:p>
      <w:pPr>
        <w:pStyle w:val="Normal"/>
        <w:rPr>
          <w:bCs/>
          <w:color w:val="auto"/>
          <w:lang w:val="sk-SK"/>
        </w:rPr>
      </w:pPr>
      <w:r>
        <w:rPr>
          <w:bCs/>
          <w:color w:val="auto"/>
          <w:lang w:val="sk-SK"/>
        </w:rPr>
      </w:r>
    </w:p>
    <w:p>
      <w:pPr>
        <w:pStyle w:val="Normal"/>
        <w:rPr>
          <w:bCs/>
        </w:rPr>
      </w:pPr>
      <w:r>
        <w:rPr>
          <w:bCs/>
        </w:rPr>
      </w:r>
    </w:p>
    <w:p>
      <w:pPr>
        <w:pStyle w:val="Normal"/>
        <w:rPr>
          <w:b/>
          <w:b/>
          <w:bCs/>
        </w:rPr>
      </w:pPr>
      <w:r>
        <w:rPr>
          <w:b/>
          <w:bCs/>
        </w:rPr>
        <w:tab/>
        <w:t xml:space="preserve">1.  Mzdy, ostatné osobné vyrovnania </w:t>
      </w:r>
    </w:p>
    <w:p>
      <w:pPr>
        <w:pStyle w:val="Normal"/>
        <w:ind w:firstLine="360"/>
        <w:jc w:val="both"/>
        <w:rPr/>
      </w:pPr>
      <w:r>
        <w:rPr/>
        <w:tab/>
        <w:t xml:space="preserve">Z rozpočtovaných 393.073,01 EUR bolo skutočné plnenie vo výške 393.073,01 EUR, čo </w:t>
        <w:tab/>
        <w:t xml:space="preserve">predstavuje plnenie  na  100,00 %.  </w:t>
      </w:r>
    </w:p>
    <w:p>
      <w:pPr>
        <w:pStyle w:val="Normal"/>
        <w:ind w:firstLine="360"/>
        <w:jc w:val="both"/>
        <w:rPr/>
      </w:pPr>
      <w:r>
        <w:rPr/>
      </w:r>
    </w:p>
    <w:p>
      <w:pPr>
        <w:pStyle w:val="Normal"/>
        <w:ind w:firstLine="360"/>
        <w:jc w:val="both"/>
        <w:rPr>
          <w:b/>
          <w:b/>
          <w:bCs/>
        </w:rPr>
      </w:pPr>
      <w:r>
        <w:rPr>
          <w:b/>
          <w:bCs/>
        </w:rPr>
        <w:tab/>
        <w:t>2.  Odvody do poisťovní</w:t>
      </w:r>
    </w:p>
    <w:p>
      <w:pPr>
        <w:pStyle w:val="Normal"/>
        <w:rPr/>
      </w:pPr>
      <w:r>
        <w:rPr>
          <w:b/>
          <w:bCs/>
        </w:rPr>
        <w:tab/>
      </w:r>
      <w:r>
        <w:rPr/>
        <w:t xml:space="preserve">Z rozpočtovaných 128.064,41 EUR bolo skutočné plnenie vo výške 128.064,41 EUR, čo </w:t>
        <w:tab/>
        <w:t xml:space="preserve">predstavuje plnenie  na  100,00 %.  </w:t>
      </w:r>
    </w:p>
    <w:p>
      <w:pPr>
        <w:pStyle w:val="Normal"/>
        <w:rPr/>
      </w:pPr>
      <w:r>
        <w:rPr/>
      </w:r>
    </w:p>
    <w:p>
      <w:pPr>
        <w:pStyle w:val="Normal"/>
        <w:rPr/>
      </w:pPr>
      <w:r>
        <w:rPr>
          <w:b/>
          <w:bCs/>
          <w:color w:val="FF3333"/>
        </w:rPr>
        <w:tab/>
      </w:r>
      <w:r>
        <w:rPr>
          <w:b/>
          <w:bCs/>
        </w:rPr>
        <w:t>3.  Tovary a služby</w:t>
      </w:r>
    </w:p>
    <w:p>
      <w:pPr>
        <w:pStyle w:val="Normal"/>
        <w:ind w:firstLine="360"/>
        <w:jc w:val="both"/>
        <w:rPr/>
      </w:pPr>
      <w:r>
        <w:rPr/>
        <w:tab/>
        <w:t xml:space="preserve">Z rozpočtovaných 217.218,24 EUR bolo skutočné plnenie k 31.12.2017 vo výške 217.218,24 </w:t>
        <w:tab/>
        <w:t xml:space="preserve">EUR, čo prestavuje plnenie na 100,00 %. Sú tu zahrnuté  prevádzkové náklady a to cestovné </w:t>
        <w:tab/>
        <w:t>náklady, energia, voda, dopravné, materiál, náklady sa údržbu a ostatné tovary a služby.</w:t>
      </w:r>
    </w:p>
    <w:p>
      <w:pPr>
        <w:pStyle w:val="Normal"/>
        <w:rPr>
          <w:color w:val="EF413D"/>
        </w:rPr>
      </w:pPr>
      <w:r>
        <w:rPr>
          <w:color w:val="EF413D"/>
        </w:rPr>
      </w:r>
    </w:p>
    <w:p>
      <w:pPr>
        <w:pStyle w:val="Normal"/>
        <w:tabs>
          <w:tab w:val="right" w:pos="1134" w:leader="none"/>
        </w:tabs>
        <w:jc w:val="both"/>
        <w:rPr>
          <w:b/>
          <w:b/>
          <w:bCs/>
          <w:color w:val="EF413D"/>
          <w:highlight w:val="red"/>
        </w:rPr>
      </w:pPr>
      <w:r>
        <w:rPr>
          <w:b/>
          <w:bCs/>
          <w:color w:val="EF413D"/>
          <w:highlight w:val="red"/>
        </w:rPr>
      </w:r>
    </w:p>
    <w:p>
      <w:pPr>
        <w:pStyle w:val="Normal"/>
        <w:rPr>
          <w:b/>
          <w:b/>
          <w:bCs/>
          <w:color w:val="EF413D"/>
          <w:highlight w:val="red"/>
        </w:rPr>
      </w:pPr>
      <w:r>
        <w:rPr>
          <w:b/>
          <w:bCs/>
          <w:color w:val="EF413D"/>
          <w:highlight w:val="red"/>
        </w:rPr>
      </w:r>
    </w:p>
    <w:p>
      <w:pPr>
        <w:pStyle w:val="Normal"/>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ind w:left="345" w:hanging="0"/>
        <w:jc w:val="both"/>
        <w:rPr>
          <w:b/>
          <w:b/>
          <w:color w:val="EF413D"/>
        </w:rPr>
      </w:pPr>
      <w:r>
        <w:rPr>
          <w:b/>
          <w:color w:val="EF413D"/>
        </w:rPr>
      </w:r>
    </w:p>
    <w:p>
      <w:pPr>
        <w:pStyle w:val="Normal"/>
        <w:numPr>
          <w:ilvl w:val="0"/>
          <w:numId w:val="0"/>
        </w:numPr>
        <w:tabs>
          <w:tab w:val="left" w:pos="-3060" w:leader="none"/>
          <w:tab w:val="right" w:pos="5040" w:leader="none"/>
        </w:tabs>
        <w:ind w:left="720" w:hanging="0"/>
        <w:jc w:val="left"/>
        <w:rPr>
          <w:b/>
          <w:b/>
          <w:bCs/>
          <w:sz w:val="28"/>
          <w:szCs w:val="28"/>
        </w:rPr>
      </w:pPr>
      <w:r>
        <w:rPr>
          <w:b/>
          <w:bCs/>
          <w:sz w:val="28"/>
          <w:szCs w:val="28"/>
        </w:rPr>
      </w:r>
    </w:p>
    <w:p>
      <w:pPr>
        <w:pStyle w:val="Normal"/>
        <w:numPr>
          <w:ilvl w:val="0"/>
          <w:numId w:val="0"/>
        </w:numPr>
        <w:tabs>
          <w:tab w:val="left" w:pos="-3060" w:leader="none"/>
          <w:tab w:val="right" w:pos="5040" w:leader="none"/>
        </w:tabs>
        <w:ind w:left="720" w:hanging="0"/>
        <w:jc w:val="left"/>
        <w:rPr>
          <w:color w:val="0066B3"/>
        </w:rPr>
      </w:pPr>
      <w:r>
        <w:rPr>
          <w:b/>
          <w:bCs/>
          <w:color w:val="0066B3"/>
          <w:sz w:val="28"/>
          <w:szCs w:val="28"/>
        </w:rPr>
        <w:t>3.</w:t>
      </w:r>
      <w:r>
        <w:rPr>
          <w:b w:val="false"/>
          <w:bCs w:val="false"/>
          <w:color w:val="0066B3"/>
          <w:sz w:val="28"/>
          <w:szCs w:val="28"/>
        </w:rPr>
        <w:t xml:space="preserve">  </w:t>
      </w:r>
      <w:r>
        <w:rPr>
          <w:b/>
          <w:color w:val="0066B3"/>
          <w:sz w:val="28"/>
          <w:szCs w:val="28"/>
        </w:rPr>
        <w:t>Hospodárenie  obce  a rozdelenie výsledku hospodárenia  za rok 2017</w:t>
      </w:r>
    </w:p>
    <w:p>
      <w:pPr>
        <w:pStyle w:val="Normal"/>
        <w:tabs>
          <w:tab w:val="left" w:pos="-3060" w:leader="none"/>
          <w:tab w:val="right" w:pos="5040" w:leader="none"/>
        </w:tabs>
        <w:rPr>
          <w:color w:val="EF413D"/>
        </w:rPr>
      </w:pPr>
      <w:r>
        <w:rPr>
          <w:color w:val="EF413D"/>
        </w:rPr>
        <w:drawing>
          <wp:anchor behindDoc="0" distT="0" distB="0" distL="0" distR="0" simplePos="0" locked="0" layoutInCell="1" allowOverlap="1" relativeHeight="2">
            <wp:simplePos x="0" y="0"/>
            <wp:positionH relativeFrom="column">
              <wp:align>center</wp:align>
            </wp:positionH>
            <wp:positionV relativeFrom="paragraph">
              <wp:posOffset>635</wp:posOffset>
            </wp:positionV>
            <wp:extent cx="6711315" cy="7652385"/>
            <wp:effectExtent l="0" t="0" r="0" b="0"/>
            <wp:wrapTopAndBottom/>
            <wp:docPr id="4"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2" descr=""/>
                    <pic:cNvPicPr>
                      <a:picLocks noChangeAspect="1" noChangeArrowheads="1"/>
                    </pic:cNvPicPr>
                  </pic:nvPicPr>
                  <pic:blipFill>
                    <a:blip r:embed="rId8"/>
                    <a:srcRect l="-10" t="-7" r="-10" b="-7"/>
                    <a:stretch>
                      <a:fillRect/>
                    </a:stretch>
                  </pic:blipFill>
                  <pic:spPr bwMode="auto">
                    <a:xfrm>
                      <a:off x="0" y="0"/>
                      <a:ext cx="6711315" cy="7652385"/>
                    </a:xfrm>
                    <a:prstGeom prst="rect">
                      <a:avLst/>
                    </a:prstGeom>
                  </pic:spPr>
                </pic:pic>
              </a:graphicData>
            </a:graphic>
          </wp:anchor>
        </w:drawing>
      </w:r>
    </w:p>
    <w:p>
      <w:pPr>
        <w:pStyle w:val="Normal"/>
        <w:jc w:val="both"/>
        <w:rPr/>
      </w:pPr>
      <w:r>
        <w:rPr/>
        <w:t>Rozpočtový výsledok obce za rok 2017 zistený podľa ustanovenia § 10 ods. 3 písm. a) a b zákona č. 583/2004 Z. z. o rozpočtových pravidlách územnej samosprávy v aktuálnom znení</w:t>
      </w:r>
    </w:p>
    <w:p>
      <w:pPr>
        <w:pStyle w:val="Normal"/>
        <w:jc w:val="both"/>
        <w:rPr/>
      </w:pPr>
      <w:r>
        <w:rPr/>
        <w:t xml:space="preserve">dosiahol prebytok 45.656,41 EUR. </w:t>
      </w:r>
    </w:p>
    <w:p>
      <w:pPr>
        <w:pStyle w:val="Normal"/>
        <w:jc w:val="both"/>
        <w:rPr/>
      </w:pPr>
      <w:r>
        <w:rPr/>
        <w:t xml:space="preserve"> </w:t>
      </w:r>
      <w:r>
        <w:rPr/>
        <w:t>výsledku hospodárenia sa vylučuje v roku 2017 nepoužitá dotácia na kamerový systém vo výške 9.000,00 EUR a prijaté zábezpeky na verejné obstarávanie vo výške 20.000,00.</w:t>
      </w:r>
    </w:p>
    <w:p>
      <w:pPr>
        <w:pStyle w:val="Normal"/>
        <w:jc w:val="both"/>
        <w:rPr/>
      </w:pPr>
      <w:r>
        <w:rPr/>
        <w:t>Finančný výsledok obce za rok 2017 na vysporiadanie v záverečnom účte, dosiahol sumu 16.656,41 EUR. Prostriedky boli prevedené do rezervného fondu obce.</w:t>
      </w:r>
    </w:p>
    <w:p>
      <w:pPr>
        <w:pStyle w:val="Normal"/>
        <w:tabs>
          <w:tab w:val="left" w:pos="-3060" w:leader="none"/>
          <w:tab w:val="right" w:pos="5040" w:leader="none"/>
        </w:tabs>
        <w:ind w:firstLine="708"/>
        <w:jc w:val="both"/>
        <w:rPr>
          <w:color w:val="EF413D"/>
        </w:rPr>
      </w:pPr>
      <w:r>
        <w:rPr>
          <w:color w:val="EF413D"/>
        </w:rPr>
      </w:r>
    </w:p>
    <w:p>
      <w:pPr>
        <w:pStyle w:val="Normal"/>
        <w:jc w:val="both"/>
        <w:rPr>
          <w:color w:val="EF413D"/>
        </w:rPr>
      </w:pPr>
      <w:r>
        <w:rPr>
          <w:color w:val="EF413D"/>
        </w:rPr>
      </w:r>
    </w:p>
    <w:p>
      <w:pPr>
        <w:pStyle w:val="Normal"/>
        <w:jc w:val="both"/>
        <w:rPr>
          <w:color w:val="EF413D"/>
        </w:rPr>
      </w:pPr>
      <w:r>
        <w:rPr>
          <w:b/>
          <w:color w:val="0066B3"/>
          <w:sz w:val="28"/>
          <w:szCs w:val="28"/>
        </w:rPr>
        <w:t>4. Bilancia aktív a pasív k 31.12.2017</w:t>
      </w:r>
    </w:p>
    <w:p>
      <w:pPr>
        <w:pStyle w:val="Normal"/>
        <w:rPr>
          <w:b/>
          <w:b/>
          <w:color w:val="EF413D"/>
          <w:sz w:val="28"/>
          <w:szCs w:val="28"/>
          <w:highlight w:val="red"/>
        </w:rPr>
      </w:pPr>
      <w:r>
        <w:rPr>
          <w:b/>
          <w:color w:val="EF413D"/>
          <w:sz w:val="28"/>
          <w:szCs w:val="28"/>
          <w:highlight w:val="red"/>
        </w:rPr>
      </w:r>
    </w:p>
    <w:p>
      <w:pPr>
        <w:pStyle w:val="Normal"/>
        <w:jc w:val="both"/>
        <w:rPr>
          <w:b/>
          <w:b/>
        </w:rPr>
      </w:pPr>
      <w:r>
        <w:rPr>
          <w:b/>
          <w:color w:val="auto"/>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color w:val="auto"/>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color w:val="auto"/>
              </w:rPr>
            </w:pPr>
            <w:r>
              <w:rPr>
                <w:b/>
                <w:color w:val="auto"/>
              </w:rPr>
              <w:t>ZS k 1.1.2017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color w:val="auto"/>
              </w:rPr>
            </w:pPr>
            <w:r>
              <w:rPr>
                <w:b/>
                <w:color w:val="auto"/>
              </w:rPr>
              <w:t>KZ  31.12.2017</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color w:val="auto"/>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854.090,40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b/>
                <w:b/>
                <w:color w:val="auto"/>
              </w:rPr>
            </w:pPr>
            <w:r>
              <w:rPr>
                <w:b/>
                <w:color w:val="auto"/>
              </w:rPr>
              <w:t>985.317,48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845.802,95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948.929,10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845.802,95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948.929,10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color w:val="auto"/>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8.287,45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36.388,38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794,14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EF413D"/>
              </w:rPr>
            </w:pPr>
            <w:r>
              <w:rPr>
                <w:color w:val="auto"/>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8.287,45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35.594,24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color w:val="auto"/>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0,00</w:t>
            </w:r>
          </w:p>
        </w:tc>
      </w:tr>
    </w:tbl>
    <w:p>
      <w:pPr>
        <w:pStyle w:val="Normal"/>
        <w:jc w:val="both"/>
        <w:rPr>
          <w:b/>
          <w:b/>
          <w:sz w:val="28"/>
          <w:szCs w:val="28"/>
        </w:rPr>
      </w:pPr>
      <w:r>
        <w:rPr>
          <w:b/>
          <w:sz w:val="28"/>
          <w:szCs w:val="28"/>
        </w:rPr>
      </w:r>
    </w:p>
    <w:p>
      <w:pPr>
        <w:pStyle w:val="Normal"/>
        <w:jc w:val="both"/>
        <w:rPr>
          <w:b/>
          <w:b/>
        </w:rPr>
      </w:pPr>
      <w:r>
        <w:rPr>
          <w:b/>
          <w:color w:val="auto"/>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color w:val="auto"/>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color w:val="auto"/>
              </w:rPr>
            </w:pPr>
            <w:r>
              <w:rPr>
                <w:b/>
                <w:color w:val="auto"/>
              </w:rPr>
              <w:t>ZS  k 1. 1. 2017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color w:val="auto"/>
              </w:rPr>
            </w:pPr>
            <w:r>
              <w:rPr>
                <w:b/>
                <w:color w:val="auto"/>
              </w:rPr>
              <w:t>KZ  k   31. 12.2017</w:t>
            </w:r>
          </w:p>
        </w:tc>
      </w:tr>
      <w:tr>
        <w:trPr>
          <w:trHeight w:val="222" w:hRule="atLeast"/>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color w:val="auto"/>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b/>
                <w:b/>
                <w:color w:val="auto"/>
              </w:rPr>
            </w:pPr>
            <w:r>
              <w:rPr>
                <w:b/>
                <w:color w:val="auto"/>
              </w:rPr>
              <w:t>854.090,40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b/>
                <w:b/>
                <w:color w:val="auto"/>
              </w:rPr>
            </w:pPr>
            <w:r>
              <w:rPr>
                <w:b/>
                <w:color w:val="auto"/>
              </w:rPr>
              <w:t>985.317,48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40.533,84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193.939,35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40.533,84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193.939,35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12.817,70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32.234,00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color w:val="auto"/>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color w:val="auto"/>
              </w:rPr>
            </w:pPr>
            <w:r>
              <w:rPr>
                <w:color w:val="auto"/>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color w:val="auto"/>
              </w:rPr>
            </w:pPr>
            <w:r>
              <w:rPr>
                <w:color w:val="auto"/>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833,86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182,31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11.983,84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32.051,69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EF413D"/>
              </w:rPr>
            </w:pPr>
            <w:r>
              <w:rPr>
                <w:color w:val="auto"/>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color w:val="auto"/>
              </w:rPr>
            </w:pPr>
            <w:r>
              <w:rPr>
                <w:color w:val="auto"/>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color w:val="auto"/>
              </w:rPr>
            </w:pPr>
            <w:r>
              <w:rPr>
                <w:color w:val="auto"/>
              </w:rPr>
              <w:t>0,00</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color w:val="auto"/>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b/>
                <w:b/>
                <w:color w:val="auto"/>
              </w:rPr>
            </w:pPr>
            <w:r>
              <w:rPr>
                <w:b/>
                <w:color w:val="auto"/>
              </w:rPr>
              <w:t>800.738,86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b/>
                <w:b/>
                <w:color w:val="auto"/>
              </w:rPr>
            </w:pPr>
            <w:r>
              <w:rPr>
                <w:b/>
                <w:color w:val="auto"/>
              </w:rPr>
              <w:t>759.144,13</w:t>
            </w:r>
          </w:p>
        </w:tc>
      </w:tr>
    </w:tbl>
    <w:p>
      <w:pPr>
        <w:pStyle w:val="Normal"/>
        <w:rPr>
          <w:b/>
          <w:b/>
          <w:color w:val="auto"/>
          <w:sz w:val="28"/>
          <w:szCs w:val="28"/>
        </w:rPr>
      </w:pPr>
      <w:r>
        <w:rPr>
          <w:b/>
          <w:color w:val="auto"/>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b/>
          <w:b/>
          <w:color w:val="EF413D"/>
          <w:sz w:val="28"/>
          <w:szCs w:val="28"/>
        </w:rPr>
      </w:pPr>
      <w:r>
        <w:rPr>
          <w:b/>
          <w:color w:val="EF413D"/>
          <w:sz w:val="28"/>
          <w:szCs w:val="28"/>
        </w:rPr>
      </w:r>
    </w:p>
    <w:p>
      <w:pPr>
        <w:pStyle w:val="Normal"/>
        <w:rPr>
          <w:color w:val="EF413D"/>
        </w:rPr>
      </w:pPr>
      <w:r>
        <w:rPr>
          <w:b/>
          <w:color w:val="0066B3"/>
          <w:sz w:val="28"/>
          <w:szCs w:val="28"/>
        </w:rPr>
        <w:t>5. Vývoj  pohľadávok a záväzkov  k  31.12.2017</w:t>
      </w:r>
    </w:p>
    <w:p>
      <w:pPr>
        <w:pStyle w:val="Normal"/>
        <w:rPr>
          <w:b/>
          <w:b/>
          <w:color w:val="EF413D"/>
          <w:sz w:val="28"/>
          <w:szCs w:val="28"/>
        </w:rPr>
      </w:pPr>
      <w:r>
        <w:rPr>
          <w:b/>
          <w:color w:val="EF413D"/>
          <w:sz w:val="28"/>
          <w:szCs w:val="28"/>
        </w:rPr>
      </w:r>
    </w:p>
    <w:p>
      <w:pPr>
        <w:pStyle w:val="Normal"/>
        <w:rPr>
          <w:color w:val="auto"/>
        </w:rPr>
      </w:pPr>
      <w:r>
        <w:rPr>
          <w:b/>
          <w:color w:val="auto"/>
          <w:sz w:val="28"/>
          <w:szCs w:val="28"/>
        </w:rPr>
        <w:t>Pohľadávky</w:t>
      </w:r>
    </w:p>
    <w:p>
      <w:pPr>
        <w:pStyle w:val="Normal"/>
        <w:rPr>
          <w:b/>
          <w:b/>
          <w:sz w:val="28"/>
          <w:szCs w:val="28"/>
        </w:rPr>
      </w:pPr>
      <w:r>
        <w:rPr>
          <w:b/>
          <w:sz w:val="28"/>
          <w:szCs w:val="28"/>
        </w:rPr>
      </w:r>
    </w:p>
    <w:p>
      <w:pPr>
        <w:pStyle w:val="Normal"/>
        <w:ind w:hanging="0"/>
        <w:jc w:val="both"/>
        <w:rPr/>
      </w:pPr>
      <w:r>
        <w:rPr/>
        <w:t>Obec k 31.12.2017 evidovala krátkodobé pohľadávky vo výške 794,14 EUR  z toho:</w:t>
      </w:r>
    </w:p>
    <w:p>
      <w:pPr>
        <w:pStyle w:val="Normal"/>
        <w:numPr>
          <w:ilvl w:val="0"/>
          <w:numId w:val="1"/>
        </w:numPr>
        <w:jc w:val="both"/>
        <w:rPr/>
      </w:pPr>
      <w:r>
        <w:rPr/>
        <w:t>Nedaňové pohľadávky                                                              420,00  EUR</w:t>
      </w:r>
    </w:p>
    <w:p>
      <w:pPr>
        <w:pStyle w:val="Normal"/>
        <w:numPr>
          <w:ilvl w:val="0"/>
          <w:numId w:val="1"/>
        </w:numPr>
        <w:jc w:val="both"/>
        <w:rPr/>
      </w:pPr>
      <w:r>
        <w:rPr/>
        <w:t>Daňové pohľadávky                                                                  374,14  EUR</w:t>
      </w:r>
    </w:p>
    <w:p>
      <w:pPr>
        <w:pStyle w:val="Normal"/>
        <w:ind w:left="720" w:hanging="0"/>
        <w:jc w:val="both"/>
        <w:rPr>
          <w:b/>
          <w:b/>
          <w:color w:val="EF413D"/>
        </w:rPr>
      </w:pPr>
      <w:r>
        <w:rPr>
          <w:b/>
          <w:color w:val="EF413D"/>
        </w:rPr>
      </w:r>
    </w:p>
    <w:p>
      <w:pPr>
        <w:pStyle w:val="Normal"/>
        <w:tabs>
          <w:tab w:val="left" w:pos="709" w:leader="none"/>
          <w:tab w:val="left" w:pos="6663" w:leader="none"/>
        </w:tabs>
        <w:ind w:firstLine="708"/>
        <w:rPr>
          <w:color w:val="EF413D"/>
          <w:u w:val="single"/>
        </w:rPr>
      </w:pPr>
      <w:r>
        <w:rPr>
          <w:color w:val="EF413D"/>
          <w:u w:val="single"/>
        </w:rPr>
      </w:r>
    </w:p>
    <w:p>
      <w:pPr>
        <w:pStyle w:val="Normal"/>
        <w:tabs>
          <w:tab w:val="left" w:pos="-3060" w:leader="none"/>
        </w:tabs>
        <w:jc w:val="both"/>
        <w:rPr>
          <w:color w:val="auto"/>
        </w:rPr>
      </w:pPr>
      <w:r>
        <w:rPr>
          <w:b/>
          <w:color w:val="auto"/>
          <w:sz w:val="28"/>
          <w:szCs w:val="28"/>
        </w:rPr>
        <w:t>Záväzky</w:t>
      </w:r>
    </w:p>
    <w:p>
      <w:pPr>
        <w:pStyle w:val="Normal"/>
        <w:tabs>
          <w:tab w:val="left" w:pos="-3060" w:leader="none"/>
        </w:tabs>
        <w:jc w:val="both"/>
        <w:rPr>
          <w:b/>
          <w:b/>
          <w:color w:val="EF413D"/>
          <w:sz w:val="28"/>
          <w:szCs w:val="28"/>
        </w:rPr>
      </w:pPr>
      <w:r>
        <w:rPr>
          <w:b/>
          <w:color w:val="EF413D"/>
          <w:sz w:val="28"/>
          <w:szCs w:val="28"/>
        </w:rPr>
      </w:r>
    </w:p>
    <w:p>
      <w:pPr>
        <w:pStyle w:val="Normal"/>
        <w:jc w:val="both"/>
        <w:rPr/>
      </w:pPr>
      <w:r>
        <w:rPr>
          <w:color w:val="FF3333"/>
        </w:rPr>
        <w:t xml:space="preserve">  </w:t>
      </w:r>
      <w:r>
        <w:rPr/>
        <w:t xml:space="preserve">  </w:t>
      </w:r>
      <w:r>
        <w:rPr/>
        <w:t>Obec k 31.12.2017 eviduje záväzky vo výške 32.094,69 EUR z toho:</w:t>
      </w:r>
    </w:p>
    <w:p>
      <w:pPr>
        <w:pStyle w:val="Normal"/>
        <w:numPr>
          <w:ilvl w:val="1"/>
          <w:numId w:val="5"/>
        </w:numPr>
        <w:tabs>
          <w:tab w:val="left" w:pos="851" w:leader="none"/>
        </w:tabs>
        <w:ind w:left="851" w:hanging="360"/>
        <w:jc w:val="both"/>
        <w:rPr/>
      </w:pPr>
      <w:r>
        <w:rPr/>
        <w:t>Neuhradené faktúry v lehote splatnosti</w:t>
        <w:tab/>
        <w:tab/>
        <w:t xml:space="preserve">           24.333,78 EUR</w:t>
      </w:r>
    </w:p>
    <w:p>
      <w:pPr>
        <w:pStyle w:val="Normal"/>
        <w:numPr>
          <w:ilvl w:val="1"/>
          <w:numId w:val="5"/>
        </w:numPr>
        <w:tabs>
          <w:tab w:val="left" w:pos="851" w:leader="none"/>
        </w:tabs>
        <w:ind w:left="851" w:hanging="360"/>
        <w:jc w:val="both"/>
        <w:rPr/>
      </w:pPr>
      <w:r>
        <w:rPr/>
        <w:t>Nevyplatené mzdy 12/17 v lehote splatnosti</w:t>
        <w:tab/>
        <w:tab/>
        <w:t xml:space="preserve">  4.381,41 EUR</w:t>
      </w:r>
    </w:p>
    <w:p>
      <w:pPr>
        <w:pStyle w:val="Normal"/>
        <w:numPr>
          <w:ilvl w:val="1"/>
          <w:numId w:val="5"/>
        </w:numPr>
        <w:tabs>
          <w:tab w:val="left" w:pos="851" w:leader="none"/>
        </w:tabs>
        <w:ind w:left="851" w:hanging="360"/>
        <w:jc w:val="both"/>
        <w:rPr/>
      </w:pPr>
      <w:r>
        <w:rPr/>
        <w:t>Záväzky do poisťovní (mzdy 12/17)</w:t>
        <w:tab/>
        <w:tab/>
        <w:tab/>
        <w:t xml:space="preserve">  2.606,20 EUR</w:t>
      </w:r>
    </w:p>
    <w:p>
      <w:pPr>
        <w:pStyle w:val="Normal"/>
        <w:numPr>
          <w:ilvl w:val="1"/>
          <w:numId w:val="5"/>
        </w:numPr>
        <w:tabs>
          <w:tab w:val="left" w:pos="851" w:leader="none"/>
        </w:tabs>
        <w:ind w:left="851" w:hanging="360"/>
        <w:jc w:val="both"/>
        <w:rPr/>
      </w:pPr>
      <w:r>
        <w:rPr/>
        <w:t>Daň zo mzdy (12/17)</w:t>
        <w:tab/>
        <w:tab/>
        <w:tab/>
        <w:tab/>
        <w:tab/>
        <w:t xml:space="preserve">     730,30 EUR</w:t>
      </w:r>
    </w:p>
    <w:p>
      <w:pPr>
        <w:pStyle w:val="Normal"/>
        <w:numPr>
          <w:ilvl w:val="1"/>
          <w:numId w:val="5"/>
        </w:numPr>
        <w:tabs>
          <w:tab w:val="left" w:pos="851" w:leader="none"/>
        </w:tabs>
        <w:ind w:left="851" w:hanging="360"/>
        <w:rPr/>
      </w:pPr>
      <w:r>
        <w:rPr/>
        <w:t>Záväzky zo SF</w:t>
        <w:tab/>
        <w:tab/>
        <w:tab/>
        <w:tab/>
        <w:tab/>
        <w:t xml:space="preserve">   </w:t>
        <w:tab/>
        <w:t xml:space="preserve">       43,00 EUR</w:t>
      </w:r>
    </w:p>
    <w:p>
      <w:pPr>
        <w:pStyle w:val="Normal"/>
        <w:tabs>
          <w:tab w:val="left" w:pos="851" w:leader="none"/>
        </w:tabs>
        <w:ind w:left="491" w:hanging="0"/>
        <w:jc w:val="both"/>
        <w:rPr>
          <w:b/>
          <w:b/>
          <w:color w:val="EF413D"/>
          <w:sz w:val="28"/>
          <w:szCs w:val="28"/>
        </w:rPr>
      </w:pPr>
      <w:r>
        <w:rPr>
          <w:b/>
          <w:color w:val="EF413D"/>
          <w:sz w:val="28"/>
          <w:szCs w:val="28"/>
        </w:rPr>
      </w:r>
    </w:p>
    <w:p>
      <w:pPr>
        <w:pStyle w:val="Normal"/>
        <w:tabs>
          <w:tab w:val="left" w:pos="851" w:leader="none"/>
        </w:tabs>
        <w:ind w:hanging="0"/>
        <w:jc w:val="both"/>
        <w:rPr>
          <w:b w:val="false"/>
          <w:b w:val="false"/>
          <w:bCs w:val="false"/>
          <w:color w:val="auto"/>
          <w:sz w:val="24"/>
          <w:szCs w:val="24"/>
        </w:rPr>
      </w:pPr>
      <w:r>
        <w:rPr>
          <w:b w:val="false"/>
          <w:bCs w:val="false"/>
          <w:color w:val="auto"/>
          <w:sz w:val="24"/>
          <w:szCs w:val="24"/>
        </w:rPr>
        <w:t>Prepočet podmienok dodržiavania par. 17 ods. 6 Zákona č. 583/2004 Z. z. o rozpočtových pravidlách územnej samosprávy a o zmene niektorých zákonov</w:t>
      </w:r>
    </w:p>
    <w:p>
      <w:pPr>
        <w:pStyle w:val="Normal"/>
        <w:tabs>
          <w:tab w:val="left" w:pos="-3060" w:leader="none"/>
        </w:tabs>
        <w:jc w:val="both"/>
        <w:rPr/>
      </w:pPr>
      <w:r>
        <w:rPr>
          <w:color w:val="EF413D"/>
        </w:rPr>
        <w:tab/>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3060" w:leader="none"/>
        </w:tabs>
        <w:jc w:val="both"/>
        <w:rPr>
          <w:color w:val="EF413D"/>
        </w:rPr>
      </w:pPr>
      <w:r>
        <w:rPr>
          <w:color w:val="EF413D"/>
        </w:rPr>
      </w:r>
    </w:p>
    <w:p>
      <w:pPr>
        <w:pStyle w:val="Normal"/>
        <w:tabs>
          <w:tab w:val="left" w:pos="1087" w:leader="none"/>
        </w:tabs>
        <w:ind w:left="54" w:hanging="0"/>
        <w:jc w:val="both"/>
        <w:rPr>
          <w:b/>
          <w:b/>
          <w:color w:val="2E74B5"/>
          <w:sz w:val="28"/>
          <w:szCs w:val="28"/>
        </w:rPr>
      </w:pPr>
      <w:r>
        <w:rPr>
          <w:b/>
          <w:color w:val="0066B3"/>
          <w:sz w:val="28"/>
          <w:szCs w:val="28"/>
        </w:rPr>
        <w:t>6. Ostatné dôležité informácie</w:t>
      </w:r>
    </w:p>
    <w:p>
      <w:pPr>
        <w:pStyle w:val="Normal"/>
        <w:tabs>
          <w:tab w:val="left" w:pos="1087" w:leader="none"/>
        </w:tabs>
        <w:ind w:left="54" w:hanging="0"/>
        <w:jc w:val="both"/>
        <w:rPr>
          <w:b/>
          <w:b/>
          <w:color w:val="auto"/>
          <w:sz w:val="28"/>
          <w:szCs w:val="28"/>
        </w:rPr>
      </w:pPr>
      <w:r>
        <w:rPr>
          <w:b/>
          <w:color w:val="auto"/>
          <w:sz w:val="28"/>
          <w:szCs w:val="28"/>
        </w:rPr>
      </w:r>
    </w:p>
    <w:p>
      <w:pPr>
        <w:pStyle w:val="Normal"/>
        <w:jc w:val="both"/>
        <w:rPr>
          <w:b/>
          <w:b/>
          <w:color w:val="auto"/>
          <w:sz w:val="14"/>
          <w:szCs w:val="14"/>
        </w:rPr>
      </w:pPr>
      <w:r>
        <w:rPr>
          <w:b/>
          <w:color w:val="auto"/>
          <w:sz w:val="14"/>
          <w:szCs w:val="14"/>
        </w:rPr>
      </w:r>
    </w:p>
    <w:p>
      <w:pPr>
        <w:pStyle w:val="Normal"/>
        <w:jc w:val="both"/>
        <w:rPr>
          <w:color w:val="auto"/>
        </w:rPr>
      </w:pPr>
      <w:r>
        <w:rPr>
          <w:b/>
          <w:bCs/>
          <w:color w:val="auto"/>
          <w:sz w:val="28"/>
          <w:szCs w:val="28"/>
        </w:rPr>
        <w:t>Finančné usporiadanie vzťahov /prijaté granty a transfery/</w:t>
      </w:r>
    </w:p>
    <w:p>
      <w:pPr>
        <w:pStyle w:val="Normal"/>
        <w:tabs>
          <w:tab w:val="left" w:pos="-3060" w:leader="none"/>
        </w:tabs>
        <w:jc w:val="both"/>
        <w:rPr>
          <w:color w:val="EF413D"/>
        </w:rPr>
      </w:pPr>
      <w:r>
        <w:rPr>
          <w:color w:val="auto"/>
        </w:rPr>
        <w:t xml:space="preserve"> </w:t>
      </w:r>
      <w:r>
        <w:rPr>
          <w:color w:val="auto"/>
        </w:rPr>
        <w:t>a)  zriadeným a založeným právnickým osobám</w:t>
      </w:r>
    </w:p>
    <w:p>
      <w:pPr>
        <w:pStyle w:val="Normal"/>
        <w:tabs>
          <w:tab w:val="left" w:pos="426" w:leader="none"/>
        </w:tabs>
        <w:ind w:left="426" w:hanging="426"/>
        <w:rPr>
          <w:color w:val="EF413D"/>
        </w:rPr>
      </w:pPr>
      <w:r>
        <w:rPr>
          <w:color w:val="auto"/>
        </w:rPr>
        <w:t xml:space="preserve"> </w:t>
      </w:r>
      <w:r>
        <w:rPr>
          <w:color w:val="auto"/>
        </w:rPr>
        <w:t>b)  štátnemu rozpočtu</w:t>
      </w:r>
    </w:p>
    <w:p>
      <w:pPr>
        <w:pStyle w:val="Normal"/>
        <w:tabs>
          <w:tab w:val="left" w:pos="426" w:leader="none"/>
        </w:tabs>
        <w:ind w:left="426" w:hanging="426"/>
        <w:rPr>
          <w:color w:val="EF413D"/>
        </w:rPr>
      </w:pPr>
      <w:r>
        <w:rPr>
          <w:color w:val="auto"/>
        </w:rPr>
        <w:t xml:space="preserve"> </w:t>
      </w:r>
      <w:r>
        <w:rPr>
          <w:color w:val="auto"/>
        </w:rPr>
        <w:t>c)  štátnym fondom</w:t>
      </w:r>
    </w:p>
    <w:p>
      <w:pPr>
        <w:pStyle w:val="Normal"/>
        <w:tabs>
          <w:tab w:val="left" w:pos="426" w:leader="none"/>
        </w:tabs>
        <w:ind w:left="426" w:hanging="426"/>
        <w:rPr>
          <w:color w:val="EF413D"/>
        </w:rPr>
      </w:pPr>
      <w:r>
        <w:rPr>
          <w:color w:val="auto"/>
        </w:rPr>
        <w:t xml:space="preserve"> </w:t>
      </w:r>
      <w:r>
        <w:rPr>
          <w:color w:val="auto"/>
        </w:rPr>
        <w:t>d)  rozpočtom iných obcí</w:t>
      </w:r>
    </w:p>
    <w:p>
      <w:pPr>
        <w:pStyle w:val="Normal"/>
        <w:tabs>
          <w:tab w:val="left" w:pos="426" w:leader="none"/>
        </w:tabs>
        <w:ind w:left="426" w:hanging="426"/>
        <w:rPr>
          <w:color w:val="EF413D"/>
        </w:rPr>
      </w:pPr>
      <w:r>
        <w:rPr>
          <w:color w:val="auto"/>
        </w:rPr>
        <w:t xml:space="preserve"> </w:t>
      </w:r>
      <w:r>
        <w:rPr>
          <w:color w:val="auto"/>
        </w:rPr>
        <w:t>e)  rozpočtom VÚC</w:t>
      </w:r>
    </w:p>
    <w:p>
      <w:pPr>
        <w:pStyle w:val="Normal"/>
        <w:ind w:firstLine="708"/>
        <w:rPr/>
      </w:pPr>
      <w:r>
        <w:rPr>
          <w:color w:val="auto"/>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color w:val="EF413D"/>
          <w:highlight w:val="lightGray"/>
        </w:rPr>
      </w:pPr>
      <w:r>
        <w:rPr>
          <w:color w:val="EF413D"/>
          <w:highlight w:val="lightGray"/>
        </w:rPr>
      </w:r>
    </w:p>
    <w:p>
      <w:pPr>
        <w:pStyle w:val="Normal"/>
        <w:tabs>
          <w:tab w:val="left" w:pos="426" w:leader="none"/>
        </w:tabs>
        <w:ind w:left="426" w:hanging="426"/>
        <w:jc w:val="both"/>
        <w:rPr>
          <w:color w:val="EF413D"/>
        </w:rPr>
      </w:pPr>
      <w:r>
        <w:rPr>
          <w:b/>
          <w:bCs/>
          <w:color w:val="auto"/>
        </w:rPr>
        <w:t>a)  Finančné usporiadanie voči zriadeným a založeným právnickým osobám</w:t>
      </w:r>
    </w:p>
    <w:p>
      <w:pPr>
        <w:pStyle w:val="Normal"/>
        <w:ind w:left="426" w:hanging="0"/>
        <w:jc w:val="both"/>
        <w:rPr>
          <w:color w:val="auto"/>
        </w:rPr>
      </w:pPr>
      <w:r>
        <w:rPr>
          <w:color w:val="auto"/>
        </w:rPr>
      </w:r>
    </w:p>
    <w:p>
      <w:pPr>
        <w:pStyle w:val="Normal"/>
        <w:tabs>
          <w:tab w:val="left" w:pos="284" w:leader="none"/>
        </w:tabs>
        <w:ind w:left="284" w:hanging="284"/>
        <w:jc w:val="both"/>
        <w:rPr>
          <w:color w:val="auto"/>
        </w:rPr>
      </w:pPr>
      <w:r>
        <w:rPr>
          <w:b/>
          <w:color w:val="auto"/>
        </w:rPr>
        <w:t xml:space="preserve">        </w:t>
      </w:r>
      <w:r>
        <w:rPr>
          <w:color w:val="auto"/>
        </w:rPr>
        <w:t>prostriedky zriaďovateľa, vlastné prostriedky RO</w:t>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color w:val="auto"/>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color w:val="auto"/>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color w:val="EF413D"/>
              </w:rPr>
            </w:pPr>
            <w:r>
              <w:rPr>
                <w:b/>
                <w:color w:val="auto"/>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color w:val="EF413D"/>
              </w:rPr>
            </w:pPr>
            <w:r>
              <w:rPr>
                <w:color w:val="auto"/>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ZŠ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129.292,75</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auto"/>
              </w:rPr>
            </w:pPr>
            <w:r>
              <w:rPr>
                <w:color w:val="auto"/>
              </w:rPr>
              <w:t>129.292,75</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color w:val="EF413D"/>
              </w:rPr>
            </w:pPr>
            <w:r>
              <w:rPr>
                <w:color w:val="auto"/>
              </w:rPr>
              <w:t>0</w:t>
            </w:r>
          </w:p>
        </w:tc>
      </w:tr>
    </w:tbl>
    <w:p>
      <w:pPr>
        <w:pStyle w:val="Normal"/>
        <w:tabs>
          <w:tab w:val="left" w:pos="450" w:leader="none"/>
        </w:tabs>
        <w:ind w:left="426" w:hanging="426"/>
        <w:jc w:val="both"/>
        <w:rPr>
          <w:b/>
          <w:b/>
          <w:bCs/>
          <w:color w:val="auto"/>
        </w:rPr>
      </w:pPr>
      <w:r>
        <w:rPr>
          <w:b/>
          <w:bCs/>
          <w:color w:val="auto"/>
        </w:rPr>
      </w:r>
    </w:p>
    <w:p>
      <w:pPr>
        <w:pStyle w:val="Normal"/>
        <w:tabs>
          <w:tab w:val="left" w:pos="450" w:leader="none"/>
        </w:tabs>
        <w:ind w:left="426" w:hanging="426"/>
        <w:jc w:val="both"/>
        <w:rPr>
          <w:b/>
          <w:b/>
          <w:bCs/>
        </w:rPr>
      </w:pPr>
      <w:r>
        <w:rPr>
          <w:b/>
          <w:bCs/>
          <w:color w:val="auto"/>
        </w:rPr>
        <w:t>b)  Finančné usporiadanie voči štátnemu rozpočtu:</w:t>
      </w:r>
    </w:p>
    <w:tbl>
      <w:tblPr>
        <w:tblW w:w="10003"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721"/>
        <w:gridCol w:w="2799"/>
        <w:gridCol w:w="1561"/>
        <w:gridCol w:w="1559"/>
        <w:gridCol w:w="1363"/>
      </w:tblGrid>
      <w:tr>
        <w:trPr/>
        <w:tc>
          <w:tcPr>
            <w:tcW w:w="2721"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rPr>
                <w:b/>
                <w:b/>
                <w:sz w:val="20"/>
                <w:szCs w:val="20"/>
              </w:rPr>
            </w:pPr>
            <w:r>
              <w:rPr>
                <w:b/>
                <w:sz w:val="20"/>
                <w:szCs w:val="20"/>
              </w:rPr>
              <w:t xml:space="preserve">Poskytovateľ </w:t>
            </w:r>
          </w:p>
          <w:p>
            <w:pPr>
              <w:pStyle w:val="Normal"/>
              <w:rPr>
                <w:b/>
                <w:b/>
                <w:sz w:val="20"/>
                <w:szCs w:val="20"/>
              </w:rPr>
            </w:pPr>
            <w:r>
              <w:rPr>
                <w:b/>
                <w:sz w:val="20"/>
                <w:szCs w:val="20"/>
              </w:rPr>
            </w:r>
          </w:p>
          <w:p>
            <w:pPr>
              <w:pStyle w:val="Normal"/>
              <w:rPr>
                <w:b/>
                <w:b/>
                <w:sz w:val="20"/>
                <w:szCs w:val="20"/>
              </w:rPr>
            </w:pPr>
            <w:r>
              <w:rPr>
                <w:b/>
                <w:sz w:val="20"/>
                <w:szCs w:val="20"/>
              </w:rPr>
            </w:r>
          </w:p>
          <w:p>
            <w:pPr>
              <w:pStyle w:val="Normal"/>
              <w:rPr>
                <w:b/>
                <w:b/>
                <w:sz w:val="20"/>
                <w:szCs w:val="20"/>
              </w:rPr>
            </w:pPr>
            <w:r>
              <w:rPr>
                <w:b/>
                <w:sz w:val="20"/>
                <w:szCs w:val="20"/>
              </w:rPr>
              <w:t xml:space="preserve">   </w:t>
            </w:r>
          </w:p>
          <w:p>
            <w:pPr>
              <w:pStyle w:val="Normal"/>
              <w:rPr>
                <w:b/>
                <w:b/>
                <w:sz w:val="20"/>
                <w:szCs w:val="20"/>
              </w:rPr>
            </w:pPr>
            <w:r>
              <w:rPr>
                <w:b/>
                <w:sz w:val="20"/>
                <w:szCs w:val="20"/>
              </w:rPr>
              <w:t xml:space="preserve">        </w:t>
            </w:r>
            <w:r>
              <w:rPr>
                <w:b/>
                <w:sz w:val="20"/>
                <w:szCs w:val="20"/>
              </w:rPr>
              <w:t>- 1 -</w:t>
            </w:r>
          </w:p>
        </w:tc>
        <w:tc>
          <w:tcPr>
            <w:tcW w:w="279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rPr>
                <w:b/>
                <w:b/>
                <w:sz w:val="20"/>
                <w:szCs w:val="20"/>
              </w:rPr>
            </w:pPr>
            <w:r>
              <w:rPr>
                <w:b/>
                <w:sz w:val="20"/>
                <w:szCs w:val="20"/>
              </w:rPr>
              <w:t xml:space="preserve">Účelové určenie grantu, transferu uviesť : školstvo, matrika, .... </w:t>
            </w:r>
          </w:p>
          <w:p>
            <w:pPr>
              <w:pStyle w:val="Normal"/>
              <w:rPr>
                <w:b/>
                <w:b/>
                <w:sz w:val="20"/>
                <w:szCs w:val="20"/>
              </w:rPr>
            </w:pPr>
            <w:r>
              <w:rPr>
                <w:b/>
                <w:sz w:val="20"/>
                <w:szCs w:val="20"/>
              </w:rPr>
              <w:t>- bežné výdavky</w:t>
            </w:r>
          </w:p>
          <w:p>
            <w:pPr>
              <w:pStyle w:val="Normal"/>
              <w:rPr>
                <w:b/>
                <w:b/>
                <w:sz w:val="20"/>
                <w:szCs w:val="20"/>
              </w:rPr>
            </w:pPr>
            <w:r>
              <w:rPr>
                <w:b/>
                <w:sz w:val="20"/>
                <w:szCs w:val="20"/>
              </w:rPr>
              <w:t>- kapitálové výdavky</w:t>
            </w:r>
          </w:p>
          <w:p>
            <w:pPr>
              <w:pStyle w:val="Normal"/>
              <w:jc w:val="center"/>
              <w:rPr>
                <w:b/>
                <w:b/>
                <w:sz w:val="20"/>
                <w:szCs w:val="20"/>
              </w:rPr>
            </w:pPr>
            <w:r>
              <w:rPr>
                <w:b/>
                <w:sz w:val="20"/>
                <w:szCs w:val="20"/>
              </w:rPr>
              <w:t>- 2 -</w:t>
            </w:r>
          </w:p>
        </w:tc>
        <w:tc>
          <w:tcPr>
            <w:tcW w:w="1561"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rPr>
                <w:b/>
                <w:b/>
                <w:sz w:val="20"/>
                <w:szCs w:val="20"/>
              </w:rPr>
            </w:pPr>
            <w:r>
              <w:rPr>
                <w:b/>
                <w:sz w:val="20"/>
                <w:szCs w:val="20"/>
              </w:rPr>
              <w:t>Suma  poskytnutých</w:t>
            </w:r>
          </w:p>
          <w:p>
            <w:pPr>
              <w:pStyle w:val="Normal"/>
              <w:rPr>
                <w:b/>
                <w:b/>
                <w:sz w:val="20"/>
                <w:szCs w:val="20"/>
              </w:rPr>
            </w:pPr>
            <w:r>
              <w:rPr>
                <w:b/>
                <w:sz w:val="20"/>
                <w:szCs w:val="20"/>
              </w:rPr>
              <w:t xml:space="preserve">finančných prostriedkov </w:t>
            </w:r>
          </w:p>
          <w:p>
            <w:pPr>
              <w:pStyle w:val="Normal"/>
              <w:jc w:val="center"/>
              <w:rPr>
                <w:b/>
                <w:b/>
                <w:sz w:val="20"/>
                <w:szCs w:val="20"/>
              </w:rPr>
            </w:pPr>
            <w:r>
              <w:rPr>
                <w:b/>
                <w:sz w:val="20"/>
                <w:szCs w:val="20"/>
              </w:rPr>
            </w:r>
          </w:p>
          <w:p>
            <w:pPr>
              <w:pStyle w:val="Normal"/>
              <w:jc w:val="center"/>
              <w:rPr>
                <w:b/>
                <w:b/>
                <w:sz w:val="20"/>
                <w:szCs w:val="20"/>
              </w:rPr>
            </w:pPr>
            <w:r>
              <w:rPr>
                <w:b/>
                <w:sz w:val="20"/>
                <w:szCs w:val="20"/>
              </w:rPr>
              <w:t>- 3 -</w:t>
            </w:r>
          </w:p>
        </w:tc>
        <w:tc>
          <w:tcPr>
            <w:tcW w:w="15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rPr>
                <w:b/>
                <w:b/>
                <w:sz w:val="20"/>
                <w:szCs w:val="20"/>
              </w:rPr>
            </w:pPr>
            <w:r>
              <w:rPr>
                <w:b/>
                <w:sz w:val="20"/>
                <w:szCs w:val="20"/>
              </w:rPr>
              <w:t xml:space="preserve">Suma skutočne použitých finančných prostriedkov  </w:t>
            </w:r>
          </w:p>
          <w:p>
            <w:pPr>
              <w:pStyle w:val="Normal"/>
              <w:jc w:val="center"/>
              <w:rPr>
                <w:b/>
                <w:b/>
                <w:sz w:val="20"/>
                <w:szCs w:val="20"/>
              </w:rPr>
            </w:pPr>
            <w:r>
              <w:rPr>
                <w:b/>
                <w:sz w:val="20"/>
                <w:szCs w:val="20"/>
              </w:rPr>
              <w:t>- 4 -</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rPr>
                <w:b/>
                <w:b/>
                <w:sz w:val="20"/>
                <w:szCs w:val="20"/>
              </w:rPr>
            </w:pPr>
            <w:r>
              <w:rPr>
                <w:b/>
                <w:sz w:val="20"/>
                <w:szCs w:val="20"/>
              </w:rPr>
              <w:t>Rozdiel</w:t>
            </w:r>
          </w:p>
          <w:p>
            <w:pPr>
              <w:pStyle w:val="Normal"/>
              <w:rPr>
                <w:b/>
                <w:b/>
                <w:sz w:val="20"/>
                <w:szCs w:val="20"/>
              </w:rPr>
            </w:pPr>
            <w:r>
              <w:rPr>
                <w:b/>
                <w:sz w:val="20"/>
                <w:szCs w:val="20"/>
              </w:rPr>
              <w:t>(stĺ.3 - stĺ.4 )</w:t>
            </w:r>
          </w:p>
          <w:p>
            <w:pPr>
              <w:pStyle w:val="Normal"/>
              <w:rPr>
                <w:b/>
                <w:b/>
                <w:sz w:val="20"/>
                <w:szCs w:val="20"/>
              </w:rPr>
            </w:pPr>
            <w:r>
              <w:rPr>
                <w:b/>
                <w:sz w:val="20"/>
                <w:szCs w:val="20"/>
              </w:rPr>
            </w:r>
          </w:p>
          <w:p>
            <w:pPr>
              <w:pStyle w:val="Normal"/>
              <w:rPr>
                <w:b/>
                <w:b/>
                <w:sz w:val="20"/>
                <w:szCs w:val="20"/>
              </w:rPr>
            </w:pPr>
            <w:r>
              <w:rPr>
                <w:b/>
                <w:sz w:val="20"/>
                <w:szCs w:val="20"/>
              </w:rPr>
            </w:r>
          </w:p>
          <w:p>
            <w:pPr>
              <w:pStyle w:val="Normal"/>
              <w:jc w:val="center"/>
              <w:rPr>
                <w:b/>
                <w:b/>
                <w:sz w:val="20"/>
                <w:szCs w:val="20"/>
              </w:rPr>
            </w:pPr>
            <w:r>
              <w:rPr>
                <w:b/>
                <w:sz w:val="20"/>
                <w:szCs w:val="20"/>
              </w:rPr>
              <w:t>- 5 -</w:t>
            </w:r>
          </w:p>
        </w:tc>
      </w:tr>
      <w:tr>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MŽP</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ŽP – bežné výdavky</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104,38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104,38</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sz w:val="22"/>
                <w:szCs w:val="22"/>
              </w:rPr>
            </w:pPr>
            <w:r>
              <w:rPr>
                <w:sz w:val="22"/>
                <w:szCs w:val="22"/>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REGOB + adries – bežné výdav.</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578,01</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578,01</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sz w:val="22"/>
                <w:szCs w:val="22"/>
              </w:rPr>
            </w:pPr>
            <w:r>
              <w:rPr>
                <w:sz w:val="22"/>
                <w:szCs w:val="22"/>
              </w:rPr>
              <w:t xml:space="preserve">Krajský stavebný  úrad </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Stavebný úsek – bežné výdavky</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1038,81</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1038,81</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pPr>
            <w:r>
              <w:rPr/>
              <w:t>Krajský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Cestná doprava – bežné výdav.</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48,25</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48,25</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sz w:val="22"/>
                <w:szCs w:val="22"/>
              </w:rPr>
            </w:pPr>
            <w:r>
              <w:rPr>
                <w:sz w:val="22"/>
                <w:szCs w:val="22"/>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Voľby VÚC – bežné výdavky</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512,80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512,80</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sz w:val="22"/>
                <w:szCs w:val="22"/>
              </w:rPr>
            </w:pPr>
            <w:r>
              <w:rPr>
                <w:sz w:val="22"/>
                <w:szCs w:val="22"/>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Skladník CO</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30,00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30,00</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sz w:val="22"/>
                <w:szCs w:val="22"/>
              </w:rPr>
            </w:pPr>
            <w:r>
              <w:rPr>
                <w:sz w:val="22"/>
                <w:szCs w:val="22"/>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Matrika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4.204,14</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4.204,14</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rHeight w:val="239" w:hRule="atLeast"/>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sz w:val="22"/>
                <w:szCs w:val="22"/>
              </w:rPr>
            </w:pPr>
            <w:r>
              <w:rPr>
                <w:sz w:val="22"/>
                <w:szCs w:val="22"/>
              </w:rPr>
              <w:t>KŠÚ</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ZŠ</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505.013,08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505.013,08</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rHeight w:val="239" w:hRule="atLeast"/>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sz w:val="22"/>
                <w:szCs w:val="22"/>
              </w:rPr>
            </w:pPr>
            <w:r>
              <w:rPr>
                <w:sz w:val="22"/>
                <w:szCs w:val="22"/>
              </w:rPr>
              <w:t>MV SR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Povodne</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jc w:val="right"/>
              <w:rPr>
                <w:sz w:val="22"/>
                <w:szCs w:val="22"/>
              </w:rPr>
            </w:pPr>
            <w:r>
              <w:rPr>
                <w:sz w:val="22"/>
                <w:szCs w:val="22"/>
              </w:rPr>
              <w:t>164.052,64</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jc w:val="right"/>
              <w:rPr>
                <w:sz w:val="22"/>
                <w:szCs w:val="22"/>
              </w:rPr>
            </w:pPr>
            <w:r>
              <w:rPr>
                <w:sz w:val="22"/>
                <w:szCs w:val="22"/>
              </w:rPr>
              <w:t>164.052,64</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r>
        <w:trPr>
          <w:trHeight w:val="239" w:hRule="atLeast"/>
        </w:trPr>
        <w:tc>
          <w:tcPr>
            <w:tcW w:w="272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UPSVaR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sz w:val="22"/>
                <w:szCs w:val="22"/>
              </w:rPr>
            </w:pPr>
            <w:r>
              <w:rPr>
                <w:sz w:val="22"/>
                <w:szCs w:val="22"/>
              </w:rPr>
              <w:t>Transfer – osob. príjemca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4.773,04</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right"/>
              <w:rPr>
                <w:sz w:val="22"/>
                <w:szCs w:val="22"/>
              </w:rPr>
            </w:pPr>
            <w:r>
              <w:rPr>
                <w:sz w:val="22"/>
                <w:szCs w:val="22"/>
              </w:rPr>
              <w:t>4.773,04</w:t>
            </w:r>
          </w:p>
        </w:tc>
        <w:tc>
          <w:tcPr>
            <w:tcW w:w="136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pPr>
            <w:r>
              <w:rPr/>
              <w:t>0,00</w:t>
            </w:r>
          </w:p>
        </w:tc>
      </w:tr>
    </w:tbl>
    <w:p>
      <w:pPr>
        <w:pStyle w:val="Normal"/>
        <w:ind w:left="360" w:hanging="0"/>
        <w:jc w:val="both"/>
        <w:rPr>
          <w:color w:val="auto"/>
        </w:rPr>
      </w:pPr>
      <w:r>
        <w:rPr>
          <w:color w:val="auto"/>
        </w:rPr>
      </w:r>
    </w:p>
    <w:p>
      <w:pPr>
        <w:pStyle w:val="Normal"/>
        <w:tabs>
          <w:tab w:val="left" w:pos="690" w:leader="none"/>
        </w:tabs>
        <w:ind w:left="426" w:hanging="426"/>
        <w:jc w:val="both"/>
        <w:rPr>
          <w:color w:val="auto"/>
        </w:rPr>
      </w:pPr>
      <w:r>
        <w:rPr>
          <w:b/>
          <w:bCs/>
          <w:color w:val="auto"/>
        </w:rPr>
        <w:t>c) Finančné usporiadanie voči štátnym fondom</w:t>
      </w:r>
    </w:p>
    <w:p>
      <w:pPr>
        <w:pStyle w:val="Normal"/>
        <w:jc w:val="both"/>
        <w:rPr>
          <w:color w:val="EF413D"/>
        </w:rPr>
      </w:pPr>
      <w:r>
        <w:rPr>
          <w:color w:val="auto"/>
        </w:rPr>
        <w:tab/>
        <w:t xml:space="preserve">Obec neuzatvorila v roku 2017 žiadnu zmluvu so štátnymi fondmi. </w:t>
      </w:r>
    </w:p>
    <w:p>
      <w:pPr>
        <w:pStyle w:val="Normal"/>
        <w:jc w:val="both"/>
        <w:rPr>
          <w:color w:val="EF413D"/>
        </w:rPr>
      </w:pPr>
      <w:r>
        <w:rPr>
          <w:color w:val="EF413D"/>
        </w:rPr>
      </w:r>
    </w:p>
    <w:p>
      <w:pPr>
        <w:pStyle w:val="Normal"/>
        <w:tabs>
          <w:tab w:val="left" w:pos="426" w:leader="none"/>
        </w:tabs>
        <w:ind w:left="450" w:hanging="426"/>
        <w:jc w:val="both"/>
        <w:rPr>
          <w:color w:val="auto"/>
        </w:rPr>
      </w:pPr>
      <w:r>
        <w:rPr>
          <w:b/>
          <w:bCs/>
          <w:color w:val="auto"/>
        </w:rPr>
        <w:t>d) Finančné usporiadanie voči rozpočtom iných obciam</w:t>
      </w:r>
      <w:r>
        <w:rPr>
          <w:color w:val="auto"/>
        </w:rPr>
        <w:t>.</w:t>
      </w:r>
    </w:p>
    <w:p>
      <w:pPr>
        <w:pStyle w:val="Normal"/>
        <w:tabs>
          <w:tab w:val="left" w:pos="426" w:leader="none"/>
        </w:tabs>
        <w:ind w:left="450" w:hanging="426"/>
        <w:jc w:val="both"/>
        <w:rPr>
          <w:color w:val="EF413D"/>
        </w:rPr>
      </w:pPr>
      <w:r>
        <w:rPr>
          <w:color w:val="auto"/>
        </w:rPr>
        <w:t xml:space="preserve">   </w:t>
      </w:r>
      <w:r>
        <w:rPr>
          <w:color w:val="auto"/>
        </w:rPr>
        <w:tab/>
        <w:tab/>
        <w:tab/>
        <w:t xml:space="preserve">Obec neuzatvorila v roku 2017 žiadnu zmluvu s inými obcami. </w:t>
      </w:r>
    </w:p>
    <w:p>
      <w:pPr>
        <w:pStyle w:val="Normal"/>
        <w:jc w:val="both"/>
        <w:rPr>
          <w:color w:val="auto"/>
          <w:u w:val="single"/>
        </w:rPr>
      </w:pPr>
      <w:r>
        <w:rPr>
          <w:color w:val="auto"/>
          <w:u w:val="single"/>
        </w:rPr>
      </w:r>
    </w:p>
    <w:p>
      <w:pPr>
        <w:pStyle w:val="Normal"/>
        <w:tabs>
          <w:tab w:val="left" w:pos="426" w:leader="none"/>
          <w:tab w:val="left" w:pos="465" w:leader="none"/>
        </w:tabs>
        <w:ind w:left="426" w:hanging="426"/>
        <w:jc w:val="both"/>
        <w:rPr>
          <w:color w:val="auto"/>
        </w:rPr>
      </w:pPr>
      <w:r>
        <w:rPr>
          <w:color w:val="auto"/>
        </w:rPr>
        <w:t xml:space="preserve"> </w:t>
      </w:r>
      <w:r>
        <w:rPr>
          <w:b/>
          <w:bCs/>
          <w:color w:val="auto"/>
        </w:rPr>
        <w:t>e)  Finančné usporiadanie voči rozpočtom VÚC</w:t>
      </w:r>
    </w:p>
    <w:p>
      <w:pPr>
        <w:pStyle w:val="Normal"/>
        <w:tabs>
          <w:tab w:val="left" w:pos="426" w:leader="none"/>
          <w:tab w:val="left" w:pos="465" w:leader="none"/>
        </w:tabs>
        <w:ind w:left="426" w:hanging="426"/>
        <w:jc w:val="both"/>
        <w:rPr>
          <w:color w:val="auto"/>
        </w:rPr>
      </w:pPr>
      <w:r>
        <w:rPr>
          <w:color w:val="auto"/>
        </w:rPr>
        <w:tab/>
        <w:t>Obec neuzatvorila v roku 2017 žiadnu zmluvu s VÚC.</w:t>
      </w:r>
    </w:p>
    <w:p>
      <w:pPr>
        <w:pStyle w:val="Normal"/>
        <w:tabs>
          <w:tab w:val="left" w:pos="-3060" w:leader="none"/>
        </w:tabs>
        <w:jc w:val="both"/>
        <w:rPr>
          <w:color w:val="EF413D"/>
        </w:rPr>
      </w:pPr>
      <w:r>
        <w:rPr>
          <w:color w:val="EF413D"/>
        </w:rPr>
      </w:r>
    </w:p>
    <w:p>
      <w:pPr>
        <w:pStyle w:val="Normal"/>
        <w:jc w:val="both"/>
        <w:rPr>
          <w:color w:val="EF413D"/>
        </w:rPr>
      </w:pPr>
      <w:r>
        <w:rPr>
          <w:b/>
          <w:bCs/>
          <w:color w:val="auto"/>
          <w:sz w:val="28"/>
          <w:szCs w:val="28"/>
        </w:rPr>
        <w:t>Prehľad o poskytnutých dotáciách</w:t>
      </w:r>
    </w:p>
    <w:p>
      <w:pPr>
        <w:pStyle w:val="Normal"/>
        <w:rPr>
          <w:color w:val="auto"/>
        </w:rPr>
      </w:pPr>
      <w:r>
        <w:rPr>
          <w:color w:val="auto"/>
        </w:rPr>
      </w:r>
    </w:p>
    <w:p>
      <w:pPr>
        <w:pStyle w:val="Normal"/>
        <w:jc w:val="both"/>
        <w:rPr>
          <w:color w:val="auto"/>
        </w:rPr>
      </w:pPr>
      <w:r>
        <w:rPr>
          <w:color w:val="auto"/>
        </w:rPr>
        <w:t xml:space="preserve">Obec v roku 2017 poskytla dotácie v súlade so VZN o dotáciách, právnickým osobám, fyzickým osobám - podnikateľom na podporu všeobecne prospešných služieb,  na všeobecne prospešný alebo verejnoprospešný účel. </w:t>
      </w:r>
    </w:p>
    <w:p>
      <w:pPr>
        <w:pStyle w:val="Normal"/>
        <w:jc w:val="both"/>
        <w:rPr/>
      </w:pPr>
      <w:r>
        <w:rPr/>
      </w:r>
    </w:p>
    <w:p>
      <w:pPr>
        <w:pStyle w:val="Normal"/>
        <w:jc w:val="both"/>
        <w:rPr>
          <w:color w:val="EF413D"/>
        </w:rPr>
      </w:pPr>
      <w:r>
        <w:rPr>
          <w:color w:val="EF413D"/>
        </w:rPr>
      </w:r>
    </w:p>
    <w:p>
      <w:pPr>
        <w:pStyle w:val="Normal"/>
        <w:jc w:val="both"/>
        <w:rPr>
          <w:color w:val="auto"/>
        </w:rPr>
      </w:pPr>
      <w:r>
        <w:rPr>
          <w:color w:val="auto"/>
        </w:rPr>
        <w:t>K 31.12.2017 boli vyúčtované všetky dotácie, ktoré boli poskytnuté v súlade so VZN o dotáciách.</w:t>
      </w:r>
    </w:p>
    <w:p>
      <w:pPr>
        <w:pStyle w:val="Normal"/>
        <w:tabs>
          <w:tab w:val="left" w:pos="11880" w:leader="none"/>
        </w:tabs>
        <w:ind w:left="720" w:hanging="0"/>
        <w:jc w:val="both"/>
        <w:rPr>
          <w:bCs/>
          <w:color w:val="auto"/>
          <w:sz w:val="16"/>
          <w:szCs w:val="16"/>
          <w:highlight w:val="red"/>
        </w:rPr>
      </w:pPr>
      <w:r>
        <w:rPr>
          <w:bCs/>
          <w:color w:val="auto"/>
          <w:sz w:val="16"/>
          <w:szCs w:val="16"/>
          <w:highlight w:val="red"/>
        </w:rPr>
      </w:r>
    </w:p>
    <w:p>
      <w:pPr>
        <w:pStyle w:val="Normal"/>
        <w:tabs>
          <w:tab w:val="left" w:pos="11880" w:leader="none"/>
        </w:tabs>
        <w:ind w:left="720" w:hanging="0"/>
        <w:jc w:val="both"/>
        <w:rPr>
          <w:bCs/>
          <w:color w:val="EF413D"/>
          <w:sz w:val="16"/>
          <w:szCs w:val="16"/>
        </w:rPr>
      </w:pPr>
      <w:r>
        <w:rPr>
          <w:bCs/>
          <w:color w:val="EF413D"/>
          <w:sz w:val="16"/>
          <w:szCs w:val="16"/>
        </w:rPr>
      </w:r>
    </w:p>
    <w:p>
      <w:pPr>
        <w:pStyle w:val="Normal"/>
        <w:tabs>
          <w:tab w:val="left" w:pos="11880" w:leader="none"/>
        </w:tabs>
        <w:ind w:left="720" w:hanging="0"/>
        <w:jc w:val="both"/>
        <w:rPr>
          <w:bCs/>
          <w:color w:val="auto"/>
          <w:sz w:val="16"/>
          <w:szCs w:val="16"/>
        </w:rPr>
      </w:pPr>
      <w:r>
        <w:rPr>
          <w:bCs/>
          <w:color w:val="auto"/>
          <w:sz w:val="16"/>
          <w:szCs w:val="16"/>
        </w:rPr>
      </w:r>
    </w:p>
    <w:p>
      <w:pPr>
        <w:pStyle w:val="Normal"/>
        <w:tabs>
          <w:tab w:val="left" w:pos="7380" w:leader="none"/>
          <w:tab w:val="left" w:pos="9720" w:leader="none"/>
          <w:tab w:val="left" w:pos="11880" w:leader="none"/>
        </w:tabs>
        <w:jc w:val="both"/>
        <w:rPr>
          <w:b/>
          <w:b/>
          <w:sz w:val="22"/>
          <w:szCs w:val="22"/>
        </w:rPr>
      </w:pPr>
      <w:r>
        <w:rPr>
          <w:b/>
          <w:bCs/>
          <w:color w:val="auto"/>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color w:val="auto"/>
                <w:sz w:val="22"/>
                <w:szCs w:val="22"/>
              </w:rPr>
              <w:t>OC</w:t>
            </w:r>
          </w:p>
          <w:p>
            <w:pPr>
              <w:pStyle w:val="Normal"/>
              <w:jc w:val="center"/>
              <w:rPr>
                <w:color w:val="auto"/>
              </w:rPr>
            </w:pPr>
            <w:r>
              <w:rPr>
                <w:b/>
                <w:color w:val="auto"/>
                <w:sz w:val="22"/>
                <w:szCs w:val="22"/>
              </w:rPr>
              <w:t>k  31.12.2016</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color w:val="auto"/>
                <w:sz w:val="22"/>
                <w:szCs w:val="22"/>
              </w:rPr>
              <w:t xml:space="preserve">OC </w:t>
            </w:r>
          </w:p>
          <w:p>
            <w:pPr>
              <w:pStyle w:val="Normal"/>
              <w:jc w:val="center"/>
              <w:rPr>
                <w:color w:val="EF413D"/>
              </w:rPr>
            </w:pPr>
            <w:r>
              <w:rPr>
                <w:b/>
                <w:color w:val="auto"/>
                <w:sz w:val="22"/>
                <w:szCs w:val="22"/>
              </w:rPr>
              <w:t>k 31.12.2017</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b/>
                <w:b/>
                <w:color w:val="auto"/>
                <w:sz w:val="22"/>
                <w:szCs w:val="22"/>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b/>
                <w:b/>
                <w:color w:val="auto"/>
                <w:sz w:val="22"/>
                <w:szCs w:val="22"/>
              </w:rPr>
            </w:pPr>
            <w:r>
              <w:rPr>
                <w:b/>
                <w:color w:val="auto"/>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2" w:name="_Hlk431753295"/>
            <w:bookmarkStart w:id="3" w:name="OLE_LINK25"/>
            <w:bookmarkStart w:id="4" w:name="OLE_LINK24"/>
            <w:bookmarkEnd w:id="2"/>
            <w:bookmarkEnd w:id="3"/>
            <w:bookmarkEnd w:id="4"/>
            <w:r>
              <w:rPr>
                <w:b/>
                <w:color w:val="auto"/>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b/>
                <w:b/>
                <w:color w:val="auto"/>
              </w:rPr>
            </w:pPr>
            <w:r>
              <w:rPr>
                <w:b/>
                <w:color w:val="auto"/>
              </w:rPr>
              <w:t>845.802,95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b/>
                <w:b/>
                <w:color w:val="auto"/>
              </w:rPr>
            </w:pPr>
            <w:r>
              <w:rPr>
                <w:b/>
                <w:color w:val="auto"/>
              </w:rPr>
              <w:t>948.929,10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115.332,65</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166.067,24</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166.067,24</w:t>
            </w:r>
          </w:p>
        </w:tc>
      </w:tr>
      <w:tr>
        <w:trPr>
          <w:trHeight w:val="26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679.735,71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667.529,21</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color w:val="auto"/>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rPr>
            </w:pPr>
            <w:r>
              <w:rPr>
                <w:color w:val="auto"/>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b/>
                <w:b/>
                <w:color w:val="auto"/>
                <w:sz w:val="22"/>
                <w:szCs w:val="22"/>
              </w:rPr>
            </w:pPr>
            <w:r>
              <w:rPr>
                <w:b/>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b/>
                <w:b/>
                <w:color w:val="auto"/>
                <w:sz w:val="22"/>
                <w:szCs w:val="22"/>
              </w:rPr>
            </w:pPr>
            <w:r>
              <w:rPr>
                <w:b/>
                <w:color w:val="auto"/>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color w:val="auto"/>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color w:val="auto"/>
                <w:sz w:val="22"/>
                <w:szCs w:val="22"/>
              </w:rPr>
            </w:pPr>
            <w:r>
              <w:rPr>
                <w:color w:val="auto"/>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color w:val="auto"/>
              </w:rPr>
            </w:pPr>
            <w:r>
              <w:rPr>
                <w:color w:val="auto"/>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color w:val="auto"/>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color w:val="auto"/>
                <w:sz w:val="22"/>
                <w:szCs w:val="22"/>
              </w:rPr>
            </w:pPr>
            <w:r>
              <w:rPr>
                <w:b/>
                <w:color w:val="auto"/>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b/>
                <w:b/>
                <w:color w:val="auto"/>
              </w:rPr>
            </w:pPr>
            <w:r>
              <w:rPr>
                <w:b/>
                <w:color w:val="auto"/>
              </w:rPr>
              <w:t>845.802,95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b/>
                <w:b/>
                <w:color w:val="auto"/>
              </w:rPr>
            </w:pPr>
            <w:r>
              <w:rPr>
                <w:b/>
                <w:color w:val="auto"/>
              </w:rPr>
              <w:t>948.929,10</w:t>
            </w:r>
          </w:p>
        </w:tc>
      </w:tr>
    </w:tbl>
    <w:p>
      <w:pPr>
        <w:pStyle w:val="Normal"/>
        <w:tabs>
          <w:tab w:val="left" w:pos="330" w:leader="none"/>
        </w:tabs>
        <w:rPr>
          <w:b/>
          <w:b/>
        </w:rPr>
      </w:pPr>
      <w:r>
        <w:br w:type="page"/>
      </w:r>
      <w:r>
        <w:rPr>
          <w:b/>
          <w:bCs/>
          <w:color w:val="auto"/>
          <w:sz w:val="28"/>
          <w:szCs w:val="28"/>
        </w:rPr>
        <w:t>Analýza nákladov a výnosov</w:t>
      </w:r>
    </w:p>
    <w:p>
      <w:pPr>
        <w:pStyle w:val="Normal"/>
        <w:tabs>
          <w:tab w:val="left" w:pos="1087" w:leader="none"/>
        </w:tabs>
        <w:ind w:left="54" w:hanging="0"/>
        <w:jc w:val="both"/>
        <w:rPr>
          <w:b/>
          <w:b/>
          <w:color w:val="auto"/>
        </w:rPr>
      </w:pPr>
      <w:r>
        <w:rPr>
          <w:b/>
          <w:color w:val="auto"/>
        </w:rPr>
      </w:r>
    </w:p>
    <w:p>
      <w:pPr>
        <w:pStyle w:val="Normal"/>
        <w:tabs>
          <w:tab w:val="left" w:pos="1087" w:leader="none"/>
        </w:tabs>
        <w:ind w:left="54" w:hanging="0"/>
        <w:jc w:val="both"/>
        <w:rPr>
          <w:color w:val="EF413D"/>
        </w:rPr>
      </w:pPr>
      <w:r>
        <w:rPr>
          <w:b/>
          <w:color w:val="auto"/>
        </w:rPr>
        <w:t>Individuálna účtovná závierka</w:t>
      </w:r>
    </w:p>
    <w:p>
      <w:pPr>
        <w:pStyle w:val="Normal"/>
        <w:ind w:left="54" w:hanging="0"/>
        <w:jc w:val="both"/>
        <w:rPr>
          <w:color w:val="EF413D"/>
        </w:rPr>
      </w:pPr>
      <w:r>
        <w:rPr>
          <w:color w:val="auto"/>
        </w:rPr>
        <w:tab/>
        <w:t>V rámci individuálne účtovnej závierky obce za rok 2017 boli vyčíslené nasledujúce druhy nákladov, ktoré boli zahrnuté vo výkaze ziskov a strát Úč ROPO SFOV 2-01</w:t>
      </w:r>
    </w:p>
    <w:p>
      <w:pPr>
        <w:pStyle w:val="Normal"/>
        <w:ind w:left="54" w:hanging="0"/>
        <w:jc w:val="both"/>
        <w:rPr>
          <w:color w:val="EF413D"/>
          <w:highlight w:val="red"/>
        </w:rPr>
      </w:pPr>
      <w:r>
        <w:rPr>
          <w:color w:val="EF413D"/>
          <w:highlight w:val="red"/>
        </w:rPr>
      </w:r>
    </w:p>
    <w:p>
      <w:pPr>
        <w:pStyle w:val="Normal"/>
        <w:tabs>
          <w:tab w:val="left" w:pos="1087" w:leader="none"/>
        </w:tabs>
        <w:ind w:left="54" w:hanging="0"/>
        <w:jc w:val="both"/>
        <w:rPr>
          <w:b/>
          <w:b/>
        </w:rPr>
      </w:pPr>
      <w:r>
        <w:rPr>
          <w:b/>
          <w:color w:val="auto"/>
        </w:rPr>
        <w:t xml:space="preserve">Prehľad nákladov </w:t>
      </w:r>
    </w:p>
    <w:p>
      <w:pPr>
        <w:pStyle w:val="Normal"/>
        <w:tabs>
          <w:tab w:val="left" w:pos="1087" w:leader="none"/>
        </w:tabs>
        <w:ind w:left="54" w:hanging="0"/>
        <w:jc w:val="both"/>
        <w:rPr>
          <w:b/>
          <w:b/>
          <w:color w:val="auto"/>
        </w:rPr>
      </w:pPr>
      <w:r>
        <w:rPr>
          <w:b/>
          <w:color w:val="auto"/>
        </w:rPr>
      </w:r>
    </w:p>
    <w:tbl>
      <w:tblPr>
        <w:tblW w:w="9981"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9"/>
        <w:gridCol w:w="5957"/>
        <w:gridCol w:w="1416"/>
        <w:gridCol w:w="1478"/>
      </w:tblGrid>
      <w:tr>
        <w:trPr/>
        <w:tc>
          <w:tcPr>
            <w:tcW w:w="1129"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595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color w:val="EF413D"/>
              </w:rPr>
            </w:pPr>
            <w:r>
              <w:rPr>
                <w:b/>
                <w:color w:val="auto"/>
              </w:rPr>
              <w:t>Suma k  31.12.2016</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color w:val="EF413D"/>
              </w:rPr>
            </w:pPr>
            <w:r>
              <w:rPr>
                <w:b/>
                <w:color w:val="auto"/>
              </w:rPr>
              <w:t>Suma k  31.12.2017</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50</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Spotrebované nákupy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b/>
                <w:b/>
                <w:bCs/>
                <w:color w:val="auto"/>
              </w:rPr>
            </w:pPr>
            <w:r>
              <w:rPr>
                <w:b/>
                <w:bCs/>
                <w:color w:val="auto"/>
              </w:rPr>
              <w:t>28.925,41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b/>
                <w:b/>
                <w:bCs/>
                <w:color w:val="auto"/>
              </w:rPr>
            </w:pPr>
            <w:r>
              <w:rPr>
                <w:b/>
                <w:bCs/>
                <w:color w:val="auto"/>
              </w:rPr>
              <w:t>24.154,97</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501 – Spotreba materiálu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auto"/>
              </w:rPr>
            </w:pPr>
            <w:r>
              <w:rPr>
                <w:color w:val="auto"/>
              </w:rPr>
              <w:t>28.925,41</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rPr>
              <w:t>24.154,97</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502 – Spotreba energie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51</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Služby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124.104,52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264.507,06</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511 – Opravy a udržiavanie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8.812,78</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512 – Cestovné</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513 – Náklady na reprezentáciu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1.941,67</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518 – Ostatné služby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115.291,74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262.565,39</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52</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Osobné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121.516,47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137.816,53</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521 – Mzdové náklady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83.942,20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99.134,14</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524 – Zákonné sociálne poistenie</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37.145,27</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38.296,39</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527-  Zákonné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429,00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528 – Ostatné sociálne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386,00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53</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Dane a poplatky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538 – Ostatné dane a poplatky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54</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166.067,24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color w:val="auto"/>
              </w:rPr>
            </w:pPr>
            <w:r>
              <w:rPr>
                <w:b/>
                <w:color w:val="auto"/>
              </w:rPr>
              <w:t>0,00</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541 – Zostatková cena predaného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166.067,24</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545 – Ostatné pokuty, penále a úroky z.</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546 – Odpis pohľadávky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548 – Ostatné náklady na prevádzkovú činnosť</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55</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Odpisy, rezervy a opravné položky z prev. a fin.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35.954,50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color w:val="auto"/>
              </w:rPr>
            </w:pPr>
            <w:r>
              <w:rPr>
                <w:b/>
                <w:color w:val="auto"/>
              </w:rPr>
              <w:t>35.954,50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551 – Odpisy DN a DH majetku</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35.954,40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35.954,40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553 – Tvorba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56</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náklady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36.075,55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18.226,00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color w:val="auto"/>
              </w:rPr>
            </w:pPr>
            <w:r>
              <w:rPr>
                <w:b/>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568 – Ostatné finančné náklady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36.075,55</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18.226,00</w:t>
            </w:r>
          </w:p>
        </w:tc>
      </w:tr>
      <w:tr>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58</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Náklady na transfery a náklady z odvodu príjmov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114.804,33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color w:val="auto"/>
              </w:rPr>
            </w:pPr>
            <w:r>
              <w:rPr>
                <w:b/>
                <w:color w:val="auto"/>
              </w:rPr>
              <w:t>129.292,75</w:t>
            </w:r>
          </w:p>
        </w:tc>
      </w:tr>
      <w:tr>
        <w:trPr/>
        <w:tc>
          <w:tcPr>
            <w:tcW w:w="1129"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p>
            <w:pPr>
              <w:pStyle w:val="Normal"/>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584 – Náklady na transfery z rozpočtu obce, VUC do RO a PO zriadených obcou, VUC</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b w:val="false"/>
                <w:b w:val="false"/>
                <w:bCs w:val="false"/>
                <w:color w:val="auto"/>
              </w:rPr>
            </w:pPr>
            <w:r>
              <w:rPr>
                <w:b w:val="false"/>
                <w:bCs w:val="false"/>
                <w:color w:val="auto"/>
              </w:rPr>
              <w:t>114.804,33</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b w:val="false"/>
                <w:b w:val="false"/>
                <w:bCs w:val="false"/>
                <w:color w:val="ED1C24"/>
              </w:rPr>
            </w:pPr>
            <w:r>
              <w:rPr>
                <w:b w:val="false"/>
                <w:bCs w:val="false"/>
                <w:color w:val="ED1C24"/>
              </w:rPr>
              <w:t>129.292,75</w:t>
            </w:r>
          </w:p>
        </w:tc>
      </w:tr>
      <w:tr>
        <w:trPr/>
        <w:tc>
          <w:tcPr>
            <w:tcW w:w="1129"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585 – Náklady na transfery z rozpočtu obce ostatným subjektom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586 – Náklady na transfery z rozpočtu obce alebo VUC subjektom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color w:val="auto"/>
              </w:rPr>
            </w:pPr>
            <w:r>
              <w:rPr>
                <w:color w:val="auto"/>
              </w:rPr>
            </w:r>
          </w:p>
        </w:tc>
        <w:tc>
          <w:tcPr>
            <w:tcW w:w="5957"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587 – Náklady na ostatné transfery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rHeight w:val="422" w:hRule="atLeast"/>
        </w:trPr>
        <w:tc>
          <w:tcPr>
            <w:tcW w:w="1129"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náklady</w:t>
            </w:r>
          </w:p>
        </w:tc>
        <w:tc>
          <w:tcPr>
            <w:tcW w:w="595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627.448,02</w:t>
            </w:r>
          </w:p>
        </w:tc>
        <w:tc>
          <w:tcPr>
            <w:tcW w:w="147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609.951,81</w:t>
            </w:r>
          </w:p>
        </w:tc>
      </w:tr>
    </w:tbl>
    <w:p>
      <w:pPr>
        <w:pStyle w:val="Normal"/>
        <w:ind w:left="54" w:hanging="0"/>
        <w:jc w:val="both"/>
        <w:rPr>
          <w:b/>
          <w:b/>
          <w:color w:val="EF413D"/>
        </w:rPr>
      </w:pPr>
      <w:r>
        <w:rPr>
          <w:b/>
          <w:color w:val="EF413D"/>
        </w:rPr>
      </w:r>
    </w:p>
    <w:p>
      <w:pPr>
        <w:pStyle w:val="Normal"/>
        <w:ind w:left="54" w:firstLine="654"/>
        <w:jc w:val="both"/>
        <w:rPr>
          <w:b/>
          <w:b/>
          <w:color w:val="FF0000"/>
        </w:rPr>
      </w:pPr>
      <w:r>
        <w:rPr>
          <w:color w:val="EF413D"/>
        </w:rPr>
        <w:t xml:space="preserve"> </w:t>
      </w:r>
    </w:p>
    <w:p>
      <w:pPr>
        <w:pStyle w:val="Normal"/>
        <w:tabs>
          <w:tab w:val="left" w:pos="1087" w:leader="none"/>
        </w:tabs>
        <w:ind w:left="54" w:hanging="0"/>
        <w:jc w:val="both"/>
        <w:rPr>
          <w:b/>
          <w:b/>
          <w:color w:val="EF413D"/>
        </w:rPr>
      </w:pPr>
      <w:r>
        <w:rPr>
          <w:b/>
          <w:color w:val="EF413D"/>
        </w:rPr>
      </w:r>
    </w:p>
    <w:p>
      <w:pPr>
        <w:pStyle w:val="Normal"/>
        <w:tabs>
          <w:tab w:val="left" w:pos="1087" w:leader="none"/>
        </w:tabs>
        <w:ind w:left="54" w:hanging="0"/>
        <w:jc w:val="both"/>
        <w:rPr>
          <w:b/>
          <w:b/>
          <w:color w:val="EF413D"/>
        </w:rPr>
      </w:pPr>
      <w:r>
        <w:rPr>
          <w:b/>
          <w:color w:val="EF413D"/>
        </w:rPr>
      </w:r>
    </w:p>
    <w:p>
      <w:pPr>
        <w:pStyle w:val="Normal"/>
        <w:tabs>
          <w:tab w:val="left" w:pos="1087" w:leader="none"/>
        </w:tabs>
        <w:ind w:left="54" w:hanging="0"/>
        <w:jc w:val="both"/>
        <w:rPr>
          <w:b/>
          <w:b/>
          <w:color w:val="EF413D"/>
        </w:rPr>
      </w:pPr>
      <w:r>
        <w:rPr>
          <w:b/>
          <w:color w:val="EF413D"/>
        </w:rPr>
      </w:r>
      <w:r>
        <w:br w:type="page"/>
      </w:r>
    </w:p>
    <w:p>
      <w:pPr>
        <w:pStyle w:val="Normal"/>
        <w:tabs>
          <w:tab w:val="left" w:pos="1087" w:leader="none"/>
        </w:tabs>
        <w:ind w:left="54" w:hanging="0"/>
        <w:jc w:val="both"/>
        <w:rPr>
          <w:b/>
          <w:b/>
        </w:rPr>
      </w:pPr>
      <w:r>
        <w:rPr>
          <w:b/>
          <w:color w:val="auto"/>
        </w:rPr>
        <w:t xml:space="preserve">Prehľad výnosov </w:t>
      </w:r>
    </w:p>
    <w:p>
      <w:pPr>
        <w:pStyle w:val="Normal"/>
        <w:tabs>
          <w:tab w:val="left" w:pos="1087" w:leader="none"/>
        </w:tabs>
        <w:ind w:left="54" w:hanging="0"/>
        <w:jc w:val="both"/>
        <w:rPr>
          <w:b/>
          <w:b/>
          <w:color w:val="EF413D"/>
        </w:rPr>
      </w:pPr>
      <w:r>
        <w:rPr>
          <w:b/>
          <w:color w:val="EF413D"/>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5"/>
        <w:gridCol w:w="1416"/>
        <w:gridCol w:w="1455"/>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05"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color w:val="EF413D"/>
              </w:rPr>
            </w:pPr>
            <w:r>
              <w:rPr>
                <w:b/>
                <w:color w:val="auto"/>
              </w:rPr>
              <w:t>Suma k  31.12.2016</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color w:val="EF413D"/>
              </w:rPr>
            </w:pPr>
            <w:r>
              <w:rPr>
                <w:b/>
                <w:color w:val="auto"/>
              </w:rPr>
              <w:t>Suma k  31.12.2017</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60</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color w:val="auto"/>
              </w:rPr>
            </w:pPr>
            <w:r>
              <w:rPr>
                <w:b/>
                <w:color w:val="auto"/>
              </w:rPr>
              <w:t>3.150,00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3.150,00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bCs/>
              </w:rPr>
            </w:pPr>
            <w:r>
              <w:rPr>
                <w:b/>
                <w:bCs/>
              </w:rPr>
              <w:t>62</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bCs/>
              </w:rPr>
              <w:t>Aktivácia</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rFonts w:ascii="Times New Roman" w:hAnsi="Times New Roman" w:eastAsia="Times New Roman" w:cs="Times New Roman"/>
                <w:b/>
                <w:b/>
                <w:bCs/>
                <w:color w:val="auto"/>
                <w:kern w:val="0"/>
                <w:sz w:val="24"/>
                <w:szCs w:val="24"/>
                <w:lang w:val="sk-SK" w:eastAsia="ar-SA" w:bidi="ar-SA"/>
              </w:rPr>
            </w:pPr>
            <w:r>
              <w:rPr>
                <w:rFonts w:eastAsia="Times New Roman" w:cs="Times New Roman"/>
                <w:b/>
                <w:bCs/>
                <w:color w:val="auto"/>
                <w:kern w:val="0"/>
                <w:sz w:val="24"/>
                <w:szCs w:val="24"/>
                <w:lang w:val="sk-SK" w:eastAsia="ar-SA" w:bidi="ar-SA"/>
              </w:rPr>
              <w:t>214.465,61</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624 – Aktivácia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214.465,61</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63</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406.536,14</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421.047,17</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381.638,38</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399.166,67</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24.897,76</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21.880,50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64</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6.031,82</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0,00</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auto"/>
              </w:rPr>
            </w:pPr>
            <w:r>
              <w:rPr>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color w:val="EF413D"/>
              </w:rPr>
            </w:pPr>
            <w:r>
              <w:rPr>
                <w:color w:val="EF413D"/>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6.031,82</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color w:val="auto"/>
              </w:rPr>
              <w:t>65</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rHeight w:val="410" w:hRule="atLeast"/>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color w:val="auto"/>
              </w:rPr>
              <w:t>66</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1,32</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105,42</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668 – Ostatné finančné výnosy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1,32</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105,42</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67</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color w:val="auto"/>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color w:val="auto"/>
              </w:rPr>
              <w:t>69</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color w:val="auto"/>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42.504,79</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155.556,14</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21.928,13</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131.325,85</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color w:val="auto"/>
              </w:rPr>
            </w:pPr>
            <w:r>
              <w:rPr>
                <w:b/>
                <w:color w:val="auto"/>
              </w:rPr>
            </w:r>
          </w:p>
        </w:tc>
        <w:tc>
          <w:tcPr>
            <w:tcW w:w="6105" w:type="dxa"/>
            <w:tcBorders>
              <w:top w:val="single" w:sz="4" w:space="0" w:color="000000"/>
              <w:left w:val="single" w:sz="4" w:space="0" w:color="000000"/>
              <w:bottom w:val="single" w:sz="4" w:space="0" w:color="000000"/>
              <w:insideH w:val="single" w:sz="4" w:space="0" w:color="000000"/>
            </w:tcBorders>
            <w:shd w:fill="auto" w:val="clear"/>
          </w:tcPr>
          <w:p>
            <w:pPr>
              <w:pStyle w:val="Normal"/>
              <w:rPr>
                <w:color w:val="auto"/>
              </w:rPr>
            </w:pPr>
            <w:r>
              <w:rPr>
                <w:color w:val="auto"/>
              </w:rPr>
              <w:t>699 – Výnosy samosprávy z odvodu rozpočtových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20.576,66</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24.230,29</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color w:val="EF413D"/>
              </w:rPr>
            </w:pPr>
            <w:r>
              <w:rPr>
                <w:b/>
                <w:color w:val="auto"/>
              </w:rPr>
              <w:t>Spolu výnosy</w:t>
            </w:r>
          </w:p>
        </w:tc>
        <w:tc>
          <w:tcPr>
            <w:tcW w:w="61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color w:val="auto"/>
              </w:rPr>
            </w:pPr>
            <w:r>
              <w:rPr>
                <w:color w:val="auto"/>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color w:val="auto"/>
              </w:rPr>
            </w:pPr>
            <w:r>
              <w:rPr>
                <w:b/>
                <w:color w:val="auto"/>
              </w:rPr>
              <w:t>669.539,68</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color w:val="auto"/>
              </w:rPr>
            </w:pPr>
            <w:r>
              <w:rPr>
                <w:b/>
                <w:color w:val="auto"/>
              </w:rPr>
              <w:t>579.858,73</w:t>
            </w:r>
          </w:p>
        </w:tc>
      </w:tr>
    </w:tbl>
    <w:p>
      <w:pPr>
        <w:pStyle w:val="Normal"/>
        <w:tabs>
          <w:tab w:val="left" w:pos="1087" w:leader="none"/>
        </w:tabs>
        <w:ind w:left="54" w:hanging="0"/>
        <w:jc w:val="both"/>
        <w:rPr>
          <w:b/>
          <w:b/>
          <w:color w:val="EF413D"/>
        </w:rPr>
      </w:pPr>
      <w:r>
        <w:rPr>
          <w:b/>
          <w:color w:val="EF413D"/>
        </w:rPr>
      </w:r>
    </w:p>
    <w:p>
      <w:pPr>
        <w:pStyle w:val="Normal"/>
        <w:tabs>
          <w:tab w:val="left" w:pos="1087" w:leader="none"/>
        </w:tabs>
        <w:ind w:left="54" w:hanging="0"/>
        <w:jc w:val="both"/>
        <w:rPr>
          <w:b/>
          <w:b/>
          <w:color w:val="EF413D"/>
        </w:rPr>
      </w:pPr>
      <w:r>
        <w:rPr>
          <w:b/>
          <w:color w:val="EF413D"/>
        </w:rPr>
      </w:r>
    </w:p>
    <w:p>
      <w:pPr>
        <w:pStyle w:val="Normal"/>
        <w:tabs>
          <w:tab w:val="left" w:pos="1087" w:leader="none"/>
        </w:tabs>
        <w:ind w:left="54" w:hanging="0"/>
        <w:jc w:val="both"/>
        <w:rPr>
          <w:b/>
          <w:b/>
          <w:color w:val="EF413D"/>
        </w:rPr>
      </w:pPr>
      <w:r>
        <w:rPr>
          <w:b/>
          <w:color w:val="EF413D"/>
        </w:rPr>
      </w:r>
    </w:p>
    <w:p>
      <w:pPr>
        <w:pStyle w:val="Normal"/>
        <w:tabs>
          <w:tab w:val="left" w:pos="1087" w:leader="none"/>
        </w:tabs>
        <w:ind w:left="54" w:hanging="0"/>
        <w:jc w:val="both"/>
        <w:rPr>
          <w:b/>
          <w:b/>
          <w:color w:val="EF413D"/>
        </w:rPr>
      </w:pPr>
      <w:r>
        <w:rPr>
          <w:b/>
          <w:color w:val="EF413D"/>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2"/>
        <w:gridCol w:w="3"/>
        <w:gridCol w:w="1413"/>
        <w:gridCol w:w="3"/>
        <w:gridCol w:w="1455"/>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Číslo účtu</w:t>
            </w:r>
          </w:p>
        </w:tc>
        <w:tc>
          <w:tcPr>
            <w:tcW w:w="6105" w:type="dxa"/>
            <w:gridSpan w:val="2"/>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color w:val="auto"/>
              </w:rPr>
              <w:t>Výsledok hospodárenia</w:t>
            </w:r>
          </w:p>
        </w:tc>
        <w:tc>
          <w:tcPr>
            <w:tcW w:w="1416" w:type="dxa"/>
            <w:gridSpan w:val="2"/>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color w:val="EF413D"/>
              </w:rPr>
            </w:pPr>
            <w:r>
              <w:rPr>
                <w:b/>
                <w:color w:val="auto"/>
              </w:rPr>
              <w:t>Suma k  31.12.2016</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color w:val="EF413D"/>
              </w:rPr>
            </w:pPr>
            <w:r>
              <w:rPr>
                <w:b/>
                <w:color w:val="auto"/>
              </w:rPr>
              <w:t>Suma k  31.12.2017</w:t>
            </w:r>
          </w:p>
        </w:tc>
      </w:tr>
      <w:tr>
        <w:trPr>
          <w:trHeight w:val="310"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pred zdanením</w:t>
            </w:r>
          </w:p>
        </w:tc>
        <w:tc>
          <w:tcPr>
            <w:tcW w:w="1416"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42.091,66</w:t>
            </w:r>
          </w:p>
        </w:tc>
        <w:tc>
          <w:tcPr>
            <w:tcW w:w="145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-30.093,08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591</w:t>
            </w:r>
          </w:p>
        </w:tc>
        <w:tc>
          <w:tcPr>
            <w:tcW w:w="6105"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Splatná daň z príjmov</w:t>
            </w:r>
          </w:p>
        </w:tc>
        <w:tc>
          <w:tcPr>
            <w:tcW w:w="1416"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1.557,82</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color w:val="EF413D"/>
              </w:rPr>
            </w:pPr>
            <w:r>
              <w:rPr>
                <w:color w:val="auto"/>
              </w:rPr>
              <w:t>595</w:t>
            </w:r>
          </w:p>
        </w:tc>
        <w:tc>
          <w:tcPr>
            <w:tcW w:w="6105"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color w:val="EF413D"/>
              </w:rPr>
            </w:pPr>
            <w:r>
              <w:rPr>
                <w:color w:val="auto"/>
              </w:rPr>
              <w:t>Dodatočne platená daň z príjmov</w:t>
            </w:r>
          </w:p>
        </w:tc>
        <w:tc>
          <w:tcPr>
            <w:tcW w:w="1416"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color w:val="auto"/>
              </w:rPr>
            </w:pPr>
            <w:r>
              <w:rPr>
                <w:color w:val="auto"/>
              </w:rPr>
              <w:t>0,00</w:t>
            </w:r>
          </w:p>
        </w:tc>
        <w:tc>
          <w:tcPr>
            <w:tcW w:w="14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color w:val="auto"/>
              </w:rPr>
            </w:pPr>
            <w:r>
              <w:rPr>
                <w:color w:val="auto"/>
              </w:rPr>
              <w:t>0,00</w:t>
            </w:r>
          </w:p>
        </w:tc>
      </w:tr>
      <w:tr>
        <w:trPr>
          <w:trHeight w:val="436"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color w:val="auto"/>
              </w:rPr>
              <w:t>Výsledok hospodárenia po zdanení</w:t>
            </w:r>
          </w:p>
        </w:tc>
        <w:tc>
          <w:tcPr>
            <w:tcW w:w="1416"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b/>
                <w:b/>
                <w:bCs/>
                <w:color w:val="auto"/>
              </w:rPr>
            </w:pPr>
            <w:r>
              <w:rPr>
                <w:b/>
                <w:bCs/>
                <w:color w:val="auto"/>
              </w:rPr>
              <w:t>40.533,84</w:t>
            </w:r>
          </w:p>
        </w:tc>
        <w:tc>
          <w:tcPr>
            <w:tcW w:w="145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b/>
                <w:b/>
                <w:bCs/>
                <w:color w:val="auto"/>
              </w:rPr>
            </w:pPr>
            <w:r>
              <w:rPr>
                <w:b/>
                <w:bCs/>
                <w:color w:val="auto"/>
              </w:rPr>
              <w:t>-30.093,08</w:t>
            </w:r>
          </w:p>
        </w:tc>
      </w:tr>
    </w:tbl>
    <w:p>
      <w:pPr>
        <w:pStyle w:val="Normal"/>
        <w:tabs>
          <w:tab w:val="left" w:pos="1087" w:leader="none"/>
        </w:tabs>
        <w:jc w:val="both"/>
        <w:rPr>
          <w:color w:val="2E74B5"/>
        </w:rPr>
      </w:pPr>
      <w:r>
        <w:br w:type="page"/>
      </w:r>
      <w:r>
        <w:rPr>
          <w:b/>
          <w:color w:val="0066B3"/>
          <w:sz w:val="28"/>
          <w:szCs w:val="28"/>
        </w:rPr>
        <w:t>7. Konsolidovaná účtovná závierka</w:t>
      </w:r>
    </w:p>
    <w:p>
      <w:pPr>
        <w:pStyle w:val="Telotextu"/>
        <w:tabs>
          <w:tab w:val="left" w:pos="360" w:leader="none"/>
        </w:tabs>
        <w:jc w:val="both"/>
        <w:rPr>
          <w:b/>
          <w:b/>
          <w:sz w:val="28"/>
          <w:szCs w:val="28"/>
        </w:rPr>
      </w:pPr>
      <w:r>
        <w:rPr>
          <w:color w:val="auto"/>
          <w:sz w:val="24"/>
        </w:rPr>
        <w:tab/>
      </w:r>
    </w:p>
    <w:p>
      <w:pPr>
        <w:pStyle w:val="Normal"/>
        <w:rPr>
          <w:sz w:val="20"/>
          <w:szCs w:val="20"/>
          <w:highlight w:val="red"/>
        </w:rPr>
      </w:pPr>
      <w:r>
        <w:rPr>
          <w:b/>
          <w:color w:val="auto"/>
          <w:sz w:val="28"/>
          <w:szCs w:val="28"/>
        </w:rPr>
        <w:t>Konsolidovaný celok</w:t>
      </w:r>
    </w:p>
    <w:p>
      <w:pPr>
        <w:pStyle w:val="Normal"/>
        <w:spacing w:lineRule="atLeast" w:line="100"/>
        <w:jc w:val="both"/>
        <w:rPr>
          <w:color w:val="auto"/>
        </w:rPr>
      </w:pPr>
      <w:r>
        <w:rPr>
          <w:color w:val="auto"/>
        </w:rPr>
        <w:tab/>
        <w:t>Obec Ľubeľa</w:t>
      </w:r>
      <w:bookmarkStart w:id="5" w:name="OLE_LINK14"/>
      <w:bookmarkStart w:id="6" w:name="OLE_LINK13"/>
      <w:bookmarkStart w:id="7" w:name="OLE_LINK12"/>
      <w:bookmarkStart w:id="8" w:name="OLE_LINK11"/>
      <w:bookmarkStart w:id="9" w:name="OLE_LINK10"/>
      <w:bookmarkStart w:id="10" w:name="OLE_LINK9"/>
      <w:bookmarkStart w:id="11" w:name="OLE_LINK8"/>
      <w:bookmarkStart w:id="12" w:name="OLE_LINK7"/>
      <w:r>
        <w:rPr>
          <w:color w:val="auto"/>
        </w:rPr>
        <w:t xml:space="preserve"> </w:t>
      </w:r>
      <w:bookmarkEnd w:id="5"/>
      <w:bookmarkEnd w:id="6"/>
      <w:bookmarkEnd w:id="7"/>
      <w:bookmarkEnd w:id="8"/>
      <w:bookmarkEnd w:id="9"/>
      <w:bookmarkEnd w:id="10"/>
      <w:bookmarkEnd w:id="11"/>
      <w:bookmarkEnd w:id="12"/>
      <w:r>
        <w:rPr>
          <w:color w:val="auto"/>
        </w:rPr>
        <w:t>ako účtovná jednotka verejnej správy (ďalej ÚJ VS) v zmysle platných právnych predpisov bola povinná vykonať konsolidovanú účtovnú závierku (ďalej KÚZ) ako konsolidujúca ÚJ VS. Konsolidovanými účtovnými jednotkami Obce Ľubeľa sú tieto ňou zriadené a založené organizácie:</w:t>
      </w:r>
    </w:p>
    <w:p>
      <w:pPr>
        <w:pStyle w:val="Normal"/>
        <w:jc w:val="both"/>
        <w:rPr>
          <w:color w:val="auto"/>
          <w:highlight w:val="red"/>
        </w:rPr>
      </w:pPr>
      <w:r>
        <w:rPr>
          <w:color w:val="auto"/>
          <w:highlight w:val="red"/>
        </w:rPr>
      </w:r>
    </w:p>
    <w:p>
      <w:pPr>
        <w:pStyle w:val="Normal"/>
        <w:jc w:val="both"/>
        <w:rPr>
          <w:color w:val="auto"/>
        </w:rPr>
      </w:pPr>
      <w:r>
        <w:rPr>
          <w:b/>
          <w:bCs/>
          <w:color w:val="auto"/>
        </w:rPr>
        <w:t>a) Rozpočtová  organizácia, ktorej zriaďovateľom je Obec Ľubeľa:</w:t>
      </w:r>
    </w:p>
    <w:p>
      <w:pPr>
        <w:pStyle w:val="Normal"/>
        <w:jc w:val="both"/>
        <w:rPr>
          <w:color w:val="auto"/>
        </w:rPr>
      </w:pPr>
      <w:r>
        <w:rPr>
          <w:b/>
          <w:bCs/>
          <w:color w:val="auto"/>
        </w:rPr>
        <w:t>Základná škola s materskou školou Ľubeľa</w:t>
      </w:r>
    </w:p>
    <w:p>
      <w:pPr>
        <w:pStyle w:val="Normal"/>
        <w:rPr/>
      </w:pPr>
      <w:r>
        <w:rPr>
          <w:b/>
          <w:bCs/>
          <w:color w:val="auto"/>
        </w:rPr>
        <w:t>Adresa:</w:t>
      </w:r>
      <w:r>
        <w:rPr>
          <w:color w:val="auto"/>
        </w:rPr>
        <w:t xml:space="preserve"> </w:t>
      </w:r>
      <w:r>
        <w:rPr>
          <w:b w:val="false"/>
          <w:bCs w:val="false"/>
          <w:color w:val="auto"/>
        </w:rPr>
        <w:t>Ľubeľa 161, 032 14  Ľubeľa</w:t>
      </w:r>
    </w:p>
    <w:p>
      <w:pPr>
        <w:pStyle w:val="Normal"/>
        <w:rPr>
          <w:color w:val="auto"/>
        </w:rPr>
      </w:pPr>
      <w:r>
        <w:rPr>
          <w:b/>
          <w:bCs/>
          <w:color w:val="auto"/>
        </w:rPr>
        <w:t xml:space="preserve">Riaditeľ: </w:t>
      </w:r>
      <w:r>
        <w:rPr>
          <w:b w:val="false"/>
          <w:bCs w:val="false"/>
          <w:color w:val="auto"/>
        </w:rPr>
        <w:t>Mgr. Iveta Kališová</w:t>
      </w:r>
    </w:p>
    <w:p>
      <w:pPr>
        <w:pStyle w:val="Normal"/>
        <w:jc w:val="both"/>
        <w:rPr/>
      </w:pPr>
      <w:r>
        <w:rPr>
          <w:color w:val="EF413D"/>
        </w:rPr>
        <w:tab/>
      </w:r>
      <w:r>
        <w:rPr>
          <w:color w:val="auto"/>
        </w:rPr>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Ľubeľa.</w:t>
      </w:r>
    </w:p>
    <w:p>
      <w:pPr>
        <w:pStyle w:val="Normal"/>
        <w:jc w:val="both"/>
        <w:rPr>
          <w:color w:val="auto"/>
        </w:rPr>
      </w:pPr>
      <w:r>
        <w:rPr>
          <w:rFonts w:eastAsia="TimesNewRoman" w:cs="TimesNewRoman" w:ascii="TimesNewRoman" w:hAnsi="TimesNewRoman"/>
          <w:color w:val="auto"/>
        </w:rPr>
        <w:tab/>
      </w:r>
      <w:r>
        <w:rPr>
          <w:color w:val="auto"/>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auto"/>
        </w:rPr>
        <w:t>č</w:t>
      </w:r>
      <w:r>
        <w:rPr>
          <w:color w:val="auto"/>
        </w:rPr>
        <w:t>ovaní položiek konsolidovanej ú</w:t>
      </w:r>
      <w:r>
        <w:rPr>
          <w:rFonts w:eastAsia="TimesNewRoman" w:cs="TimesNewRoman"/>
          <w:color w:val="auto"/>
        </w:rPr>
        <w:t>č</w:t>
      </w:r>
      <w:r>
        <w:rPr>
          <w:color w:val="auto"/>
        </w:rPr>
        <w:t>tovnej závierky vo verejnej správe v súlade s §22 ods. 13 citovaného zákona o ú</w:t>
      </w:r>
      <w:r>
        <w:rPr>
          <w:rFonts w:eastAsia="TimesNewRoman" w:cs="TimesNewRoman"/>
          <w:color w:val="auto"/>
        </w:rPr>
        <w:t>č</w:t>
      </w:r>
      <w:r>
        <w:rPr>
          <w:color w:val="auto"/>
        </w:rPr>
        <w:t>tovníctve boli konsolidovaným ú</w:t>
      </w:r>
      <w:r>
        <w:rPr>
          <w:rFonts w:eastAsia="TimesNewRoman" w:cs="TimesNewRoman"/>
          <w:color w:val="auto"/>
        </w:rPr>
        <w:t>č</w:t>
      </w:r>
      <w:r>
        <w:rPr>
          <w:color w:val="auto"/>
        </w:rPr>
        <w:t>tovným jednotkám Obce Ľubeľa  zaslané informácie k príprave na konsolidovanú ú</w:t>
      </w:r>
      <w:r>
        <w:rPr>
          <w:rFonts w:eastAsia="TimesNewRoman" w:cs="TimesNewRoman"/>
          <w:color w:val="auto"/>
        </w:rPr>
        <w:t>č</w:t>
      </w:r>
      <w:r>
        <w:rPr>
          <w:color w:val="auto"/>
        </w:rPr>
        <w:t>tovnú závierku za rok 2017 listom, ktorým bola oznámená povinnosť Obce Ľubeľa a ním založených a zriadených organizácii vykona</w:t>
      </w:r>
      <w:r>
        <w:rPr>
          <w:rFonts w:eastAsia="TimesNewRoman" w:cs="TimesNewRoman"/>
          <w:color w:val="auto"/>
        </w:rPr>
        <w:t xml:space="preserve">ť </w:t>
      </w:r>
      <w:r>
        <w:rPr>
          <w:color w:val="auto"/>
        </w:rPr>
        <w:t>konsolidovanú účtovnú závierku.</w:t>
      </w:r>
    </w:p>
    <w:p>
      <w:pPr>
        <w:pStyle w:val="Normal"/>
        <w:jc w:val="both"/>
        <w:rPr>
          <w:color w:val="auto"/>
        </w:rPr>
      </w:pPr>
      <w:r>
        <w:rPr>
          <w:color w:val="auto"/>
        </w:rPr>
        <w:t xml:space="preserve">Vzhľadom na štruktúru konsolidovaných účtovných jednotiek a majetkovú účasť Obce Ľubeľa je </w:t>
      </w:r>
      <w:r>
        <w:rPr>
          <w:b/>
          <w:color w:val="auto"/>
        </w:rPr>
        <w:t>vo vzťahu k rozpočtovej organizácii použitá metóda úplnej konsolidácie</w:t>
      </w:r>
      <w:r>
        <w:rPr>
          <w:color w:val="auto"/>
        </w:rPr>
        <w:t>.</w:t>
      </w:r>
    </w:p>
    <w:p>
      <w:pPr>
        <w:pStyle w:val="Normal"/>
        <w:jc w:val="both"/>
        <w:rPr/>
      </w:pPr>
      <w:r>
        <w:rPr>
          <w:color w:val="EF413D"/>
        </w:rPr>
        <w:tab/>
      </w:r>
    </w:p>
    <w:p>
      <w:pPr>
        <w:pStyle w:val="Normal"/>
        <w:jc w:val="both"/>
        <w:rPr>
          <w:sz w:val="16"/>
          <w:szCs w:val="16"/>
        </w:rPr>
      </w:pPr>
      <w:r>
        <w:rPr>
          <w:b/>
          <w:color w:val="auto"/>
        </w:rPr>
        <w:t>Konsolidácia účtovnej závierky sa skladá zo 4 krokov</w:t>
      </w:r>
    </w:p>
    <w:p>
      <w:pPr>
        <w:pStyle w:val="Normal"/>
        <w:jc w:val="both"/>
        <w:rPr>
          <w:color w:val="auto"/>
          <w:sz w:val="16"/>
          <w:szCs w:val="16"/>
        </w:rPr>
      </w:pPr>
      <w:r>
        <w:rPr>
          <w:color w:val="auto"/>
          <w:sz w:val="16"/>
          <w:szCs w:val="16"/>
        </w:rPr>
      </w:r>
    </w:p>
    <w:p>
      <w:pPr>
        <w:pStyle w:val="Normal"/>
        <w:jc w:val="both"/>
        <w:rPr>
          <w:color w:val="EF413D"/>
        </w:rPr>
      </w:pPr>
      <w:r>
        <w:rPr>
          <w:b/>
          <w:color w:val="auto"/>
        </w:rPr>
        <w:t>1. Konsolidácia kapitálu (nevzťahuje sa na RO, PO)</w:t>
      </w:r>
    </w:p>
    <w:p>
      <w:pPr>
        <w:pStyle w:val="Normal"/>
        <w:jc w:val="both"/>
        <w:rPr>
          <w:b/>
          <w:b/>
        </w:rPr>
      </w:pPr>
      <w:r>
        <w:rPr>
          <w:color w:val="auto"/>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EF413D"/>
        </w:rPr>
      </w:pPr>
      <w:r>
        <w:rPr>
          <w:b/>
          <w:color w:val="auto"/>
        </w:rPr>
        <w:t>2. Konsolidácia pohľadávok a záväzkov</w:t>
      </w:r>
    </w:p>
    <w:p>
      <w:pPr>
        <w:pStyle w:val="Normal"/>
        <w:jc w:val="both"/>
        <w:rPr>
          <w:color w:val="EF413D"/>
        </w:rPr>
      </w:pPr>
      <w:r>
        <w:rPr>
          <w:color w:val="auto"/>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EF413D"/>
        </w:rPr>
      </w:pPr>
      <w:r>
        <w:rPr>
          <w:color w:val="auto"/>
        </w:rPr>
        <w:t xml:space="preserve">a) Pravé (vytvorené napr. rezervami, opravnými položkami vo vzájomných vzťahoch). </w:t>
      </w:r>
    </w:p>
    <w:p>
      <w:pPr>
        <w:pStyle w:val="Normal"/>
        <w:jc w:val="both"/>
        <w:rPr>
          <w:color w:val="EF413D"/>
        </w:rPr>
      </w:pPr>
      <w:r>
        <w:rPr>
          <w:color w:val="auto"/>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EF413D"/>
        </w:rPr>
      </w:pPr>
      <w:r>
        <w:rPr>
          <w:color w:val="auto"/>
        </w:rPr>
        <w:t>b) Nepravé (vytvorené napr. chybným zaúčtovaním, časovým posunom v zaúčtovaní a pod.).</w:t>
      </w:r>
    </w:p>
    <w:p>
      <w:pPr>
        <w:pStyle w:val="Normal"/>
        <w:jc w:val="both"/>
        <w:rPr>
          <w:b/>
          <w:b/>
        </w:rPr>
      </w:pPr>
      <w:r>
        <w:rPr>
          <w:color w:val="auto"/>
        </w:rPr>
        <w:t>Nepravé rozdiely budú vysporiadané v procese odsúhlasovania zostatkov záväzkov a pohľadávok, resp. v rámci konsolidačných operácií mesta a konsolidovaných ÚJ.</w:t>
      </w:r>
    </w:p>
    <w:p>
      <w:pPr>
        <w:pStyle w:val="Normal"/>
        <w:jc w:val="both"/>
        <w:rPr>
          <w:color w:val="EF413D"/>
        </w:rPr>
      </w:pPr>
      <w:r>
        <w:rPr>
          <w:b/>
          <w:color w:val="auto"/>
        </w:rPr>
        <w:t>3. Konsolidácia medzivýsledku</w:t>
      </w:r>
    </w:p>
    <w:p>
      <w:pPr>
        <w:pStyle w:val="Normal"/>
        <w:jc w:val="both"/>
        <w:rPr>
          <w:b/>
          <w:b/>
        </w:rPr>
      </w:pPr>
      <w:r>
        <w:rPr>
          <w:color w:val="auto"/>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auto"/>
        </w:rPr>
      </w:pPr>
      <w:r>
        <w:rPr>
          <w:b/>
          <w:color w:val="auto"/>
        </w:rPr>
        <w:t xml:space="preserve">4. Konsolidácia nákladov a výnosov </w:t>
      </w:r>
      <w:r>
        <w:rPr>
          <w:color w:val="auto"/>
        </w:rPr>
        <w:t>Konsolidácia nákladov a výnosov eliminuje z výkazov ziskov a strát vzájomné transakcie v konsolidačnom celku identifikované účtovnou jednotkou (identifikátorom je IČO organizácie).</w:t>
      </w:r>
    </w:p>
    <w:p>
      <w:pPr>
        <w:pStyle w:val="Normal"/>
        <w:jc w:val="both"/>
        <w:rPr>
          <w:rFonts w:ascii="Calibri-Bold" w:hAnsi="Calibri-Bold" w:cs="Calibri-Bold"/>
          <w:b/>
          <w:b/>
          <w:bCs/>
          <w:sz w:val="28"/>
          <w:szCs w:val="28"/>
          <w:highlight w:val="red"/>
        </w:rPr>
      </w:pPr>
      <w:r>
        <w:rPr>
          <w:rFonts w:cs="Calibri-Bold" w:ascii="Calibri-Bold" w:hAnsi="Calibri-Bold"/>
          <w:b/>
          <w:bCs/>
          <w:sz w:val="28"/>
          <w:szCs w:val="28"/>
          <w:highlight w:val="red"/>
        </w:rPr>
      </w:r>
    </w:p>
    <w:p>
      <w:pPr>
        <w:pStyle w:val="Normal"/>
        <w:jc w:val="both"/>
        <w:rPr>
          <w:rFonts w:ascii="Calibri-Bold" w:hAnsi="Calibri-Bold" w:cs="Calibri-Bold"/>
          <w:b/>
          <w:b/>
          <w:bCs/>
          <w:sz w:val="28"/>
          <w:szCs w:val="28"/>
          <w:highlight w:val="red"/>
        </w:rPr>
      </w:pPr>
      <w:r>
        <w:rPr>
          <w:rFonts w:cs="Calibri-Bold" w:ascii="Calibri-Bold" w:hAnsi="Calibri-Bold"/>
          <w:b/>
          <w:bCs/>
          <w:sz w:val="28"/>
          <w:szCs w:val="28"/>
          <w:highlight w:val="red"/>
        </w:rPr>
      </w:r>
    </w:p>
    <w:p>
      <w:pPr>
        <w:pStyle w:val="Normal"/>
        <w:jc w:val="both"/>
        <w:rPr>
          <w:rFonts w:ascii="Calibri-Bold" w:hAnsi="Calibri-Bold" w:cs="Calibri-Bold"/>
          <w:b/>
          <w:b/>
          <w:bCs/>
          <w:sz w:val="28"/>
          <w:szCs w:val="28"/>
          <w:highlight w:val="red"/>
        </w:rPr>
      </w:pPr>
      <w:r>
        <w:rPr>
          <w:rFonts w:cs="Calibri-Bold" w:ascii="Calibri-Bold" w:hAnsi="Calibri-Bold"/>
          <w:b/>
          <w:bCs/>
          <w:sz w:val="28"/>
          <w:szCs w:val="28"/>
          <w:highlight w:val="red"/>
        </w:rPr>
      </w:r>
    </w:p>
    <w:p>
      <w:pPr>
        <w:pStyle w:val="Normal"/>
        <w:jc w:val="both"/>
        <w:rPr>
          <w:rFonts w:ascii="Calibri-Bold" w:hAnsi="Calibri-Bold" w:cs="Calibri-Bold"/>
          <w:b/>
          <w:b/>
          <w:bCs/>
          <w:sz w:val="28"/>
          <w:szCs w:val="28"/>
          <w:highlight w:val="red"/>
        </w:rPr>
      </w:pPr>
      <w:r>
        <w:rPr>
          <w:rFonts w:cs="Calibri-Bold" w:ascii="Calibri-Bold" w:hAnsi="Calibri-Bold"/>
          <w:b/>
          <w:bCs/>
          <w:sz w:val="28"/>
          <w:szCs w:val="28"/>
          <w:highlight w:val="red"/>
        </w:rPr>
      </w:r>
    </w:p>
    <w:p>
      <w:pPr>
        <w:pStyle w:val="Normal"/>
        <w:jc w:val="both"/>
        <w:rPr>
          <w:rFonts w:ascii="Calibri-Bold" w:hAnsi="Calibri-Bold" w:cs="Calibri-Bold"/>
          <w:b/>
          <w:b/>
          <w:bCs/>
          <w:sz w:val="28"/>
          <w:szCs w:val="28"/>
          <w:highlight w:val="red"/>
        </w:rPr>
      </w:pPr>
      <w:r>
        <w:rPr>
          <w:rFonts w:cs="Calibri-Bold" w:ascii="Calibri-Bold" w:hAnsi="Calibri-Bold"/>
          <w:b/>
          <w:bCs/>
          <w:sz w:val="28"/>
          <w:szCs w:val="28"/>
          <w:highlight w:val="red"/>
        </w:rPr>
      </w:r>
    </w:p>
    <w:p>
      <w:pPr>
        <w:pStyle w:val="Normal"/>
        <w:rPr>
          <w:color w:val="EF413D"/>
        </w:rPr>
      </w:pPr>
      <w:r>
        <w:rPr>
          <w:b/>
          <w:color w:val="auto"/>
          <w:sz w:val="28"/>
          <w:szCs w:val="28"/>
        </w:rPr>
        <w:t>Hospodárenie  konsolidovaného  celku za rok 2017</w:t>
      </w:r>
    </w:p>
    <w:p>
      <w:pPr>
        <w:pStyle w:val="Normal"/>
        <w:rPr>
          <w:color w:val="auto"/>
        </w:rPr>
      </w:pPr>
      <w:r>
        <w:rPr>
          <w:color w:val="auto"/>
        </w:rPr>
      </w:r>
    </w:p>
    <w:p>
      <w:pPr>
        <w:pStyle w:val="Normal"/>
        <w:tabs>
          <w:tab w:val="left" w:pos="360" w:leader="none"/>
        </w:tabs>
        <w:jc w:val="both"/>
        <w:rPr>
          <w:color w:val="auto"/>
        </w:rPr>
      </w:pPr>
      <w:r>
        <w:rPr>
          <w:b/>
          <w:color w:val="auto"/>
        </w:rPr>
        <w:t>Údaje konsolidovanej súvahy obce Ľubeľa uvádzame v nasledovnej tabuľke</w:t>
      </w:r>
    </w:p>
    <w:p>
      <w:pPr>
        <w:pStyle w:val="Normal"/>
        <w:tabs>
          <w:tab w:val="left" w:pos="360" w:leader="none"/>
        </w:tabs>
        <w:jc w:val="both"/>
        <w:rPr>
          <w:b/>
          <w:b/>
          <w:color w:val="EF413D"/>
          <w:highlight w:val="red"/>
        </w:rPr>
      </w:pPr>
      <w:r>
        <w:rPr>
          <w:b/>
          <w:color w:val="EF413D"/>
          <w:highlight w:val="red"/>
        </w:rPr>
      </w:r>
    </w:p>
    <w:tbl>
      <w:tblPr>
        <w:tblW w:w="1067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92"/>
        <w:gridCol w:w="1452"/>
        <w:gridCol w:w="1426"/>
        <w:gridCol w:w="1777"/>
        <w:gridCol w:w="728"/>
        <w:gridCol w:w="709"/>
        <w:gridCol w:w="1561"/>
        <w:gridCol w:w="1425"/>
      </w:tblGrid>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color w:val="auto"/>
              </w:rPr>
              <w:t>Aktíva</w:t>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7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56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EF413D"/>
              </w:rPr>
            </w:pPr>
            <w:r>
              <w:rPr>
                <w:b/>
                <w:bCs/>
                <w:color w:val="auto"/>
              </w:rPr>
              <w:t>KÚZ k 31.12.2016</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EF413D"/>
              </w:rPr>
            </w:pPr>
            <w:r>
              <w:rPr>
                <w:b/>
                <w:bCs/>
                <w:color w:val="auto"/>
              </w:rPr>
              <w:t>KÚZ k  31.12.2017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DNM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DHM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948.929,10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948.929,10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845.802,95</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948.929,10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DFM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Zásob</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775,32</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775,32</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686,10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775,32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Zaúčt.OP RO</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Iné pohľad.</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5,19</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5,00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Pohľadávky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794,14</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794,14</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794,14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Zaúčt.sub.VS</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586,34</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586,34</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2.741,50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586,34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Fin. účty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35.594,24</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47.064,52</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82.658,76</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51.119,91</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82.658,76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rPr>
              <w:t>Čas.rozlíš.</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Majetok spolu</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985.317,48</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48.431,18</w:t>
            </w:r>
          </w:p>
        </w:tc>
        <w:tc>
          <w:tcPr>
            <w:tcW w:w="17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1.033.748,66</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r>
          </w:p>
        </w:tc>
        <w:tc>
          <w:tcPr>
            <w:tcW w:w="1561"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900.355,65</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b/>
                <w:b/>
                <w:bCs/>
                <w:color w:val="auto"/>
              </w:rPr>
            </w:pPr>
            <w:r>
              <w:rPr>
                <w:b/>
                <w:bCs/>
                <w:color w:val="auto"/>
              </w:rPr>
              <w:t>1.033.748,66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color w:val="auto"/>
              </w:rPr>
              <w:t>Pasíva</w:t>
            </w:r>
          </w:p>
          <w:p>
            <w:pPr>
              <w:pStyle w:val="Obsahtabuky"/>
              <w:snapToGrid w:val="false"/>
              <w:jc w:val="both"/>
              <w:rPr>
                <w:b/>
                <w:b/>
                <w:bCs/>
                <w:color w:val="auto"/>
              </w:rPr>
            </w:pPr>
            <w:r>
              <w:rPr>
                <w:b/>
                <w:bCs/>
                <w:color w:val="auto"/>
              </w:rPr>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rPr>
            </w:pPr>
            <w:r>
              <w:rPr>
                <w:b/>
                <w:bCs/>
                <w:color w:val="auto"/>
              </w:rPr>
              <w:t>ZŠ</w:t>
            </w:r>
          </w:p>
        </w:tc>
        <w:tc>
          <w:tcPr>
            <w:tcW w:w="17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w:t>
            </w:r>
          </w:p>
          <w:p>
            <w:pPr>
              <w:pStyle w:val="Obsahtabuky"/>
              <w:snapToGrid w:val="false"/>
              <w:jc w:val="center"/>
              <w:rPr>
                <w:b/>
                <w:b/>
                <w:bCs/>
              </w:rPr>
            </w:pPr>
            <w:r>
              <w:rPr>
                <w:b/>
                <w:bCs/>
                <w:color w:val="auto"/>
              </w:rPr>
              <w:t>Dal</w:t>
            </w:r>
          </w:p>
        </w:tc>
        <w:tc>
          <w:tcPr>
            <w:tcW w:w="156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EF413D"/>
              </w:rPr>
            </w:pPr>
            <w:r>
              <w:rPr>
                <w:b/>
                <w:bCs/>
                <w:color w:val="auto"/>
              </w:rPr>
              <w:t>KÚZ k  31.12.2016</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EF413D"/>
              </w:rPr>
            </w:pPr>
            <w:r>
              <w:rPr>
                <w:b/>
                <w:bCs/>
                <w:color w:val="auto"/>
              </w:rPr>
              <w:t>Spolu 31.12.2017</w:t>
            </w:r>
          </w:p>
        </w:tc>
      </w:tr>
      <w:tr>
        <w:trPr>
          <w:trHeight w:val="699"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color w:val="auto"/>
              </w:rPr>
              <w:t>Vlastné imanie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193.939,35</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-480,15</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b/>
                <w:bCs/>
                <w:color w:val="auto"/>
              </w:rPr>
              <w:t>193.459,20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color w:val="auto"/>
              </w:rPr>
            </w:pPr>
            <w:r>
              <w:rPr>
                <w:bCs/>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38.006,59</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b/>
                <w:bCs/>
                <w:color w:val="auto"/>
              </w:rPr>
              <w:t>193.459,20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Oceň. rozdiely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Fondy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Nevysp. HV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224.032,43</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-2.527,25</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221.505,18</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-209,05</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221.505,18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bCs/>
                <w:color w:val="auto"/>
              </w:rPr>
              <w:t>Výsledok 2017</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-30.093,08</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2.047,10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-28.045,98</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38.215,64</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-28.045,98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color w:val="auto"/>
              </w:rPr>
              <w:t>Záväzky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32.234,00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48.911,33</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81.145,33</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61.480,20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bCs/>
                <w:color w:val="auto"/>
              </w:rPr>
            </w:pPr>
            <w:r>
              <w:rPr>
                <w:b/>
                <w:bCs/>
                <w:color w:val="auto"/>
              </w:rPr>
              <w:t>81.145,33</w:t>
            </w:r>
          </w:p>
        </w:tc>
      </w:tr>
      <w:tr>
        <w:trPr>
          <w:trHeight w:val="35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Rezervy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Zaúčt.subj.VS</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3,82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Dlhodobé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182,31</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3.636,90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3.819,21</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3.788,25</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3.815,39</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Krátkod.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32.051,69</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45.274,43</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77.326,12</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57.691,95</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74.326,12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color w:val="EF413D"/>
              </w:rPr>
            </w:pPr>
            <w:r>
              <w:rPr>
                <w:color w:val="auto"/>
              </w:rPr>
              <w:t>Bankové úvery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color w:val="auto"/>
              </w:rPr>
            </w:pPr>
            <w:r>
              <w:rPr>
                <w:color w:val="auto"/>
              </w:rPr>
              <w:t>0,00</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color w:val="auto"/>
              </w:rPr>
            </w:pPr>
            <w:r>
              <w:rPr>
                <w:color w:val="auto"/>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color w:val="auto"/>
              </w:rPr>
              <w:t>Čas.rozlíšenie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759.144,13</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0,00</w:t>
            </w:r>
          </w:p>
        </w:tc>
        <w:tc>
          <w:tcPr>
            <w:tcW w:w="17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color w:val="auto"/>
              </w:rPr>
            </w:pPr>
            <w:r>
              <w:rPr>
                <w:b/>
                <w:bCs/>
                <w:color w:val="auto"/>
              </w:rPr>
              <w:t>759.144,13</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color w:val="auto"/>
              </w:rPr>
            </w:pPr>
            <w:r>
              <w:rPr>
                <w:b/>
                <w:color w:val="auto"/>
              </w:rPr>
              <w:t>800.868,86</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b/>
                <w:b/>
                <w:bCs/>
                <w:color w:val="auto"/>
              </w:rPr>
            </w:pPr>
            <w:r>
              <w:rPr>
                <w:b/>
                <w:bCs/>
                <w:color w:val="auto"/>
              </w:rPr>
              <w:t>759.144,13</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color w:val="auto"/>
              </w:rPr>
              <w:t xml:space="preserve">VI a záväzky </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985.317,48</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45.431,18</w:t>
            </w:r>
          </w:p>
        </w:tc>
        <w:tc>
          <w:tcPr>
            <w:tcW w:w="17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1.033.748,66</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color w:val="EF413D"/>
              </w:rPr>
            </w:pPr>
            <w:r>
              <w:rPr>
                <w:bCs/>
                <w:color w:val="EF413D"/>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EF413D"/>
              </w:rPr>
            </w:pPr>
            <w:r>
              <w:rPr>
                <w:b/>
                <w:bCs/>
                <w:color w:val="EF413D"/>
              </w:rPr>
            </w:r>
          </w:p>
        </w:tc>
        <w:tc>
          <w:tcPr>
            <w:tcW w:w="1561"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auto"/>
              </w:rPr>
            </w:pPr>
            <w:r>
              <w:rPr>
                <w:b/>
                <w:bCs/>
                <w:color w:val="auto"/>
              </w:rPr>
              <w:t>900.355,65</w:t>
            </w:r>
          </w:p>
        </w:tc>
        <w:tc>
          <w:tcPr>
            <w:tcW w:w="142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b/>
                <w:b/>
                <w:bCs/>
                <w:color w:val="auto"/>
              </w:rPr>
            </w:pPr>
            <w:r>
              <w:rPr>
                <w:b/>
                <w:bCs/>
                <w:color w:val="auto"/>
              </w:rPr>
              <w:t>1.033.748,66</w:t>
            </w:r>
          </w:p>
        </w:tc>
      </w:tr>
    </w:tbl>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sz w:val="20"/>
          <w:szCs w:val="20"/>
          <w:highlight w:val="red"/>
        </w:rPr>
      </w:pPr>
      <w:r>
        <w:rPr>
          <w:color w:val="EF413D"/>
          <w:sz w:val="20"/>
          <w:szCs w:val="20"/>
          <w:highlight w:val="red"/>
        </w:rPr>
      </w:r>
    </w:p>
    <w:p>
      <w:pPr>
        <w:pStyle w:val="Normal"/>
        <w:tabs>
          <w:tab w:val="left" w:pos="360" w:leader="none"/>
        </w:tabs>
        <w:jc w:val="both"/>
        <w:rPr>
          <w:color w:val="EF413D"/>
        </w:rPr>
      </w:pPr>
      <w:r>
        <w:rPr>
          <w:b/>
          <w:color w:val="auto"/>
        </w:rPr>
        <w:t xml:space="preserve">Okrem konsolidácie majetku a záväzkov, boli za rok 2017 konsolidované náklady a výnosy. </w:t>
      </w:r>
    </w:p>
    <w:p>
      <w:pPr>
        <w:pStyle w:val="Normal"/>
        <w:tabs>
          <w:tab w:val="left" w:pos="360" w:leader="none"/>
        </w:tabs>
        <w:jc w:val="both"/>
        <w:rPr>
          <w:b/>
          <w:b/>
          <w:color w:val="EF413D"/>
          <w:sz w:val="20"/>
          <w:szCs w:val="20"/>
        </w:rPr>
      </w:pPr>
      <w:r>
        <w:rPr>
          <w:b/>
          <w:color w:val="EF413D"/>
          <w:sz w:val="20"/>
          <w:szCs w:val="20"/>
        </w:rPr>
      </w:r>
    </w:p>
    <w:p>
      <w:pPr>
        <w:pStyle w:val="Normal"/>
        <w:tabs>
          <w:tab w:val="left" w:pos="360" w:leader="none"/>
        </w:tabs>
        <w:jc w:val="both"/>
        <w:rPr>
          <w:b/>
          <w:b/>
          <w:bCs/>
        </w:rPr>
      </w:pPr>
      <w:r>
        <w:rPr>
          <w:b/>
          <w:color w:val="auto"/>
        </w:rPr>
        <w:t>Prehľad nákladov a výnosov za konsolidovaný celok uvádzame v nasledujúcich tabuľkách.</w:t>
      </w:r>
    </w:p>
    <w:tbl>
      <w:tblPr>
        <w:tblW w:w="10046" w:type="dxa"/>
        <w:jc w:val="left"/>
        <w:tblInd w:w="-514"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17"/>
        <w:gridCol w:w="1388"/>
        <w:gridCol w:w="1221"/>
        <w:gridCol w:w="1411"/>
        <w:gridCol w:w="1350"/>
        <w:gridCol w:w="450"/>
        <w:gridCol w:w="1203"/>
        <w:gridCol w:w="1304"/>
      </w:tblGrid>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Náklady</w:t>
            </w:r>
          </w:p>
        </w:tc>
        <w:tc>
          <w:tcPr>
            <w:tcW w:w="138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 xml:space="preserve">Obec </w:t>
            </w:r>
          </w:p>
        </w:tc>
        <w:tc>
          <w:tcPr>
            <w:tcW w:w="122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41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13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KÚ Md</w:t>
            </w:r>
          </w:p>
        </w:tc>
        <w:tc>
          <w:tcPr>
            <w:tcW w:w="4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KÚDal</w:t>
            </w:r>
          </w:p>
        </w:tc>
        <w:tc>
          <w:tcPr>
            <w:tcW w:w="120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KÚZ k 31.12.2016</w:t>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EF413D"/>
              </w:rPr>
            </w:pPr>
            <w:r>
              <w:rPr>
                <w:b/>
                <w:bCs/>
                <w:color w:val="auto"/>
                <w:sz w:val="22"/>
                <w:szCs w:val="22"/>
              </w:rPr>
              <w:t>KÚZ k  31.12.2017</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bCs/>
                <w:color w:val="auto"/>
                <w:sz w:val="22"/>
                <w:szCs w:val="22"/>
              </w:rPr>
              <w:t>462.433,06</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bCs/>
                <w:color w:val="auto"/>
                <w:sz w:val="22"/>
                <w:szCs w:val="22"/>
              </w:rPr>
              <w:t>732.198,89</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bCs/>
                <w:color w:val="auto"/>
                <w:sz w:val="22"/>
                <w:szCs w:val="22"/>
              </w:rPr>
              <w:t>1.194.631,95</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F413D"/>
                <w:sz w:val="22"/>
                <w:szCs w:val="22"/>
              </w:rPr>
            </w:pPr>
            <w:r>
              <w:rPr>
                <w:b/>
                <w:bCs/>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EF413D"/>
                <w:sz w:val="22"/>
                <w:szCs w:val="22"/>
              </w:rPr>
            </w:pPr>
            <w:r>
              <w:rPr>
                <w:b/>
                <w:bCs/>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bCs/>
                <w:color w:val="auto"/>
                <w:sz w:val="22"/>
                <w:szCs w:val="22"/>
              </w:rPr>
              <w:t>1.194.631,95</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Materiál, ener.</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24.154,97</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113.418,12</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137.573,09</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rPr>
            </w:pPr>
            <w:r>
              <w:rPr>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137.573,09</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Služby</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264.507,06</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85.804,12</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350.311,18</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rPr>
            </w:pPr>
            <w:r>
              <w:rPr>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350.311,18</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Osob.náklady</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137.816,53</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520.179,29</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657.995,82</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rPr>
            </w:pPr>
            <w:r>
              <w:rPr>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657.995,82</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Dane a popl.</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540,00</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540,00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rPr>
            </w:pPr>
            <w:r>
              <w:rPr>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540,00</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nákl.</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12.257,36</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12.257,36</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rPr>
            </w:pPr>
            <w:r>
              <w:rPr>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12.257,36</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Odpisy, rezer.</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35.954,50</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35.954,50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rPr>
            </w:pPr>
            <w:r>
              <w:rPr>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35.954,50</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18.226,00</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1.215,68</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19.441,68</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F413D"/>
                <w:sz w:val="22"/>
                <w:szCs w:val="22"/>
              </w:rPr>
            </w:pPr>
            <w:r>
              <w:rPr>
                <w:b/>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F413D"/>
                <w:sz w:val="22"/>
                <w:szCs w:val="22"/>
              </w:rPr>
            </w:pPr>
            <w:r>
              <w:rPr>
                <w:b/>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color w:val="auto"/>
                <w:sz w:val="22"/>
                <w:szCs w:val="22"/>
              </w:rPr>
              <w:t>19.441,68</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Finančné nákl.</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18.226,00</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1.215,68</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19.441,67</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sz w:val="22"/>
                <w:szCs w:val="22"/>
              </w:rPr>
            </w:pPr>
            <w:r>
              <w:rPr>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EF413D"/>
              </w:rPr>
            </w:pPr>
            <w:r>
              <w:rPr>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19.441,67</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F413D"/>
                <w:sz w:val="22"/>
                <w:szCs w:val="22"/>
              </w:rPr>
            </w:pPr>
            <w:r>
              <w:rPr>
                <w:b/>
                <w:color w:val="EF413D"/>
                <w:sz w:val="22"/>
                <w:szCs w:val="22"/>
              </w:rPr>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F413D"/>
                <w:sz w:val="22"/>
                <w:szCs w:val="22"/>
              </w:rPr>
            </w:pPr>
            <w:r>
              <w:rPr>
                <w:b/>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F413D"/>
              </w:rPr>
            </w:pPr>
            <w:r>
              <w:rPr>
                <w:b/>
                <w:color w:val="EF413D"/>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color w:val="auto"/>
                <w:sz w:val="22"/>
                <w:szCs w:val="22"/>
              </w:rPr>
              <w:t>0,00</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8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129.292,75</w:t>
            </w:r>
          </w:p>
        </w:tc>
        <w:tc>
          <w:tcPr>
            <w:tcW w:w="122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24.234,11</w:t>
            </w:r>
          </w:p>
        </w:tc>
        <w:tc>
          <w:tcPr>
            <w:tcW w:w="14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956,28</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-152.570,58</w:t>
            </w:r>
          </w:p>
        </w:tc>
        <w:tc>
          <w:tcPr>
            <w:tcW w:w="4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EF413D"/>
                <w:sz w:val="22"/>
                <w:szCs w:val="22"/>
              </w:rPr>
            </w:pPr>
            <w:r>
              <w:rPr>
                <w:b/>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color w:val="auto"/>
                <w:sz w:val="22"/>
                <w:szCs w:val="22"/>
              </w:rPr>
              <w:t>956,28</w:t>
            </w:r>
          </w:p>
        </w:tc>
      </w:tr>
      <w:tr>
        <w:trPr>
          <w:trHeight w:val="276" w:hRule="atLeast"/>
        </w:trPr>
        <w:tc>
          <w:tcPr>
            <w:tcW w:w="171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Celkom</w:t>
            </w:r>
          </w:p>
        </w:tc>
        <w:tc>
          <w:tcPr>
            <w:tcW w:w="138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sz w:val="22"/>
                <w:szCs w:val="22"/>
              </w:rPr>
            </w:pPr>
            <w:r>
              <w:rPr>
                <w:b/>
                <w:bCs/>
                <w:color w:val="auto"/>
                <w:sz w:val="22"/>
                <w:szCs w:val="22"/>
              </w:rPr>
              <w:t>609.951,81</w:t>
            </w:r>
          </w:p>
        </w:tc>
        <w:tc>
          <w:tcPr>
            <w:tcW w:w="122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sz w:val="22"/>
                <w:szCs w:val="22"/>
              </w:rPr>
            </w:pPr>
            <w:r>
              <w:rPr>
                <w:b/>
                <w:bCs/>
                <w:color w:val="auto"/>
                <w:sz w:val="22"/>
                <w:szCs w:val="22"/>
              </w:rPr>
              <w:t>757.648,68</w:t>
            </w:r>
          </w:p>
        </w:tc>
        <w:tc>
          <w:tcPr>
            <w:tcW w:w="141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sz w:val="22"/>
                <w:szCs w:val="22"/>
              </w:rPr>
            </w:pPr>
            <w:r>
              <w:rPr>
                <w:b/>
                <w:bCs/>
                <w:color w:val="auto"/>
                <w:sz w:val="22"/>
                <w:szCs w:val="22"/>
              </w:rPr>
              <w:t>1.215.029,91</w:t>
            </w:r>
          </w:p>
        </w:tc>
        <w:tc>
          <w:tcPr>
            <w:tcW w:w="13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sz w:val="22"/>
                <w:szCs w:val="22"/>
              </w:rPr>
            </w:pPr>
            <w:r>
              <w:rPr>
                <w:b/>
                <w:bCs/>
                <w:color w:val="auto"/>
                <w:sz w:val="22"/>
                <w:szCs w:val="22"/>
              </w:rPr>
              <w:t>-152.570,58</w:t>
            </w:r>
          </w:p>
        </w:tc>
        <w:tc>
          <w:tcPr>
            <w:tcW w:w="4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EF413D"/>
                <w:sz w:val="22"/>
                <w:szCs w:val="22"/>
              </w:rPr>
            </w:pPr>
            <w:r>
              <w:rPr>
                <w:b/>
                <w:bCs/>
                <w:color w:val="EF413D"/>
                <w:sz w:val="22"/>
                <w:szCs w:val="22"/>
              </w:rPr>
            </w:r>
          </w:p>
        </w:tc>
        <w:tc>
          <w:tcPr>
            <w:tcW w:w="120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r>
          </w:p>
        </w:tc>
        <w:tc>
          <w:tcPr>
            <w:tcW w:w="13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sz w:val="22"/>
                <w:szCs w:val="22"/>
              </w:rPr>
            </w:pPr>
            <w:r>
              <w:rPr>
                <w:b/>
                <w:bCs/>
                <w:color w:val="auto"/>
                <w:sz w:val="22"/>
                <w:szCs w:val="22"/>
              </w:rPr>
              <w:t>1.215.029,91</w:t>
            </w:r>
          </w:p>
        </w:tc>
      </w:tr>
    </w:tbl>
    <w:p>
      <w:pPr>
        <w:pStyle w:val="Normal"/>
        <w:tabs>
          <w:tab w:val="left" w:pos="360" w:leader="none"/>
        </w:tabs>
        <w:jc w:val="both"/>
        <w:rPr>
          <w:highlight w:val="red"/>
        </w:rPr>
      </w:pPr>
      <w:r>
        <w:rPr>
          <w:color w:val="EF413D"/>
        </w:rPr>
        <w:tab/>
        <w:tab/>
      </w:r>
    </w:p>
    <w:p>
      <w:pPr>
        <w:pStyle w:val="Normal"/>
        <w:tabs>
          <w:tab w:val="left" w:pos="360" w:leader="none"/>
        </w:tabs>
        <w:jc w:val="both"/>
        <w:rPr>
          <w:color w:val="EF413D"/>
          <w:highlight w:val="red"/>
        </w:rPr>
      </w:pPr>
      <w:r>
        <w:rPr>
          <w:color w:val="EF413D"/>
          <w:highlight w:val="red"/>
        </w:rPr>
      </w:r>
    </w:p>
    <w:p>
      <w:pPr>
        <w:pStyle w:val="Normal"/>
        <w:tabs>
          <w:tab w:val="left" w:pos="360" w:leader="none"/>
        </w:tabs>
        <w:jc w:val="both"/>
        <w:rPr>
          <w:color w:val="EF413D"/>
          <w:highlight w:val="red"/>
        </w:rPr>
      </w:pPr>
      <w:r>
        <w:rPr>
          <w:color w:val="EF413D"/>
          <w:highlight w:val="red"/>
        </w:rPr>
      </w:r>
    </w:p>
    <w:tbl>
      <w:tblPr>
        <w:tblW w:w="10073" w:type="dxa"/>
        <w:jc w:val="left"/>
        <w:tblInd w:w="-480"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696"/>
        <w:gridCol w:w="1303"/>
        <w:gridCol w:w="1350"/>
        <w:gridCol w:w="1373"/>
        <w:gridCol w:w="498"/>
        <w:gridCol w:w="1315"/>
        <w:gridCol w:w="1234"/>
        <w:gridCol w:w="1302"/>
      </w:tblGrid>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Výnosy</w:t>
            </w:r>
          </w:p>
        </w:tc>
        <w:tc>
          <w:tcPr>
            <w:tcW w:w="130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Obec</w:t>
            </w:r>
          </w:p>
        </w:tc>
        <w:tc>
          <w:tcPr>
            <w:tcW w:w="135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color w:val="auto"/>
                <w:sz w:val="22"/>
                <w:szCs w:val="22"/>
              </w:rPr>
            </w:pPr>
            <w:r>
              <w:rPr>
                <w:b/>
                <w:bCs/>
                <w:color w:val="auto"/>
                <w:sz w:val="22"/>
                <w:szCs w:val="22"/>
              </w:rPr>
              <w:t>ZŠ</w:t>
            </w:r>
          </w:p>
        </w:tc>
        <w:tc>
          <w:tcPr>
            <w:tcW w:w="137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Spolu</w:t>
            </w:r>
          </w:p>
        </w:tc>
        <w:tc>
          <w:tcPr>
            <w:tcW w:w="49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KÚMd</w:t>
            </w:r>
          </w:p>
        </w:tc>
        <w:tc>
          <w:tcPr>
            <w:tcW w:w="131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 Dal</w:t>
            </w:r>
          </w:p>
        </w:tc>
        <w:tc>
          <w:tcPr>
            <w:tcW w:w="1234"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sz w:val="22"/>
                <w:szCs w:val="22"/>
              </w:rPr>
              <w:t>KÚZ k 31.12.2016</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color w:val="EF413D"/>
              </w:rPr>
            </w:pPr>
            <w:r>
              <w:rPr>
                <w:b/>
                <w:bCs/>
                <w:color w:val="auto"/>
                <w:sz w:val="22"/>
                <w:szCs w:val="22"/>
              </w:rPr>
              <w:t>KÚZ k  31.12.2017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sz w:val="22"/>
                <w:szCs w:val="22"/>
              </w:rPr>
              <w:t>Prev.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bCs/>
                <w:color w:val="auto"/>
                <w:sz w:val="22"/>
                <w:szCs w:val="22"/>
              </w:rPr>
              <w:t>424.197,17</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bCs/>
                <w:color w:val="auto"/>
                <w:sz w:val="22"/>
                <w:szCs w:val="22"/>
              </w:rPr>
              <w:t>60.837,24</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bCs/>
                <w:color w:val="auto"/>
                <w:sz w:val="22"/>
                <w:szCs w:val="22"/>
              </w:rPr>
              <w:t>485.034,41</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sz w:val="22"/>
                <w:szCs w:val="22"/>
              </w:rPr>
            </w:pPr>
            <w:r>
              <w:rPr>
                <w:b/>
                <w:bCs/>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sz w:val="22"/>
                <w:szCs w:val="22"/>
              </w:rPr>
            </w:pPr>
            <w:r>
              <w:rPr>
                <w:b/>
                <w:bCs/>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bCs/>
                <w:color w:val="auto"/>
                <w:sz w:val="22"/>
                <w:szCs w:val="22"/>
              </w:rPr>
              <w:t>485.034,41</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Tržby, výkony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3.150,00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49.788,20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52.938,20</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52.938,20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Aktivácia</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6.998,60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6.998,60</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6.998,60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auto"/>
                <w:sz w:val="22"/>
                <w:szCs w:val="22"/>
              </w:rPr>
            </w:pPr>
            <w:r>
              <w:rPr>
                <w:color w:val="auto"/>
                <w:sz w:val="22"/>
                <w:szCs w:val="22"/>
              </w:rPr>
              <w:t>Dane a popl.</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421.047,17</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421.047,17</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421.047,17</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Ostatné výnos.</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4.050,44</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4.050,44</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4.050,44</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 xml:space="preserve">Zúčt. rezerv </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Finan.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105,42</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47,04</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152,46</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sz w:val="22"/>
                <w:szCs w:val="22"/>
              </w:rPr>
            </w:pPr>
            <w:r>
              <w:rPr>
                <w:b/>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sz w:val="22"/>
                <w:szCs w:val="22"/>
              </w:rPr>
            </w:pPr>
            <w:r>
              <w:rPr>
                <w:b/>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color w:val="auto"/>
                <w:sz w:val="22"/>
                <w:szCs w:val="22"/>
              </w:rPr>
              <w:t>152,46</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Finan.výnosy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105,42</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47,04</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152,46</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152,46</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Mim. činnosť</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0,00</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sz w:val="22"/>
                <w:szCs w:val="22"/>
              </w:rPr>
            </w:pPr>
            <w:r>
              <w:rPr>
                <w:b/>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sz w:val="22"/>
                <w:szCs w:val="22"/>
              </w:rPr>
            </w:pPr>
            <w:r>
              <w:rPr>
                <w:b/>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EF413D"/>
              </w:rPr>
            </w:pPr>
            <w:r>
              <w:rPr>
                <w:color w:val="auto"/>
                <w:sz w:val="22"/>
                <w:szCs w:val="22"/>
              </w:rPr>
              <w:t>Mimoriad.výn.</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t>0,00</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color w:val="auto"/>
                <w:sz w:val="22"/>
                <w:szCs w:val="22"/>
              </w:rPr>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color w:val="auto"/>
                <w:sz w:val="22"/>
                <w:szCs w:val="22"/>
              </w:rPr>
              <w:t>0,00</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sz w:val="22"/>
                <w:szCs w:val="22"/>
              </w:rPr>
              <w:t>Transfery</w:t>
            </w:r>
          </w:p>
        </w:tc>
        <w:tc>
          <w:tcPr>
            <w:tcW w:w="130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155.556,14</w:t>
            </w:r>
          </w:p>
        </w:tc>
        <w:tc>
          <w:tcPr>
            <w:tcW w:w="135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698.811,50</w:t>
            </w:r>
          </w:p>
        </w:tc>
        <w:tc>
          <w:tcPr>
            <w:tcW w:w="137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701.797,06</w:t>
            </w:r>
          </w:p>
        </w:tc>
        <w:tc>
          <w:tcPr>
            <w:tcW w:w="49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sz w:val="22"/>
                <w:szCs w:val="22"/>
              </w:rPr>
            </w:pPr>
            <w:r>
              <w:rPr>
                <w:b/>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sz w:val="22"/>
                <w:szCs w:val="22"/>
              </w:rPr>
            </w:pPr>
            <w:r>
              <w:rPr>
                <w:b/>
                <w:color w:val="auto"/>
                <w:sz w:val="22"/>
                <w:szCs w:val="22"/>
              </w:rPr>
              <w:t>-152.570,58</w:t>
            </w:r>
          </w:p>
        </w:tc>
        <w:tc>
          <w:tcPr>
            <w:tcW w:w="1234"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sz w:val="22"/>
                <w:szCs w:val="22"/>
              </w:rPr>
            </w:pPr>
            <w:r>
              <w:rPr>
                <w:b/>
                <w:color w:val="auto"/>
                <w:sz w:val="22"/>
                <w:szCs w:val="22"/>
              </w:rPr>
              <w:t>701.797,06</w:t>
            </w:r>
          </w:p>
        </w:tc>
      </w:tr>
      <w:tr>
        <w:trPr>
          <w:trHeight w:val="276" w:hRule="atLeast"/>
        </w:trPr>
        <w:tc>
          <w:tcPr>
            <w:tcW w:w="169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sz w:val="22"/>
                <w:szCs w:val="22"/>
              </w:rPr>
              <w:t xml:space="preserve">Celkom </w:t>
            </w:r>
          </w:p>
        </w:tc>
        <w:tc>
          <w:tcPr>
            <w:tcW w:w="130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center"/>
              <w:rPr>
                <w:color w:val="auto"/>
                <w:sz w:val="22"/>
                <w:szCs w:val="22"/>
              </w:rPr>
            </w:pPr>
            <w:r>
              <w:rPr>
                <w:b/>
                <w:bCs/>
                <w:color w:val="auto"/>
                <w:sz w:val="22"/>
                <w:szCs w:val="22"/>
              </w:rPr>
              <w:t>579.858,73</w:t>
            </w:r>
          </w:p>
        </w:tc>
        <w:tc>
          <w:tcPr>
            <w:tcW w:w="135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sz w:val="22"/>
                <w:szCs w:val="22"/>
              </w:rPr>
            </w:pPr>
            <w:r>
              <w:rPr>
                <w:b/>
                <w:bCs/>
                <w:color w:val="auto"/>
                <w:sz w:val="22"/>
                <w:szCs w:val="22"/>
              </w:rPr>
              <w:t>759.695,78</w:t>
            </w:r>
          </w:p>
        </w:tc>
        <w:tc>
          <w:tcPr>
            <w:tcW w:w="137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sz w:val="22"/>
                <w:szCs w:val="22"/>
              </w:rPr>
            </w:pPr>
            <w:r>
              <w:rPr>
                <w:b/>
                <w:bCs/>
                <w:color w:val="auto"/>
                <w:sz w:val="22"/>
                <w:szCs w:val="22"/>
              </w:rPr>
              <w:t>1.186.983,93</w:t>
            </w:r>
          </w:p>
        </w:tc>
        <w:tc>
          <w:tcPr>
            <w:tcW w:w="49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auto"/>
                <w:sz w:val="22"/>
                <w:szCs w:val="22"/>
              </w:rPr>
            </w:pPr>
            <w:r>
              <w:rPr>
                <w:b/>
                <w:bCs/>
                <w:color w:val="auto"/>
                <w:sz w:val="22"/>
                <w:szCs w:val="22"/>
              </w:rPr>
            </w:r>
          </w:p>
        </w:tc>
        <w:tc>
          <w:tcPr>
            <w:tcW w:w="131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color w:val="auto"/>
                <w:sz w:val="22"/>
                <w:szCs w:val="22"/>
              </w:rPr>
            </w:pPr>
            <w:r>
              <w:rPr>
                <w:b/>
                <w:bCs/>
                <w:color w:val="auto"/>
                <w:sz w:val="22"/>
                <w:szCs w:val="22"/>
              </w:rPr>
              <w:t>-152.570,58</w:t>
            </w:r>
          </w:p>
        </w:tc>
        <w:tc>
          <w:tcPr>
            <w:tcW w:w="1234"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sz w:val="22"/>
                <w:szCs w:val="22"/>
              </w:rPr>
            </w:pPr>
            <w:r>
              <w:rPr>
                <w:b/>
                <w:bCs/>
                <w:color w:val="auto"/>
                <w:sz w:val="22"/>
                <w:szCs w:val="22"/>
              </w:rPr>
              <w:t>1.186.983,93</w:t>
            </w:r>
          </w:p>
        </w:tc>
      </w:tr>
    </w:tbl>
    <w:p>
      <w:pPr>
        <w:pStyle w:val="Normal"/>
        <w:tabs>
          <w:tab w:val="left" w:pos="360" w:leader="none"/>
        </w:tabs>
        <w:jc w:val="both"/>
        <w:rPr>
          <w:color w:val="EF413D"/>
        </w:rPr>
      </w:pPr>
      <w:r>
        <w:rPr>
          <w:color w:val="EF413D"/>
        </w:rPr>
        <w:tab/>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EF413D"/>
        </w:rPr>
      </w:pPr>
      <w:r>
        <w:rPr>
          <w:color w:val="EF413D"/>
        </w:rPr>
      </w:r>
    </w:p>
    <w:p>
      <w:pPr>
        <w:pStyle w:val="Normal"/>
        <w:tabs>
          <w:tab w:val="left" w:pos="360" w:leader="none"/>
        </w:tabs>
        <w:jc w:val="both"/>
        <w:rPr>
          <w:color w:val="auto"/>
        </w:rPr>
      </w:pPr>
      <w:r>
        <w:rPr>
          <w:color w:val="auto"/>
        </w:rPr>
        <w:tab/>
        <w:tab/>
        <w:t>Obec Ľubeľa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EF413D"/>
          <w:sz w:val="28"/>
          <w:szCs w:val="28"/>
          <w:highlight w:val="red"/>
        </w:rPr>
      </w:pPr>
      <w:r>
        <w:rPr>
          <w:b/>
          <w:color w:val="EF413D"/>
          <w:sz w:val="28"/>
          <w:szCs w:val="28"/>
          <w:highlight w:val="red"/>
        </w:rPr>
      </w:r>
    </w:p>
    <w:p>
      <w:pPr>
        <w:pStyle w:val="Normal"/>
        <w:tabs>
          <w:tab w:val="left" w:pos="1087" w:leader="none"/>
        </w:tabs>
        <w:ind w:left="54" w:hanging="0"/>
        <w:jc w:val="both"/>
        <w:rPr>
          <w:b/>
          <w:b/>
          <w:color w:val="EF413D"/>
          <w:sz w:val="28"/>
          <w:szCs w:val="28"/>
          <w:highlight w:val="red"/>
        </w:rPr>
      </w:pPr>
      <w:r>
        <w:rPr>
          <w:b/>
          <w:color w:val="EF413D"/>
          <w:sz w:val="28"/>
          <w:szCs w:val="28"/>
          <w:highlight w:val="red"/>
        </w:rPr>
      </w:r>
    </w:p>
    <w:p>
      <w:pPr>
        <w:pStyle w:val="Normal"/>
        <w:tabs>
          <w:tab w:val="left" w:pos="1087" w:leader="none"/>
        </w:tabs>
        <w:ind w:left="54" w:hanging="0"/>
        <w:jc w:val="both"/>
        <w:rPr>
          <w:bCs/>
          <w:sz w:val="20"/>
          <w:szCs w:val="20"/>
        </w:rPr>
      </w:pPr>
      <w:r>
        <w:rPr>
          <w:b/>
          <w:color w:val="0066B3"/>
          <w:sz w:val="28"/>
          <w:szCs w:val="28"/>
        </w:rPr>
        <w:t>8. Predpokladaný budúci vývoj – zámery obce</w:t>
      </w:r>
    </w:p>
    <w:p>
      <w:pPr>
        <w:pStyle w:val="Normal"/>
        <w:tabs>
          <w:tab w:val="left" w:pos="7380" w:leader="none"/>
          <w:tab w:val="left" w:pos="9720" w:leader="none"/>
          <w:tab w:val="left" w:pos="11880" w:leader="none"/>
        </w:tabs>
        <w:jc w:val="both"/>
        <w:rPr>
          <w:bCs/>
          <w:color w:val="EF413D"/>
          <w:sz w:val="20"/>
          <w:szCs w:val="20"/>
        </w:rPr>
      </w:pPr>
      <w:r>
        <w:rPr>
          <w:bCs/>
          <w:color w:val="EF413D"/>
          <w:sz w:val="20"/>
          <w:szCs w:val="20"/>
        </w:rPr>
      </w:r>
    </w:p>
    <w:p>
      <w:pPr>
        <w:pStyle w:val="Telotextu"/>
        <w:tabs>
          <w:tab w:val="left" w:pos="360" w:leader="none"/>
        </w:tabs>
        <w:jc w:val="both"/>
        <w:rPr>
          <w:color w:val="auto"/>
        </w:rPr>
      </w:pPr>
      <w:r>
        <w:rPr>
          <w:color w:val="auto"/>
          <w:sz w:val="24"/>
        </w:rPr>
        <w:tab/>
        <w:tab/>
        <w:t>Z hľadiska budúcich cieľov Obec Ľubeľa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color w:val="EF413D"/>
          <w:sz w:val="20"/>
          <w:szCs w:val="20"/>
          <w:highlight w:val="red"/>
        </w:rPr>
      </w:pPr>
      <w:r>
        <w:rPr>
          <w:b/>
          <w:color w:val="EF413D"/>
          <w:sz w:val="20"/>
          <w:szCs w:val="20"/>
          <w:highlight w:val="red"/>
        </w:rPr>
      </w:r>
    </w:p>
    <w:p>
      <w:pPr>
        <w:pStyle w:val="Normal"/>
        <w:jc w:val="both"/>
        <w:rPr>
          <w:color w:val="0066B3"/>
          <w:sz w:val="20"/>
          <w:szCs w:val="20"/>
          <w:highlight w:val="red"/>
        </w:rPr>
      </w:pPr>
      <w:r>
        <w:rPr>
          <w:color w:val="0066B3"/>
          <w:sz w:val="20"/>
          <w:szCs w:val="20"/>
          <w:highlight w:val="red"/>
        </w:rPr>
      </w:r>
    </w:p>
    <w:p>
      <w:pPr>
        <w:pStyle w:val="Normal"/>
        <w:tabs>
          <w:tab w:val="left" w:pos="1087" w:leader="none"/>
        </w:tabs>
        <w:ind w:left="54" w:hanging="0"/>
        <w:jc w:val="both"/>
        <w:rPr>
          <w:b/>
          <w:b/>
          <w:bCs/>
          <w:sz w:val="20"/>
          <w:szCs w:val="20"/>
        </w:rPr>
      </w:pPr>
      <w:r>
        <w:rPr>
          <w:b/>
          <w:color w:val="0066B3"/>
          <w:sz w:val="28"/>
          <w:szCs w:val="28"/>
        </w:rPr>
        <w:t>9. Udalosti osobitného významu po skončení účtovného obdobia</w:t>
      </w:r>
    </w:p>
    <w:p>
      <w:pPr>
        <w:pStyle w:val="Normal"/>
        <w:tabs>
          <w:tab w:val="left" w:pos="7380" w:leader="none"/>
          <w:tab w:val="left" w:pos="9720" w:leader="none"/>
          <w:tab w:val="left" w:pos="11880" w:leader="none"/>
        </w:tabs>
        <w:rPr>
          <w:b/>
          <w:b/>
          <w:bCs/>
          <w:color w:val="auto"/>
          <w:sz w:val="20"/>
          <w:szCs w:val="20"/>
        </w:rPr>
      </w:pPr>
      <w:r>
        <w:rPr>
          <w:b/>
          <w:bCs/>
          <w:color w:val="auto"/>
          <w:sz w:val="20"/>
          <w:szCs w:val="20"/>
        </w:rPr>
      </w:r>
    </w:p>
    <w:p>
      <w:pPr>
        <w:pStyle w:val="Normal"/>
        <w:jc w:val="both"/>
        <w:rPr>
          <w:bCs/>
          <w:sz w:val="20"/>
          <w:szCs w:val="20"/>
        </w:rPr>
      </w:pPr>
      <w:r>
        <w:rPr>
          <w:bCs/>
          <w:color w:val="auto"/>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color w:val="auto"/>
          <w:sz w:val="20"/>
          <w:szCs w:val="20"/>
        </w:rPr>
      </w:pPr>
      <w:r>
        <w:rPr>
          <w:bCs/>
          <w:color w:val="auto"/>
          <w:sz w:val="20"/>
          <w:szCs w:val="20"/>
        </w:rPr>
      </w:r>
    </w:p>
    <w:p>
      <w:pPr>
        <w:pStyle w:val="Normal"/>
        <w:tabs>
          <w:tab w:val="left" w:pos="567" w:leader="none"/>
          <w:tab w:val="left" w:pos="7380" w:leader="none"/>
          <w:tab w:val="left" w:pos="9720" w:leader="none"/>
          <w:tab w:val="left" w:pos="11880" w:leader="none"/>
        </w:tabs>
        <w:jc w:val="both"/>
        <w:rPr>
          <w:color w:val="auto"/>
        </w:rPr>
      </w:pPr>
      <w:r>
        <w:rPr>
          <w:bCs/>
          <w:color w:val="auto"/>
        </w:rPr>
        <w:tab/>
        <w:t>Táto výročná správa sa vyhotovuje za účtovné obdobie od 1.1.2017 do 31.12.2017. Obec Ľubeľa</w:t>
      </w:r>
      <w:r>
        <w:rPr>
          <w:color w:val="auto"/>
        </w:rPr>
        <w:t xml:space="preserve"> </w:t>
      </w:r>
      <w:r>
        <w:rPr>
          <w:bCs/>
          <w:color w:val="auto"/>
        </w:rPr>
        <w:t xml:space="preserve">zostavovala za rok 2017 účtovnú závierku za konsolidovaný celok. </w:t>
      </w:r>
    </w:p>
    <w:p>
      <w:pPr>
        <w:pStyle w:val="Normal"/>
        <w:ind w:firstLine="567"/>
        <w:jc w:val="both"/>
        <w:rPr>
          <w:b/>
          <w:b/>
          <w:bCs/>
          <w:sz w:val="20"/>
          <w:szCs w:val="20"/>
        </w:rPr>
      </w:pPr>
      <w:r>
        <w:rPr>
          <w:bCs/>
          <w:color w:val="auto"/>
        </w:rPr>
        <w:t>Účtovné závierky boli odovzdané metodikovi pre účtovníctvo na Daňovom úrade v Liptovskom Mikuláši v zákonom stanovenom termíne.</w:t>
      </w:r>
    </w:p>
    <w:p>
      <w:pPr>
        <w:pStyle w:val="Normal"/>
        <w:jc w:val="both"/>
        <w:rPr>
          <w:b/>
          <w:b/>
          <w:bCs/>
          <w:color w:val="auto"/>
          <w:sz w:val="20"/>
          <w:szCs w:val="20"/>
        </w:rPr>
      </w:pPr>
      <w:r>
        <w:rPr>
          <w:b/>
          <w:bCs/>
          <w:color w:val="auto"/>
          <w:sz w:val="20"/>
          <w:szCs w:val="20"/>
        </w:rPr>
      </w:r>
    </w:p>
    <w:p>
      <w:pPr>
        <w:pStyle w:val="Normal"/>
        <w:jc w:val="both"/>
        <w:rPr>
          <w:bCs/>
        </w:rPr>
      </w:pPr>
      <w:r>
        <w:rPr>
          <w:b/>
          <w:bCs/>
          <w:color w:val="auto"/>
        </w:rPr>
        <w:t>Prílohy:</w:t>
      </w:r>
    </w:p>
    <w:p>
      <w:pPr>
        <w:pStyle w:val="Normal"/>
        <w:jc w:val="both"/>
        <w:rPr>
          <w:bCs/>
        </w:rPr>
      </w:pPr>
      <w:r>
        <w:rPr>
          <w:bCs/>
          <w:color w:val="auto"/>
        </w:rPr>
        <w:t>Individuálna účtovná závierka: Súvaha, Výkaz ziskov a strát, Poznámky, Správa audítora</w:t>
      </w:r>
    </w:p>
    <w:p>
      <w:pPr>
        <w:pStyle w:val="Normal"/>
        <w:jc w:val="both"/>
        <w:rPr/>
      </w:pPr>
      <w:r>
        <w:rPr>
          <w:bCs/>
          <w:color w:val="auto"/>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Calibri">
    <w:charset w:val="ee"/>
    <w:family w:val="roman"/>
    <w:pitch w:val="variable"/>
  </w:font>
  <w:font w:name="Liberation Mono">
    <w:altName w:val="Courier New"/>
    <w:charset w:val="ee"/>
    <w:family w:val="modern"/>
    <w:pitch w:val="fixed"/>
  </w:font>
  <w:font w:name="Book Antiqua">
    <w:charset w:val="ee"/>
    <w:family w:val="roman"/>
    <w:pitch w:val="variable"/>
  </w:font>
  <w:font w:name="ComicSansMS">
    <w:charset w:val="ee"/>
    <w:family w:val="roman"/>
    <w:pitch w:val="variable"/>
  </w:font>
  <w:font w:name="TimesNewRoman">
    <w:charset w:val="ee"/>
    <w:family w:val="roman"/>
    <w:pitch w:val="variable"/>
  </w:font>
  <w:font w:name="Times New Roman">
    <w:charset w:val="01"/>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1</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2">
    <w:lvl w:ilvl="0">
      <w:start w:val="1"/>
      <w:numFmt w:val="none"/>
      <w:suff w:val="nothing"/>
      <w:lvlText w:val="."/>
      <w:lvlJc w:val="left"/>
      <w:pPr>
        <w:ind w:left="720" w:hanging="360"/>
      </w:pPr>
    </w:lvl>
    <w:lvl w:ilvl="1">
      <w:start w:val="1"/>
      <w:numFmt w:val="none"/>
      <w:suff w:val="nothing"/>
      <w:lvlText w:val="."/>
      <w:lvlJc w:val="left"/>
      <w:pPr>
        <w:ind w:left="1080" w:hanging="360"/>
      </w:pPr>
    </w:lvl>
    <w:lvl w:ilvl="2">
      <w:start w:val="1"/>
      <w:numFmt w:val="none"/>
      <w:suff w:val="nothing"/>
      <w:lvlText w:val="."/>
      <w:lvlJc w:val="left"/>
      <w:pPr>
        <w:ind w:left="1440" w:hanging="360"/>
      </w:pPr>
    </w:lvl>
    <w:lvl w:ilvl="3">
      <w:start w:val="1"/>
      <w:numFmt w:val="none"/>
      <w:suff w:val="nothing"/>
      <w:lvlText w:val="."/>
      <w:lvlJc w:val="left"/>
      <w:pPr>
        <w:ind w:left="1800" w:hanging="360"/>
      </w:p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3">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lvl w:ilvl="0">
      <w:start w:val="1"/>
      <w:numFmt w:val="bullet"/>
      <w:lvlText w:val=""/>
      <w:lvlJc w:val="left"/>
      <w:pPr>
        <w:tabs>
          <w:tab w:val="num" w:pos="720"/>
        </w:tabs>
        <w:ind w:left="720" w:hanging="360"/>
      </w:pPr>
      <w:rPr>
        <w:rFonts w:ascii="Symbol" w:hAnsi="Symbol" w:cs="Symbol" w:hint="default"/>
        <w:sz w:val="16"/>
        <w:szCs w:val="16"/>
        <w:rFonts w:cs="Symbol"/>
      </w:rPr>
    </w:lvl>
    <w:lvl w:ilvl="1">
      <w:start w:val="1"/>
      <w:numFmt w:val="bullet"/>
      <w:lvlText w:val=""/>
      <w:lvlJc w:val="left"/>
      <w:pPr>
        <w:tabs>
          <w:tab w:val="num" w:pos="1080"/>
        </w:tabs>
        <w:ind w:left="1080" w:hanging="360"/>
      </w:pPr>
      <w:rPr>
        <w:rFonts w:ascii="Symbol" w:hAnsi="Symbol" w:cs="Symbol" w:hint="default"/>
        <w:sz w:val="16"/>
        <w:szCs w:val="16"/>
        <w:rFonts w:cs="Symbol"/>
      </w:rPr>
    </w:lvl>
    <w:lvl w:ilvl="2">
      <w:start w:val="1"/>
      <w:numFmt w:val="bullet"/>
      <w:lvlText w:val=""/>
      <w:lvlJc w:val="left"/>
      <w:pPr>
        <w:tabs>
          <w:tab w:val="num" w:pos="1440"/>
        </w:tabs>
        <w:ind w:left="1440" w:hanging="360"/>
      </w:pPr>
      <w:rPr>
        <w:rFonts w:ascii="Symbol" w:hAnsi="Symbol" w:cs="Symbol" w:hint="default"/>
        <w:sz w:val="16"/>
        <w:szCs w:val="16"/>
        <w:rFonts w:cs="Symbol"/>
      </w:rPr>
    </w:lvl>
    <w:lvl w:ilvl="3">
      <w:start w:val="1"/>
      <w:numFmt w:val="bullet"/>
      <w:lvlText w:val=""/>
      <w:lvlJc w:val="left"/>
      <w:pPr>
        <w:tabs>
          <w:tab w:val="num" w:pos="1800"/>
        </w:tabs>
        <w:ind w:left="1800" w:hanging="360"/>
      </w:pPr>
      <w:rPr>
        <w:rFonts w:ascii="Symbol" w:hAnsi="Symbol" w:cs="Symbol" w:hint="default"/>
        <w:sz w:val="16"/>
        <w:szCs w:val="16"/>
        <w:rFonts w:cs="Symbol"/>
      </w:rPr>
    </w:lvl>
    <w:lvl w:ilvl="4">
      <w:start w:val="1"/>
      <w:numFmt w:val="bullet"/>
      <w:lvlText w:val=""/>
      <w:lvlJc w:val="left"/>
      <w:pPr>
        <w:tabs>
          <w:tab w:val="num" w:pos="2160"/>
        </w:tabs>
        <w:ind w:left="2160" w:hanging="360"/>
      </w:pPr>
      <w:rPr>
        <w:rFonts w:ascii="Symbol" w:hAnsi="Symbol" w:cs="Symbol" w:hint="default"/>
        <w:sz w:val="16"/>
        <w:szCs w:val="16"/>
        <w:rFonts w:cs="Symbol"/>
      </w:rPr>
    </w:lvl>
    <w:lvl w:ilvl="5">
      <w:start w:val="1"/>
      <w:numFmt w:val="bullet"/>
      <w:lvlText w:val=""/>
      <w:lvlJc w:val="left"/>
      <w:pPr>
        <w:tabs>
          <w:tab w:val="num" w:pos="2520"/>
        </w:tabs>
        <w:ind w:left="2520" w:hanging="360"/>
      </w:pPr>
      <w:rPr>
        <w:rFonts w:ascii="Symbol" w:hAnsi="Symbol" w:cs="Symbol" w:hint="default"/>
        <w:sz w:val="16"/>
        <w:szCs w:val="16"/>
        <w:rFonts w:cs="Symbol"/>
      </w:rPr>
    </w:lvl>
    <w:lvl w:ilvl="6">
      <w:start w:val="1"/>
      <w:numFmt w:val="bullet"/>
      <w:lvlText w:val=""/>
      <w:lvlJc w:val="left"/>
      <w:pPr>
        <w:tabs>
          <w:tab w:val="num" w:pos="2880"/>
        </w:tabs>
        <w:ind w:left="2880" w:hanging="360"/>
      </w:pPr>
      <w:rPr>
        <w:rFonts w:ascii="Symbol" w:hAnsi="Symbol" w:cs="Symbol" w:hint="default"/>
        <w:sz w:val="16"/>
        <w:szCs w:val="16"/>
        <w:rFonts w:cs="Symbol"/>
      </w:rPr>
    </w:lvl>
    <w:lvl w:ilvl="7">
      <w:start w:val="1"/>
      <w:numFmt w:val="bullet"/>
      <w:lvlText w:val=""/>
      <w:lvlJc w:val="left"/>
      <w:pPr>
        <w:tabs>
          <w:tab w:val="num" w:pos="3240"/>
        </w:tabs>
        <w:ind w:left="3240" w:hanging="360"/>
      </w:pPr>
      <w:rPr>
        <w:rFonts w:ascii="Symbol" w:hAnsi="Symbol" w:cs="Symbol" w:hint="default"/>
        <w:sz w:val="16"/>
        <w:szCs w:val="16"/>
        <w:rFonts w:cs="Symbol"/>
      </w:rPr>
    </w:lvl>
    <w:lvl w:ilvl="8">
      <w:start w:val="1"/>
      <w:numFmt w:val="bullet"/>
      <w:lvlText w:val=""/>
      <w:lvlJc w:val="left"/>
      <w:pPr>
        <w:tabs>
          <w:tab w:val="num" w:pos="3600"/>
        </w:tabs>
        <w:ind w:left="3600" w:hanging="360"/>
      </w:pPr>
      <w:rPr>
        <w:rFonts w:ascii="Symbol" w:hAnsi="Symbol" w:cs="Symbol" w:hint="default"/>
        <w:sz w:val="16"/>
        <w:szCs w:val="16"/>
        <w:rFonts w:cs="Symbol"/>
      </w:rPr>
    </w:lvl>
  </w:abstractNum>
  <w:abstractNum w:abstractNumId="5">
    <w:lvl w:ilvl="0">
      <w:start w:val="1"/>
      <w:numFmt w:val="lowerLetter"/>
      <w:lvlText w:val="%1)"/>
      <w:lvlJc w:val="left"/>
      <w:pPr>
        <w:tabs>
          <w:tab w:val="num" w:pos="720"/>
        </w:tabs>
        <w:ind w:left="720" w:hanging="360"/>
      </w:pPr>
      <w:rPr>
        <w:sz w:val="28"/>
        <w:b/>
        <w:szCs w:val="28"/>
        <w:rFonts w:cs="OpenSymbol"/>
        <w:color w:val="0066CC"/>
      </w:rPr>
    </w:lvl>
    <w:lvl w:ilvl="1">
      <w:start w:val="2"/>
      <w:numFmt w:val="bullet"/>
      <w:lvlText w:val="-"/>
      <w:lvlJc w:val="left"/>
      <w:pPr>
        <w:tabs>
          <w:tab w:val="num" w:pos="1440"/>
        </w:tabs>
        <w:ind w:left="1440" w:hanging="360"/>
      </w:pPr>
      <w:rPr>
        <w:rFonts w:ascii="Times New Roman" w:hAnsi="Times New Roman" w:cs="Times New Roman" w:hint="default"/>
        <w:rFonts w:cs="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1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rFonts w:cs="OpenSymbol"/>
      <w:highlight w:val="red"/>
    </w:rPr>
  </w:style>
  <w:style w:type="character" w:styleId="ListLabel24">
    <w:name w:val="ListLabel 24"/>
    <w:qFormat/>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rFonts w:cs="Symbol"/>
      <w:sz w:val="16"/>
      <w:szCs w:val="16"/>
    </w:rPr>
  </w:style>
  <w:style w:type="character" w:styleId="ListLabel36">
    <w:name w:val="ListLabel 36"/>
    <w:qFormat/>
    <w:rPr>
      <w:rFonts w:cs="Symbol"/>
      <w:sz w:val="16"/>
      <w:szCs w:val="16"/>
    </w:rPr>
  </w:style>
  <w:style w:type="character" w:styleId="ListLabel37">
    <w:name w:val="ListLabel 37"/>
    <w:qFormat/>
    <w:rPr>
      <w:rFonts w:cs="Symbol"/>
      <w:sz w:val="16"/>
      <w:szCs w:val="16"/>
    </w:rPr>
  </w:style>
  <w:style w:type="character" w:styleId="ListLabel38">
    <w:name w:val="ListLabel 38"/>
    <w:qFormat/>
    <w:rPr>
      <w:rFonts w:cs="Symbol"/>
      <w:sz w:val="16"/>
      <w:szCs w:val="16"/>
    </w:rPr>
  </w:style>
  <w:style w:type="character" w:styleId="ListLabel39">
    <w:name w:val="ListLabel 39"/>
    <w:qFormat/>
    <w:rPr>
      <w:rFonts w:cs="Symbol"/>
      <w:sz w:val="16"/>
      <w:szCs w:val="16"/>
    </w:rPr>
  </w:style>
  <w:style w:type="character" w:styleId="ListLabel40">
    <w:name w:val="ListLabel 40"/>
    <w:qFormat/>
    <w:rPr>
      <w:rFonts w:cs="Symbol"/>
      <w:sz w:val="16"/>
      <w:szCs w:val="16"/>
    </w:rPr>
  </w:style>
  <w:style w:type="character" w:styleId="ListLabel41">
    <w:name w:val="ListLabel 41"/>
    <w:qFormat/>
    <w:rPr>
      <w:rFonts w:cs="Symbol"/>
      <w:sz w:val="16"/>
      <w:szCs w:val="16"/>
    </w:rPr>
  </w:style>
  <w:style w:type="character" w:styleId="ListLabel42">
    <w:name w:val="ListLabel 42"/>
    <w:qFormat/>
    <w:rPr>
      <w:rFonts w:cs="Symbol"/>
      <w:sz w:val="16"/>
      <w:szCs w:val="16"/>
    </w:rPr>
  </w:style>
  <w:style w:type="character" w:styleId="ListLabel43">
    <w:name w:val="ListLabel 43"/>
    <w:qFormat/>
    <w:rPr>
      <w:rFonts w:cs="Symbol"/>
      <w:sz w:val="16"/>
      <w:szCs w:val="16"/>
    </w:rPr>
  </w:style>
  <w:style w:type="character" w:styleId="ListLabel44">
    <w:name w:val="ListLabel 44"/>
    <w:qFormat/>
    <w:rPr/>
  </w:style>
  <w:style w:type="character" w:styleId="ListLabel45">
    <w:name w:val="ListLabel 45"/>
    <w:qFormat/>
    <w:rPr>
      <w:rFonts w:cs="Symbol"/>
      <w:sz w:val="16"/>
      <w:szCs w:val="16"/>
    </w:rPr>
  </w:style>
  <w:style w:type="character" w:styleId="ListLabel46">
    <w:name w:val="ListLabel 46"/>
    <w:qFormat/>
    <w:rPr>
      <w:rFonts w:cs="Symbol"/>
      <w:sz w:val="16"/>
      <w:szCs w:val="16"/>
    </w:rPr>
  </w:style>
  <w:style w:type="character" w:styleId="ListLabel47">
    <w:name w:val="ListLabel 47"/>
    <w:qFormat/>
    <w:rPr>
      <w:rFonts w:cs="Symbol"/>
      <w:sz w:val="16"/>
      <w:szCs w:val="16"/>
    </w:rPr>
  </w:style>
  <w:style w:type="character" w:styleId="ListLabel48">
    <w:name w:val="ListLabel 48"/>
    <w:qFormat/>
    <w:rPr>
      <w:rFonts w:cs="Symbol"/>
      <w:sz w:val="16"/>
      <w:szCs w:val="16"/>
    </w:rPr>
  </w:style>
  <w:style w:type="character" w:styleId="ListLabel49">
    <w:name w:val="ListLabel 49"/>
    <w:qFormat/>
    <w:rPr>
      <w:rFonts w:cs="Symbol"/>
      <w:sz w:val="16"/>
      <w:szCs w:val="16"/>
    </w:rPr>
  </w:style>
  <w:style w:type="character" w:styleId="ListLabel50">
    <w:name w:val="ListLabel 50"/>
    <w:qFormat/>
    <w:rPr>
      <w:rFonts w:cs="Symbol"/>
      <w:sz w:val="16"/>
      <w:szCs w:val="16"/>
    </w:rPr>
  </w:style>
  <w:style w:type="character" w:styleId="ListLabel51">
    <w:name w:val="ListLabel 51"/>
    <w:qFormat/>
    <w:rPr>
      <w:rFonts w:cs="Symbol"/>
      <w:sz w:val="16"/>
      <w:szCs w:val="16"/>
    </w:rPr>
  </w:style>
  <w:style w:type="character" w:styleId="ListLabel52">
    <w:name w:val="ListLabel 52"/>
    <w:qFormat/>
    <w:rPr>
      <w:rFonts w:cs="Symbol"/>
      <w:sz w:val="16"/>
      <w:szCs w:val="16"/>
    </w:rPr>
  </w:style>
  <w:style w:type="character" w:styleId="ListLabel53">
    <w:name w:val="ListLabel 53"/>
    <w:qFormat/>
    <w:rPr>
      <w:rFonts w:cs="Symbol"/>
      <w:sz w:val="16"/>
      <w:szCs w:val="16"/>
    </w:rPr>
  </w:style>
  <w:style w:type="character" w:styleId="ListLabel54">
    <w:name w:val="ListLabel 54"/>
    <w:qFormat/>
    <w:rPr>
      <w:rFonts w:cs="OpenSymbol"/>
      <w:b/>
      <w:color w:val="0066CC"/>
      <w:sz w:val="28"/>
      <w:szCs w:val="28"/>
    </w:rPr>
  </w:style>
  <w:style w:type="character" w:styleId="ListLabel55">
    <w:name w:val="ListLabel 55"/>
    <w:qFormat/>
    <w:rPr>
      <w:rFonts w:cs="Times New Roman"/>
    </w:rPr>
  </w:style>
  <w:style w:type="character" w:styleId="ListLabel56">
    <w:name w:val="ListLabel 56"/>
    <w:qFormat/>
    <w:rPr/>
  </w:style>
  <w:style w:type="character" w:styleId="ListLabel57">
    <w:name w:val="ListLabel 57"/>
    <w:qFormat/>
    <w:rPr>
      <w:rFonts w:cs="Symbol"/>
      <w:sz w:val="16"/>
      <w:szCs w:val="16"/>
    </w:rPr>
  </w:style>
  <w:style w:type="character" w:styleId="ListLabel58">
    <w:name w:val="ListLabel 58"/>
    <w:qFormat/>
    <w:rPr>
      <w:rFonts w:cs="Symbol"/>
      <w:sz w:val="16"/>
      <w:szCs w:val="16"/>
    </w:rPr>
  </w:style>
  <w:style w:type="character" w:styleId="ListLabel59">
    <w:name w:val="ListLabel 59"/>
    <w:qFormat/>
    <w:rPr>
      <w:rFonts w:cs="Symbol"/>
      <w:sz w:val="16"/>
      <w:szCs w:val="16"/>
    </w:rPr>
  </w:style>
  <w:style w:type="character" w:styleId="ListLabel60">
    <w:name w:val="ListLabel 60"/>
    <w:qFormat/>
    <w:rPr>
      <w:rFonts w:cs="Symbol"/>
      <w:sz w:val="16"/>
      <w:szCs w:val="16"/>
    </w:rPr>
  </w:style>
  <w:style w:type="character" w:styleId="ListLabel61">
    <w:name w:val="ListLabel 61"/>
    <w:qFormat/>
    <w:rPr>
      <w:rFonts w:cs="Symbol"/>
      <w:sz w:val="16"/>
      <w:szCs w:val="16"/>
    </w:rPr>
  </w:style>
  <w:style w:type="character" w:styleId="ListLabel62">
    <w:name w:val="ListLabel 62"/>
    <w:qFormat/>
    <w:rPr>
      <w:rFonts w:cs="Symbol"/>
      <w:sz w:val="16"/>
      <w:szCs w:val="16"/>
    </w:rPr>
  </w:style>
  <w:style w:type="character" w:styleId="ListLabel63">
    <w:name w:val="ListLabel 63"/>
    <w:qFormat/>
    <w:rPr>
      <w:rFonts w:cs="Symbol"/>
      <w:sz w:val="16"/>
      <w:szCs w:val="16"/>
    </w:rPr>
  </w:style>
  <w:style w:type="character" w:styleId="ListLabel64">
    <w:name w:val="ListLabel 64"/>
    <w:qFormat/>
    <w:rPr>
      <w:rFonts w:cs="Symbol"/>
      <w:sz w:val="16"/>
      <w:szCs w:val="16"/>
    </w:rPr>
  </w:style>
  <w:style w:type="character" w:styleId="ListLabel65">
    <w:name w:val="ListLabel 65"/>
    <w:qFormat/>
    <w:rPr>
      <w:rFonts w:cs="Symbol"/>
      <w:sz w:val="16"/>
      <w:szCs w:val="16"/>
    </w:rPr>
  </w:style>
  <w:style w:type="character" w:styleId="ListLabel66">
    <w:name w:val="ListLabel 66"/>
    <w:qFormat/>
    <w:rPr>
      <w:rFonts w:cs="OpenSymbol"/>
      <w:b/>
      <w:color w:val="0066CC"/>
      <w:sz w:val="28"/>
      <w:szCs w:val="28"/>
    </w:rPr>
  </w:style>
  <w:style w:type="character" w:styleId="ListLabel67">
    <w:name w:val="ListLabel 67"/>
    <w:qFormat/>
    <w:rPr>
      <w:rFonts w:cs="Times New Roman"/>
    </w:rPr>
  </w:style>
  <w:style w:type="character" w:styleId="ListLabel68">
    <w:name w:val="ListLabel 68"/>
    <w:qFormat/>
    <w:rPr/>
  </w:style>
  <w:style w:type="character" w:styleId="ListLabel69">
    <w:name w:val="ListLabel 69"/>
    <w:qFormat/>
    <w:rPr>
      <w:rFonts w:cs="Symbol"/>
      <w:sz w:val="16"/>
      <w:szCs w:val="16"/>
    </w:rPr>
  </w:style>
  <w:style w:type="character" w:styleId="ListLabel70">
    <w:name w:val="ListLabel 70"/>
    <w:qFormat/>
    <w:rPr>
      <w:rFonts w:cs="Symbol"/>
      <w:sz w:val="16"/>
      <w:szCs w:val="16"/>
    </w:rPr>
  </w:style>
  <w:style w:type="character" w:styleId="ListLabel71">
    <w:name w:val="ListLabel 71"/>
    <w:qFormat/>
    <w:rPr>
      <w:rFonts w:cs="Symbol"/>
      <w:sz w:val="16"/>
      <w:szCs w:val="16"/>
    </w:rPr>
  </w:style>
  <w:style w:type="character" w:styleId="ListLabel72">
    <w:name w:val="ListLabel 72"/>
    <w:qFormat/>
    <w:rPr>
      <w:rFonts w:cs="Symbol"/>
      <w:sz w:val="16"/>
      <w:szCs w:val="16"/>
    </w:rPr>
  </w:style>
  <w:style w:type="character" w:styleId="ListLabel73">
    <w:name w:val="ListLabel 73"/>
    <w:qFormat/>
    <w:rPr>
      <w:rFonts w:cs="Symbol"/>
      <w:sz w:val="16"/>
      <w:szCs w:val="16"/>
    </w:rPr>
  </w:style>
  <w:style w:type="character" w:styleId="ListLabel74">
    <w:name w:val="ListLabel 74"/>
    <w:qFormat/>
    <w:rPr>
      <w:rFonts w:cs="Symbol"/>
      <w:sz w:val="16"/>
      <w:szCs w:val="16"/>
    </w:rPr>
  </w:style>
  <w:style w:type="character" w:styleId="ListLabel75">
    <w:name w:val="ListLabel 75"/>
    <w:qFormat/>
    <w:rPr>
      <w:rFonts w:cs="Symbol"/>
      <w:sz w:val="16"/>
      <w:szCs w:val="16"/>
    </w:rPr>
  </w:style>
  <w:style w:type="character" w:styleId="ListLabel76">
    <w:name w:val="ListLabel 76"/>
    <w:qFormat/>
    <w:rPr>
      <w:rFonts w:cs="Symbol"/>
      <w:sz w:val="16"/>
      <w:szCs w:val="16"/>
    </w:rPr>
  </w:style>
  <w:style w:type="character" w:styleId="ListLabel77">
    <w:name w:val="ListLabel 77"/>
    <w:qFormat/>
    <w:rPr>
      <w:rFonts w:cs="Symbol"/>
      <w:sz w:val="16"/>
      <w:szCs w:val="16"/>
    </w:rPr>
  </w:style>
  <w:style w:type="character" w:styleId="ListLabel78">
    <w:name w:val="ListLabel 78"/>
    <w:qFormat/>
    <w:rPr>
      <w:rFonts w:cs="OpenSymbol"/>
      <w:b/>
      <w:color w:val="0066CC"/>
      <w:sz w:val="28"/>
      <w:szCs w:val="28"/>
    </w:rPr>
  </w:style>
  <w:style w:type="character" w:styleId="ListLabel79">
    <w:name w:val="ListLabel 79"/>
    <w:qFormat/>
    <w:rPr>
      <w:rFonts w:cs="Times New Roman"/>
    </w:rPr>
  </w:style>
  <w:style w:type="character" w:styleId="ListLabel80">
    <w:name w:val="ListLabel 80"/>
    <w:qFormat/>
    <w:rPr/>
  </w:style>
  <w:style w:type="character" w:styleId="ListLabel81">
    <w:name w:val="ListLabel 81"/>
    <w:qFormat/>
    <w:rPr>
      <w:rFonts w:cs="Symbol"/>
      <w:sz w:val="16"/>
      <w:szCs w:val="16"/>
    </w:rPr>
  </w:style>
  <w:style w:type="character" w:styleId="ListLabel82">
    <w:name w:val="ListLabel 82"/>
    <w:qFormat/>
    <w:rPr>
      <w:rFonts w:cs="Symbol"/>
      <w:sz w:val="16"/>
      <w:szCs w:val="16"/>
    </w:rPr>
  </w:style>
  <w:style w:type="character" w:styleId="ListLabel83">
    <w:name w:val="ListLabel 83"/>
    <w:qFormat/>
    <w:rPr>
      <w:rFonts w:cs="Symbol"/>
      <w:sz w:val="16"/>
      <w:szCs w:val="16"/>
    </w:rPr>
  </w:style>
  <w:style w:type="character" w:styleId="ListLabel84">
    <w:name w:val="ListLabel 84"/>
    <w:qFormat/>
    <w:rPr>
      <w:rFonts w:cs="Symbol"/>
      <w:sz w:val="16"/>
      <w:szCs w:val="16"/>
    </w:rPr>
  </w:style>
  <w:style w:type="character" w:styleId="ListLabel85">
    <w:name w:val="ListLabel 85"/>
    <w:qFormat/>
    <w:rPr>
      <w:rFonts w:cs="Symbol"/>
      <w:sz w:val="16"/>
      <w:szCs w:val="16"/>
    </w:rPr>
  </w:style>
  <w:style w:type="character" w:styleId="ListLabel86">
    <w:name w:val="ListLabel 86"/>
    <w:qFormat/>
    <w:rPr>
      <w:rFonts w:cs="Symbol"/>
      <w:sz w:val="16"/>
      <w:szCs w:val="16"/>
    </w:rPr>
  </w:style>
  <w:style w:type="character" w:styleId="ListLabel87">
    <w:name w:val="ListLabel 87"/>
    <w:qFormat/>
    <w:rPr>
      <w:rFonts w:cs="Symbol"/>
      <w:sz w:val="16"/>
      <w:szCs w:val="16"/>
    </w:rPr>
  </w:style>
  <w:style w:type="character" w:styleId="ListLabel88">
    <w:name w:val="ListLabel 88"/>
    <w:qFormat/>
    <w:rPr>
      <w:rFonts w:cs="Symbol"/>
      <w:sz w:val="16"/>
      <w:szCs w:val="16"/>
    </w:rPr>
  </w:style>
  <w:style w:type="character" w:styleId="ListLabel89">
    <w:name w:val="ListLabel 89"/>
    <w:qFormat/>
    <w:rPr>
      <w:rFonts w:cs="Symbol"/>
      <w:sz w:val="16"/>
      <w:szCs w:val="16"/>
    </w:rPr>
  </w:style>
  <w:style w:type="character" w:styleId="ListLabel90">
    <w:name w:val="ListLabel 90"/>
    <w:qFormat/>
    <w:rPr>
      <w:rFonts w:cs="OpenSymbol"/>
      <w:b/>
      <w:color w:val="0066CC"/>
      <w:sz w:val="28"/>
      <w:szCs w:val="28"/>
    </w:rPr>
  </w:style>
  <w:style w:type="character" w:styleId="ListLabel91">
    <w:name w:val="ListLabel 91"/>
    <w:qFormat/>
    <w:rPr>
      <w:rFonts w:cs="Times New Roman"/>
    </w:rPr>
  </w:style>
  <w:style w:type="character" w:styleId="ListLabel92">
    <w:name w:val="ListLabel 92"/>
    <w:qFormat/>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paragraph" w:styleId="Normlnywebov">
    <w:name w:val="Normálny (webový)"/>
    <w:basedOn w:val="Normal"/>
    <w:qFormat/>
    <w:pPr>
      <w:spacing w:before="280" w:after="280"/>
    </w:pPr>
    <w:rPr/>
  </w:style>
  <w:style w:type="paragraph" w:styleId="Default">
    <w:name w:val="Default"/>
    <w:qFormat/>
    <w:pPr>
      <w:widowControl/>
      <w:bidi w:val="0"/>
      <w:jc w:val="left"/>
    </w:pPr>
    <w:rPr>
      <w:rFonts w:ascii="Calibri" w:hAnsi="Calibri" w:eastAsia="Times New Roman" w:cs="Calibri"/>
      <w:color w:val="000000"/>
      <w:kern w:val="0"/>
      <w:sz w:val="24"/>
      <w:szCs w:val="24"/>
      <w:lang w:val="sk-SK" w:eastAsia="sk-SK" w:bidi="ar-SA"/>
    </w:rPr>
  </w:style>
  <w:style w:type="paragraph" w:styleId="Predformtovantext">
    <w:name w:val="Predformátovaný text"/>
    <w:basedOn w:val="Normal"/>
    <w:qFormat/>
    <w:pPr>
      <w:spacing w:before="0" w:after="0"/>
    </w:pPr>
    <w:rPr>
      <w:rFonts w:ascii="Liberation Mono" w:hAnsi="Liberation Mono" w:eastAsia="Liberation Mono" w:cs="Liberation Mono"/>
      <w:sz w:val="20"/>
      <w:szCs w:val="20"/>
    </w:rPr>
  </w:style>
  <w:style w:type="numbering" w:styleId="NoList" w:default="1">
    <w:name w:val="No List"/>
    <w:uiPriority w:val="99"/>
    <w:semiHidden/>
    <w:unhideWhenUsed/>
    <w:qFormat/>
  </w:style>
  <w:style w:type="numbering" w:styleId="WW8Num3">
    <w:name w:val="WW8Num3"/>
    <w:qFormat/>
  </w:style>
  <w:style w:type="numbering" w:styleId="WW8Num2">
    <w:name w:val="WW8Num2"/>
    <w:qFormat/>
  </w:style>
  <w:style w:type="numbering" w:styleId="WW8Num9">
    <w:name w:val="WW8Num9"/>
    <w:qFormat/>
  </w:style>
  <w:style w:type="numbering" w:styleId="WW8Num5">
    <w:name w:val="WW8Num5"/>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obeclubela@imafex.sk" TargetMode="External"/><Relationship Id="rId4" Type="http://schemas.openxmlformats.org/officeDocument/2006/relationships/hyperlink" Target="http://www.liptovskyjan.sk/" TargetMode="External"/><Relationship Id="rId5" Type="http://schemas.openxmlformats.org/officeDocument/2006/relationships/hyperlink" Target="https://www.lubela.sk/" TargetMode="Externa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Application>LibreOffice/6.0.4.2$Windows_x86 LibreOffice_project/9b0d9b32d5dcda91d2f1a96dc04c645c450872bf</Application>
  <Pages>23</Pages>
  <Words>5886</Words>
  <Characters>34934</Characters>
  <CharactersWithSpaces>40714</CharactersWithSpaces>
  <Paragraphs>1249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2015-08-21T07:32:00Z</cp:lastPrinted>
  <dcterms:modified xsi:type="dcterms:W3CDTF">2018-10-18T12:08:00Z</dcterms:modified>
  <cp:revision>11</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