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Poznámky k 31.12.201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72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a informácie o činnosti účtovnej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Základná škola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Starohorská 8, 946 56 Dulovce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1.7.2002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založenia/zriadenia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Zria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ďovacia listina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zria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Obecný úrad Dulovce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zria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Dulovce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37861255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2021908603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školstvo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Iné všeobecné údaje napr. obec uvedie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obyvateľov; ZŠ uvedie počet žiakov, DD uvedie počet klientov atď.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97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3"/>
        </w:numPr>
        <w:tabs>
          <w:tab w:val="left" w:pos="72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vedúcich predstavite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ľoch a o organizačnej štruktúre účtovnej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orgán /meno a priezvisko/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Ing. Beáta Szabóová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Zástupca štatutárneho orgánu /meno a priezvisko/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Mgr. Viera Kasanovská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Priemerný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počas účtovného obdobia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18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 riadiacich zamestnancov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Organiza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čné členenie účtovnej jednotky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organizáciách v zria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ďovateľskej pôsobnosti účtovnej jednotky </w:t>
      </w:r>
    </w:p>
    <w:p>
      <w:pPr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čet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čtové organizácie zriadené účtovnou jednotkou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Príspevkové organizácie zriadené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čtovnou jednotkou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Iné právnické osoby založené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čtovnou jednotkou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27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čtovných zásadách a účtovných metódach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4"/>
        </w:numPr>
        <w:tabs>
          <w:tab w:val="left" w:pos="720" w:leader="none"/>
          <w:tab w:val="left" w:pos="360" w:leader="none"/>
          <w:tab w:val="left" w:pos="7560" w:leader="none"/>
          <w:tab w:val="left" w:pos="9000" w:leader="none"/>
        </w:tabs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závierka je zostavená za predpokladu nepretržitého pokračovania účtovnej jednotky vo svojej činnosti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x  áno          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6"/>
        </w:numPr>
        <w:tabs>
          <w:tab w:val="left" w:pos="720" w:leader="none"/>
          <w:tab w:val="left" w:pos="360" w:leader="none"/>
        </w:tabs>
        <w:spacing w:before="0" w:after="0" w:line="360"/>
        <w:ind w:right="0" w:left="357" w:hanging="357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metód a účtovných zásad 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nie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áno: </w:t>
      </w:r>
    </w:p>
    <w:tbl>
      <w:tblPr>
        <w:tblInd w:w="108" w:type="dxa"/>
      </w:tblPr>
      <w:tblGrid>
        <w:gridCol w:w="2354"/>
        <w:gridCol w:w="2464"/>
        <w:gridCol w:w="2464"/>
        <w:gridCol w:w="2978"/>
      </w:tblGrid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vyjadrenie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€</w:t>
            </w:r>
          </w:p>
        </w:tc>
      </w:tr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left" w:pos="720" w:leader="none"/>
          <w:tab w:val="left" w:pos="360" w:leader="none"/>
        </w:tabs>
        <w:spacing w:before="0" w:after="0" w:line="36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ocenenia jednotlivých položiek  </w:t>
      </w: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a)    Dlhodobý nehmotný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majetok nakupovaný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cenu, za ktorú sa majetok obstaral a náklady súvisiace s jeho obstaraním. Vyskytujúce sa náklady súvisiace s obstaraním v účtovnej jednotke: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dopravné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montáž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provízia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poistné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iné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obstarávacej ceny nie sú: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úroky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realizované kurzové rozdiely,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ktoré vznikli do momentu uvedenia dlhodobého majetku do užívania.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vlastnými nákladmi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Vlastné náklady obsahujú: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priame náklady vynaložené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nepriamych nákladov, ktoré sa vzťahujú na výrobu alebo inú činnosť 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Slovný opis nepriamych nákladov ..................................................................................................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Dlhodobý   majetok   získaný   darovaním   alebo   delimitáciou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 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reprodukčnou   </w:t>
      </w: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Dlhodobý    majetok   nadobudnutý    bezodplatným    prevodom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     splynutí,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čení,                  </w:t>
      </w: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rozdelení alebo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pri prevode správy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cenou, v ktorej sa doteraz viedol  v účtovníctve.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426" w:leader="none"/>
          <w:tab w:val="left" w:pos="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Ak cenu nie je možné zisti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oceňuje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reprodukčnou obstarávacou cenou.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Od roku 2008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zásada opatrnosti - prechodné zníženie hodnoty majetku sa vyjadruje vytvorením opravnej položky.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 majetok sa oceňuje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</w:t>
      </w:r>
    </w:p>
    <w:p>
      <w:pPr>
        <w:tabs>
          <w:tab w:val="left" w:pos="426" w:leader="none"/>
        </w:tabs>
        <w:spacing w:before="0" w:after="0" w:line="240"/>
        <w:ind w:right="0" w:left="4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Nakupované zásoby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cenu, za ktorú sa zásoby obstarali a náklady súvisiace s ich obstaraním. Vyskytujúce sa náklady súvisiace s obstaraním v účtovnej jednotke: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dopravné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montáž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iné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vytvorené vlastnou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oceňujú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vlastnými nákladmi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Vlastné náklady obsahujú: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priame náklady vynaložené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nepriamych nákladov, ktoré sa vzťahujú na výrobu alebo inú činnosť 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Slovný opis nepriamych nákladov ..................................................................................................</w:t>
      </w:r>
    </w:p>
    <w:p>
      <w:pPr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získané darovaním alebo delimitáciou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reprodukčnou obstarávacou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(napr. určenou v darovacej zmluve alebo určenou komisiou pre oceňovanie).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Od roku 2008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zásada opatrnosti - prechodné zníženie hodnoty zásob sa vyjadruje vytvorením opravnej položky.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4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ľadávky pri ich vzniku sa oceňujú 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 roku 2008 sa uplat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zásada opatrnosti - prechodné zníženie hodnoty pohľadávok sa vyjadruje vytvorením opravnej položky.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7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ňažné prostriedky a ceniny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ňažné prostriedky a ceniny sa oceňujú 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9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 roku 2008 sa pri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>
      <w:pPr>
        <w:numPr>
          <w:ilvl w:val="0"/>
          <w:numId w:val="131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3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Rezervy sú záväzky s neistým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časovým vymedzením alebo výškou. Tvoria sa na základe zásady opatrnosti t.z. tvoria sa na krytie známych rizík alebo strát. Oceňujú sa v očakávanej výške záväzku. Tvorba rezerv sa uplatňuje od roku 2008.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5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 roku 2008 sa pri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8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Majetok obstaraný z transferov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 obstarávacou cenou.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0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Majetok obstaraný formou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čného a operatívneho leasingu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2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>
      <w:pPr>
        <w:tabs>
          <w:tab w:val="left" w:pos="327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"/>
        </w:numPr>
        <w:tabs>
          <w:tab w:val="left" w:pos="420" w:leader="none"/>
        </w:tabs>
        <w:spacing w:before="0" w:after="0" w:line="240"/>
        <w:ind w:right="0" w:left="420" w:hanging="42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jednotka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nie 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platiteľom dane z pridanej hodnoty. V prípadoch, keď dodávatelia   sú platiteľmi DPH, fakturovaná DPH je súčasťou ocenenia dlhodobého majetku, zásob, nákladov.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7"/>
        </w:numPr>
        <w:tabs>
          <w:tab w:val="left" w:pos="720" w:leader="none"/>
          <w:tab w:val="left" w:pos="360" w:leader="none"/>
        </w:tabs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Podstata odpisovania dlhodobého nehmotného a dlhodobého hmotného majetku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nehmotného majetku a dlhodobého hmotného majetku sú stanovené tak, že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vychádza z predpokladanej doby jeho užívania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začína odo dňa jeho zaradenia do používania. Účtovné odpisy sa zaokrúhľujú na celé koruny smerom nahor. Metóda odpisovania sa používa lineárna. Predpokladaná doba užívania a odpisové sadzby sú stanovené takto: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828" w:type="dxa"/>
      </w:tblPr>
      <w:tblGrid>
        <w:gridCol w:w="2242"/>
        <w:gridCol w:w="3071"/>
        <w:gridCol w:w="3071"/>
      </w:tblGrid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Odpisová skupina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Doba odpisovania v rokoch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čná odpisová sadzba</w:t>
            </w: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1/4</w:t>
            </w: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1/6</w:t>
            </w: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12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1/12</w:t>
            </w: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1/30</w:t>
            </w: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 od 16,56 € do 333 €,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rozhodnutia účtovnej jednotky nie je dlhodobým nehmotným majetkom sa účtuje pri obstaraní do nákladov na účet 501 - Materiál služby.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hmotný majetok od 16,56 € do 333 €,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rozhodnutia účtovnej jednotky nie je dlhodobým hmotným majetkom sa účtuje ako zásoby.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69"/>
        </w:numPr>
        <w:tabs>
          <w:tab w:val="left" w:pos="720" w:leader="none"/>
          <w:tab w:val="left" w:pos="360" w:leader="none"/>
        </w:tabs>
        <w:spacing w:before="0" w:after="0" w:line="240"/>
        <w:ind w:right="0" w:left="360" w:hanging="36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Náklady v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členení podľa rozpočtových programov /v €/</w:t>
      </w:r>
    </w:p>
    <w:tbl>
      <w:tblPr>
        <w:tblInd w:w="70" w:type="dxa"/>
      </w:tblPr>
      <w:tblGrid>
        <w:gridCol w:w="4140"/>
        <w:gridCol w:w="3780"/>
        <w:gridCol w:w="2340"/>
      </w:tblGrid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čtový program</w:t>
            </w: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Popis nákladov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v €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Prenesene kompetencie - ZŠ</w:t>
            </w: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Prevádzkové náklady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305 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119,82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Originalne kompetencie - SKD</w:t>
            </w: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Prevádzkové náklady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18 655,15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originálne kompetencie - ZŠ</w:t>
            </w: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revádzkové náklady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2341,20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Projekt EU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4 752,40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Projekt EU</w:t>
            </w: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775,72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7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331 644,29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transferoch a 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ťahoch so subjektami verejnej správy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7"/>
        </w:numPr>
        <w:tabs>
          <w:tab w:val="left" w:pos="720" w:leader="none"/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čtovanie odvodov príjmov rozpočtových organizácií do rozpočtu zriaďovateľa</w:t>
      </w:r>
    </w:p>
    <w:p>
      <w:pPr>
        <w:tabs>
          <w:tab w:val="left" w:pos="36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(Poh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ľadávka účet 351) v €</w:t>
      </w:r>
    </w:p>
    <w:tbl>
      <w:tblPr>
        <w:tblInd w:w="70" w:type="dxa"/>
      </w:tblPr>
      <w:tblGrid>
        <w:gridCol w:w="2520"/>
        <w:gridCol w:w="1440"/>
        <w:gridCol w:w="1620"/>
        <w:gridCol w:w="1620"/>
        <w:gridCol w:w="1620"/>
        <w:gridCol w:w="1440"/>
      </w:tblGrid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Popis zostatku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 351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ľadávka/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 31.12.2017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  <w:t xml:space="preserve">prijaté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 príjmov minulých účtovných období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 príjmov 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 zúčtované do výnosov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+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 príjmov 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 31.12.2018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dôvodu neprijatých odvodov príjmov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351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4884,19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4884,19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4884,19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4884,19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23"/>
        </w:numPr>
        <w:tabs>
          <w:tab w:val="left" w:pos="720" w:leader="none"/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čtovanie odvodov príjmov rozpočtových organizácií do rozpočtu zriaďovateľa</w:t>
      </w:r>
    </w:p>
    <w:p>
      <w:pPr>
        <w:tabs>
          <w:tab w:val="left" w:pos="360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(Záväzok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351) v €</w:t>
      </w:r>
    </w:p>
    <w:tbl>
      <w:tblPr>
        <w:tblInd w:w="70" w:type="dxa"/>
      </w:tblPr>
      <w:tblGrid>
        <w:gridCol w:w="2520"/>
        <w:gridCol w:w="1440"/>
        <w:gridCol w:w="1620"/>
        <w:gridCol w:w="1620"/>
        <w:gridCol w:w="1620"/>
        <w:gridCol w:w="1440"/>
      </w:tblGrid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Popis zostatku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 351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/záväzok/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  <w:t xml:space="preserve">uhradené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odvody príjmov minulých účtovných období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 príjmov 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 zúčtované do nákladov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+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 príjmov 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 k 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dôvodu neodvedených  odvodov príjmov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351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2 026,27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2 026,27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2 026,27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2 026,27</w:t>
            </w:r>
          </w:p>
        </w:tc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9"/>
        </w:numPr>
        <w:tabs>
          <w:tab w:val="left" w:pos="720" w:leader="none"/>
          <w:tab w:val="left" w:pos="36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čtovanie prijatých transferov v členení  podľa jednotlivých položiek súvahy /v €/</w:t>
      </w:r>
    </w:p>
    <w:tbl>
      <w:tblPr>
        <w:tblInd w:w="70" w:type="dxa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zostatku  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členení podľa štruktúry súvahy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/riadky súvahy 134 až 139/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/záväzok/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 k 31.12.   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/bežný, kapitálový/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Príjem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bežného/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kapitálového 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+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výnosov 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výnosov budúcich období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384/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 k 31.12.  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dôvodu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prijatých transferov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355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357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Bezny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311 062,11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311 062,11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359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311 062,11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311 062,11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3"/>
        </w:numPr>
        <w:tabs>
          <w:tab w:val="left" w:pos="720" w:leader="none"/>
          <w:tab w:val="left" w:pos="360" w:leader="none"/>
        </w:tabs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čtovanie poskytnutých transferov v členení  podľa jednotlivých položiek súvahy /v €/ </w:t>
      </w:r>
    </w:p>
    <w:tbl>
      <w:tblPr>
        <w:tblInd w:w="70" w:type="dxa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zostatku  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členení podľa štruktúry súvahy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/riadky súvahy 042 až 047/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ľadávka/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 31.12. 2017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dôvodu poskytnutých transferov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/bežný, kapitálový/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bežného/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kapitálového 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+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poskytnutého v 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 do nákladov bežného účtovného obdobia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poskytnutého v minulých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obdobiach do nákladov bežného účtovného obdobia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 31.12. 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dôvodu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poskytnutých transferov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355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kapitálový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357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Bezny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359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XI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čte a hodnotenie plnenia rozpočtu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06"/>
        </w:numPr>
        <w:tabs>
          <w:tab w:val="left" w:pos="720" w:leader="none"/>
        </w:tabs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a hodnotenie plnenia rozpočtu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obce/rozpočtovej organizácie bol schválený obecným zastupiteľstvom.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Príjmy bežného 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v €</w:t>
      </w:r>
    </w:p>
    <w:tbl>
      <w:tblPr>
        <w:tblInd w:w="70" w:type="dxa"/>
      </w:tblPr>
      <w:tblGrid>
        <w:gridCol w:w="900"/>
        <w:gridCol w:w="3060"/>
        <w:gridCol w:w="1980"/>
        <w:gridCol w:w="1800"/>
        <w:gridCol w:w="1800"/>
      </w:tblGrid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Zdroj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Schválený 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zmenách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 31.12.201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Prijmy 111 – 09.1.2.1, 09.2.1.1.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296 729,00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305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305 120,00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Prijmy 41 – 09.1.2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2 000,00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2 341,00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Prijmy 41 – 09.5.0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16 812,00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14 812,00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18 655,00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3AC1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jem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09.2.1.1.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7 058,00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4 752,00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3AC2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Príjem 09.2.1.1.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776,00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313 541,00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329 820,00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331 644,00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Výdavky bežného rozpo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čtu v €</w:t>
      </w:r>
    </w:p>
    <w:tbl>
      <w:tblPr>
        <w:tblInd w:w="70" w:type="dxa"/>
      </w:tblPr>
      <w:tblGrid>
        <w:gridCol w:w="1980"/>
        <w:gridCol w:w="900"/>
        <w:gridCol w:w="2880"/>
        <w:gridCol w:w="1260"/>
        <w:gridCol w:w="1240"/>
        <w:gridCol w:w="1280"/>
      </w:tblGrid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Program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Zdroj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výdavku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Schválený 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zmenách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 31.12.201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09.1.2.1, 09.2.1.1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Prevadzkove naklady + mzdy a odvody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296 729,00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305 120,00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05 119,82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09.5.0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Prevadzkove naklady +</w:t>
            </w:r>
          </w:p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Mzdy a odvody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16812,00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18655,15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09.1.2.1., 09.2.1.1.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Prevádzkové náklady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2000,00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341,20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09.2.1.1.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3AC1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mzdy + odvody EU SF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058,00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4752,40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09.2.1.1.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3AC2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mzdy + odvody EUSF spolu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úč.</w:t>
            </w: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775,72</w:t>
            </w: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313 541,00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329 820,00</w:t>
            </w:r>
          </w:p>
        </w:tc>
        <w:tc>
          <w:tcPr>
            <w:tcW w:w="1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331 644,29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Príjmy kapitálového rozpo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čtu v €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70" w:type="dxa"/>
      </w:tblPr>
      <w:tblGrid>
        <w:gridCol w:w="900"/>
        <w:gridCol w:w="3060"/>
        <w:gridCol w:w="1980"/>
        <w:gridCol w:w="1800"/>
        <w:gridCol w:w="1800"/>
      </w:tblGrid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Zdroj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Schválený 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zmenách</w:t>
            </w: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Skuto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 31.12.201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0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36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num w:numId="4">
    <w:abstractNumId w:val="144"/>
  </w:num>
  <w:num w:numId="33">
    <w:abstractNumId w:val="138"/>
  </w:num>
  <w:num w:numId="54">
    <w:abstractNumId w:val="132"/>
  </w:num>
  <w:num w:numId="74">
    <w:abstractNumId w:val="126"/>
  </w:num>
  <w:num w:numId="76">
    <w:abstractNumId w:val="120"/>
  </w:num>
  <w:num w:numId="104">
    <w:abstractNumId w:val="114"/>
  </w:num>
  <w:num w:numId="115">
    <w:abstractNumId w:val="108"/>
  </w:num>
  <w:num w:numId="117">
    <w:abstractNumId w:val="102"/>
  </w:num>
  <w:num w:numId="124">
    <w:abstractNumId w:val="96"/>
  </w:num>
  <w:num w:numId="127">
    <w:abstractNumId w:val="90"/>
  </w:num>
  <w:num w:numId="129">
    <w:abstractNumId w:val="84"/>
  </w:num>
  <w:num w:numId="131">
    <w:abstractNumId w:val="78"/>
  </w:num>
  <w:num w:numId="133">
    <w:abstractNumId w:val="72"/>
  </w:num>
  <w:num w:numId="135">
    <w:abstractNumId w:val="66"/>
  </w:num>
  <w:num w:numId="138">
    <w:abstractNumId w:val="60"/>
  </w:num>
  <w:num w:numId="140">
    <w:abstractNumId w:val="54"/>
  </w:num>
  <w:num w:numId="142">
    <w:abstractNumId w:val="48"/>
  </w:num>
  <w:num w:numId="145">
    <w:abstractNumId w:val="42"/>
  </w:num>
  <w:num w:numId="147">
    <w:abstractNumId w:val="36"/>
  </w:num>
  <w:num w:numId="169">
    <w:abstractNumId w:val="30"/>
  </w:num>
  <w:num w:numId="207">
    <w:abstractNumId w:val="24"/>
  </w:num>
  <w:num w:numId="223">
    <w:abstractNumId w:val="18"/>
  </w:num>
  <w:num w:numId="239">
    <w:abstractNumId w:val="12"/>
  </w:num>
  <w:num w:numId="273">
    <w:abstractNumId w:val="6"/>
  </w:num>
  <w:num w:numId="30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