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6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960"/>
        <w:gridCol w:w="960"/>
        <w:gridCol w:w="960"/>
        <w:gridCol w:w="960"/>
        <w:gridCol w:w="960"/>
        <w:gridCol w:w="960"/>
        <w:gridCol w:w="960"/>
        <w:gridCol w:w="960"/>
      </w:tblGrid>
      <w:tr w:rsidR="007D14AC" w:rsidRPr="007D14AC" w:rsidTr="007D14AC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D14AC">
        <w:trPr>
          <w:trHeight w:val="375"/>
        </w:trPr>
        <w:tc>
          <w:tcPr>
            <w:tcW w:w="29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C245B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val="cs-CZ" w:eastAsia="cs-CZ" w:bidi="ar-SA"/>
              </w:rPr>
              <w:t>Poznámky  Úč MÚJ 3- 1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val="cs-CZ" w:eastAsia="cs-CZ" w:bidi="ar-SA"/>
              </w:rPr>
            </w:pPr>
            <w:r w:rsidRPr="007D14AC"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val="cs-CZ" w:eastAsia="cs-CZ" w:bidi="ar-SA"/>
              </w:rPr>
              <w:t xml:space="preserve">  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val="cs-CZ" w:eastAsia="cs-CZ" w:bidi="ar-SA"/>
              </w:rPr>
            </w:pPr>
            <w:r w:rsidRPr="007D14AC"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val="cs-CZ" w:eastAsia="cs-CZ" w:bidi="ar-SA"/>
              </w:rPr>
              <w:t xml:space="preserve">IČO: </w:t>
            </w:r>
            <w:r w:rsidR="007C245B"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val="cs-CZ" w:eastAsia="cs-CZ" w:bidi="ar-SA"/>
              </w:rPr>
              <w:t>51050412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val="cs-CZ" w:eastAsia="cs-CZ" w:bidi="ar-SA"/>
              </w:rPr>
            </w:pPr>
          </w:p>
        </w:tc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val="cs-CZ" w:eastAsia="cs-CZ" w:bidi="ar-SA"/>
              </w:rPr>
            </w:pPr>
            <w:r w:rsidRPr="007D14AC"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val="cs-CZ" w:eastAsia="cs-CZ" w:bidi="ar-SA"/>
              </w:rPr>
              <w:t xml:space="preserve">DIČ: </w:t>
            </w:r>
            <w:r w:rsidR="007C245B"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val="cs-CZ" w:eastAsia="cs-CZ" w:bidi="ar-SA"/>
              </w:rPr>
              <w:t>2120588404</w:t>
            </w:r>
          </w:p>
        </w:tc>
      </w:tr>
      <w:tr w:rsidR="007D14AC" w:rsidRPr="007D14AC" w:rsidTr="007C245B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C245B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C245B">
        <w:trPr>
          <w:trHeight w:val="375"/>
        </w:trPr>
        <w:tc>
          <w:tcPr>
            <w:tcW w:w="29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</w:pPr>
            <w:r w:rsidRPr="007D14AC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>Čl. 1 Všeobecné údaje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C245B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C245B">
        <w:trPr>
          <w:trHeight w:val="300"/>
        </w:trPr>
        <w:tc>
          <w:tcPr>
            <w:tcW w:w="77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 w:rsidRPr="007D14AC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čl. 1.1. Názov právnickej osoby a jej sídlo alebo meno a priezvisko fyzickej osoby.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C245B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C245B">
        <w:trPr>
          <w:trHeight w:val="300"/>
        </w:trPr>
        <w:tc>
          <w:tcPr>
            <w:tcW w:w="48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C245B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Hlikov s.r.o., Polianka  136, 907 01  Myjava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C245B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C245B">
        <w:trPr>
          <w:trHeight w:val="300"/>
        </w:trPr>
        <w:tc>
          <w:tcPr>
            <w:tcW w:w="38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 w:rsidRPr="007D14AC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čl. 1.2. Údaje o konsolidovanom celku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C245B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C245B">
        <w:trPr>
          <w:trHeight w:val="300"/>
        </w:trPr>
        <w:tc>
          <w:tcPr>
            <w:tcW w:w="58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 w:rsidRPr="007D14AC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Účtovná jednotka nie je súčasťou konsolidovaného celku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C245B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C245B">
        <w:trPr>
          <w:trHeight w:val="300"/>
        </w:trPr>
        <w:tc>
          <w:tcPr>
            <w:tcW w:w="48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 w:rsidRPr="007D14AC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čl. 1.3. Priemerný prepočítaný počet zamestnancov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C245B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C245B">
        <w:trPr>
          <w:trHeight w:val="300"/>
        </w:trPr>
        <w:tc>
          <w:tcPr>
            <w:tcW w:w="48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 w:rsidRPr="007D14AC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Účtovná jednotka nezamestnáva  zamestnancov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C245B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C245B">
        <w:trPr>
          <w:trHeight w:val="375"/>
        </w:trPr>
        <w:tc>
          <w:tcPr>
            <w:tcW w:w="48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</w:pPr>
            <w:r w:rsidRPr="007D14AC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>Čl. 2 Informácie o prijatých postupoch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C245B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C245B">
        <w:trPr>
          <w:trHeight w:val="300"/>
        </w:trPr>
        <w:tc>
          <w:tcPr>
            <w:tcW w:w="38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 w:rsidRPr="007D14AC"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  <w:t xml:space="preserve">čl. 2.1 </w:t>
            </w:r>
            <w:r w:rsidRPr="007D14AC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Nepretržité pokračovanie činnosti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C245B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C245B">
        <w:trPr>
          <w:trHeight w:val="300"/>
        </w:trPr>
        <w:tc>
          <w:tcPr>
            <w:tcW w:w="77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 w:rsidRPr="007D14AC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Spoločnosť nepretržite pokračovala </w:t>
            </w:r>
            <w:r w:rsidR="007C245B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vo svojej činnosti od 01.01.2018</w:t>
            </w:r>
            <w:r w:rsidRPr="007D14AC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do 31.12.201</w:t>
            </w:r>
            <w:r w:rsidR="007C245B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C245B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C245B">
        <w:trPr>
          <w:trHeight w:val="300"/>
        </w:trPr>
        <w:tc>
          <w:tcPr>
            <w:tcW w:w="67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 w:rsidRPr="007D14AC"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  <w:t>čl. 2.2</w:t>
            </w:r>
            <w:r w:rsidRPr="007D14AC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. Spôsob oceňovanie jednotlivých položiek majetku a záväzkov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C245B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C245B">
        <w:trPr>
          <w:trHeight w:val="300"/>
        </w:trPr>
        <w:tc>
          <w:tcPr>
            <w:tcW w:w="77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 w:rsidRPr="007D14AC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Účtovná jednotka oceňovala majetok a záväzky obstarávacou cenou  ku dňu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C245B">
        <w:trPr>
          <w:trHeight w:val="300"/>
        </w:trPr>
        <w:tc>
          <w:tcPr>
            <w:tcW w:w="38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 w:rsidRPr="007D14AC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uskutočnenia účtovného prípadu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C245B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C245B">
        <w:trPr>
          <w:trHeight w:val="300"/>
        </w:trPr>
        <w:tc>
          <w:tcPr>
            <w:tcW w:w="868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 w:rsidRPr="007D14AC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- obstarávacia cena je cena a ktorú sa majetok  obstaral a náklady súvisiace s jeho obstaraním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C245B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C245B">
        <w:trPr>
          <w:trHeight w:val="300"/>
        </w:trPr>
        <w:tc>
          <w:tcPr>
            <w:tcW w:w="58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 w:rsidRPr="007D14AC"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  <w:t xml:space="preserve">čl. 2.3. </w:t>
            </w:r>
            <w:r w:rsidRPr="007D14AC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Spôsob zostavenia odpisového plánu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C245B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C245B">
        <w:trPr>
          <w:trHeight w:val="300"/>
        </w:trPr>
        <w:tc>
          <w:tcPr>
            <w:tcW w:w="67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 w:rsidRPr="007D14AC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Účtovná jednotka  nemá zaradený žiaden majetok na odpisovanie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C245B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C245B">
        <w:trPr>
          <w:trHeight w:val="300"/>
        </w:trPr>
        <w:tc>
          <w:tcPr>
            <w:tcW w:w="58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 w:rsidRPr="007D14AC"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  <w:t>čl. 2.4</w:t>
            </w:r>
            <w:r w:rsidRPr="007D14AC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. Zmeny účtovných  zásad a zmeny účtovných metód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C245B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D14AC">
        <w:trPr>
          <w:trHeight w:val="300"/>
        </w:trPr>
        <w:tc>
          <w:tcPr>
            <w:tcW w:w="96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 w:rsidRPr="007D14AC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Účtovná jednotka v bežnom období nevykonala žiadne zmeny účtovných zásad a účtovných metód</w:t>
            </w:r>
          </w:p>
        </w:tc>
      </w:tr>
      <w:tr w:rsidR="007D14AC" w:rsidRPr="007D14AC" w:rsidTr="007D14AC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D14AC">
        <w:trPr>
          <w:trHeight w:val="300"/>
        </w:trPr>
        <w:tc>
          <w:tcPr>
            <w:tcW w:w="58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 w:rsidRPr="007D14AC"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  <w:t>čl. 2.5.</w:t>
            </w:r>
            <w:r w:rsidRPr="007D14AC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Informácia o dotáciách a ich oceňovanie v účtovníctve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D14AC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D14AC">
        <w:trPr>
          <w:trHeight w:val="300"/>
        </w:trPr>
        <w:tc>
          <w:tcPr>
            <w:tcW w:w="868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 w:rsidRPr="007D14AC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Účtovná jednotka v  bežnom účtovnom období neúčtovala  a nedostala žiadne dotácie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D14AC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D14AC">
        <w:trPr>
          <w:trHeight w:val="300"/>
        </w:trPr>
        <w:tc>
          <w:tcPr>
            <w:tcW w:w="77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 w:rsidRPr="007D14AC"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  <w:t xml:space="preserve">2.6. </w:t>
            </w:r>
            <w:r w:rsidRPr="007D14AC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Informácie o účtovaní  významných opráv chýb minulých účtovných obdob</w:t>
            </w:r>
            <w:r w:rsidR="007C245B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i</w:t>
            </w:r>
            <w:r w:rsidRPr="007D14AC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á</w:t>
            </w:r>
            <w:r w:rsidR="007C245B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ch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D14AC">
        <w:trPr>
          <w:trHeight w:val="300"/>
        </w:trPr>
        <w:tc>
          <w:tcPr>
            <w:tcW w:w="29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 w:rsidRPr="007D14AC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v bežnom účtovnom  období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D14AC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D14AC">
        <w:trPr>
          <w:trHeight w:val="300"/>
        </w:trPr>
        <w:tc>
          <w:tcPr>
            <w:tcW w:w="868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 w:rsidRPr="007D14AC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Účtovná jednotka v bežnom účtovnom</w:t>
            </w:r>
            <w:r w:rsidR="007C245B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r w:rsidRPr="007D14AC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období neúčtovala žiadne opravy chýb minulých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D14AC">
        <w:trPr>
          <w:trHeight w:val="300"/>
        </w:trPr>
        <w:tc>
          <w:tcPr>
            <w:tcW w:w="1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 w:rsidRPr="007D14AC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účtovných období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D14AC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D14AC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D14AC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D14AC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D14AC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D14AC">
        <w:trPr>
          <w:trHeight w:val="375"/>
        </w:trPr>
        <w:tc>
          <w:tcPr>
            <w:tcW w:w="29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C245B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>Poznámky  Úč MÚJ 3 -</w:t>
            </w:r>
            <w:r w:rsidR="007D14AC" w:rsidRPr="007D14AC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</w:pPr>
            <w:r w:rsidRPr="007D14AC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 xml:space="preserve">IČO: </w:t>
            </w:r>
            <w:r w:rsidR="007C245B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>51050412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</w:pPr>
          </w:p>
        </w:tc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</w:pPr>
            <w:r w:rsidRPr="007D14AC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>DIČ:</w:t>
            </w:r>
            <w:r w:rsidR="007C245B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 xml:space="preserve"> 2120588404</w:t>
            </w:r>
          </w:p>
        </w:tc>
      </w:tr>
      <w:tr w:rsidR="007D14AC" w:rsidRPr="007D14AC" w:rsidTr="007D14AC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D14AC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D14AC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D14AC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D14AC">
        <w:trPr>
          <w:trHeight w:val="375"/>
        </w:trPr>
        <w:tc>
          <w:tcPr>
            <w:tcW w:w="96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</w:pPr>
            <w:r w:rsidRPr="007D14AC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>Čl. 3. Informácie, ktoré vysvetľujú a dopĺňajú súvah a výkaz ziskov a strát</w:t>
            </w:r>
          </w:p>
        </w:tc>
      </w:tr>
      <w:tr w:rsidR="007D14AC" w:rsidRPr="007D14AC" w:rsidTr="007D14AC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D14AC">
        <w:trPr>
          <w:trHeight w:val="300"/>
        </w:trPr>
        <w:tc>
          <w:tcPr>
            <w:tcW w:w="868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 w:rsidRPr="007D14AC"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  <w:t xml:space="preserve">čl. 3.1 </w:t>
            </w:r>
            <w:r w:rsidRPr="007D14AC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Informácia o sume a dôvodoch vzniku jednotlivých položiek nákadov alebo výnosov,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D14AC">
        <w:trPr>
          <w:trHeight w:val="300"/>
        </w:trPr>
        <w:tc>
          <w:tcPr>
            <w:tcW w:w="29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 w:rsidRPr="007D14AC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ktoré majú výnimočný rozsah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D14AC">
        <w:trPr>
          <w:trHeight w:val="300"/>
        </w:trPr>
        <w:tc>
          <w:tcPr>
            <w:tcW w:w="868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 w:rsidRPr="007D14AC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Účtovná jednotka v bežnom období neúčtovala jednotlivé položky nákladov alebo výnosov,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D14AC">
        <w:trPr>
          <w:trHeight w:val="300"/>
        </w:trPr>
        <w:tc>
          <w:tcPr>
            <w:tcW w:w="29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 w:rsidRPr="007D14AC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ktoré majú výnimočný rozsah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245B" w:rsidRPr="007D14AC" w:rsidRDefault="007C245B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D14AC">
        <w:trPr>
          <w:trHeight w:val="300"/>
        </w:trPr>
        <w:tc>
          <w:tcPr>
            <w:tcW w:w="29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245B" w:rsidRDefault="007C245B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</w:pPr>
          </w:p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 w:rsidRPr="007D14AC"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  <w:t xml:space="preserve">čl. 3.2. </w:t>
            </w:r>
            <w:r w:rsidRPr="007D14AC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Informácie o záväzkoch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D14AC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D14AC">
        <w:trPr>
          <w:trHeight w:val="300"/>
        </w:trPr>
        <w:tc>
          <w:tcPr>
            <w:tcW w:w="1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</w:pPr>
            <w:r w:rsidRPr="007D14AC"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  <w:t>názov položky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</w:pPr>
            <w:r w:rsidRPr="007D14AC"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  <w:t>bežné účtovné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D14AC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</w:pPr>
            <w:r w:rsidRPr="007D14AC"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  <w:t>obdobie €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D14AC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D14AC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 w:rsidRPr="007D14AC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záväzky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674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 w:rsidRPr="007D14AC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29</w:t>
            </w:r>
            <w:r w:rsidR="007C245B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3</w:t>
            </w:r>
            <w:r w:rsidR="00674A25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8</w:t>
            </w:r>
            <w:r w:rsidR="007C245B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0</w:t>
            </w:r>
            <w:r w:rsidRPr="007D14AC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,-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D14AC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D14AC">
        <w:trPr>
          <w:trHeight w:val="300"/>
        </w:trPr>
        <w:tc>
          <w:tcPr>
            <w:tcW w:w="38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 w:rsidRPr="007D14AC"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  <w:t>čl. 3.3.</w:t>
            </w:r>
            <w:r w:rsidRPr="007D14AC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Informácie o vlastných akciách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D14AC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D14AC">
        <w:trPr>
          <w:trHeight w:val="300"/>
        </w:trPr>
        <w:tc>
          <w:tcPr>
            <w:tcW w:w="868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 w:rsidRPr="007D14AC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Účtovná jednotka  v bežnom účtovnom období nevlastnila ani nepredávala  vlastné akcie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D14AC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D14AC">
        <w:trPr>
          <w:trHeight w:val="300"/>
        </w:trPr>
        <w:tc>
          <w:tcPr>
            <w:tcW w:w="48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 w:rsidRPr="007D14AC"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  <w:t xml:space="preserve">čl. 3.4. </w:t>
            </w:r>
            <w:r w:rsidRPr="007D14AC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Informácie o orgánoch účtovnej jednotky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D14AC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D14AC">
        <w:trPr>
          <w:trHeight w:val="300"/>
        </w:trPr>
        <w:tc>
          <w:tcPr>
            <w:tcW w:w="96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 w:rsidRPr="007D14AC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účtovná jednotka v bežnom účtovnom období neposkytovala  ani nevyplácala príjmy a výhody</w:t>
            </w:r>
          </w:p>
        </w:tc>
      </w:tr>
      <w:tr w:rsidR="007D14AC" w:rsidRPr="007D14AC" w:rsidTr="007D14AC">
        <w:trPr>
          <w:trHeight w:val="300"/>
        </w:trPr>
        <w:tc>
          <w:tcPr>
            <w:tcW w:w="29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 w:rsidRPr="007D14AC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členom štatutárnych orgánov,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D14AC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D14AC">
        <w:trPr>
          <w:trHeight w:val="300"/>
        </w:trPr>
        <w:tc>
          <w:tcPr>
            <w:tcW w:w="58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 w:rsidRPr="007D14AC"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  <w:t xml:space="preserve">čl. 3.5 </w:t>
            </w:r>
            <w:r w:rsidRPr="007D14AC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Informácie o povinnostiach účtovnej jednotky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D14AC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D14AC">
        <w:trPr>
          <w:trHeight w:val="300"/>
        </w:trPr>
        <w:tc>
          <w:tcPr>
            <w:tcW w:w="96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 w:rsidRPr="007D14AC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Účtovná jednotka v bežnom účtovnom období nemá povinnosti,</w:t>
            </w:r>
            <w:r w:rsidR="007C245B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 </w:t>
            </w:r>
            <w:r w:rsidRPr="007D14AC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ktoré </w:t>
            </w:r>
            <w:r w:rsidR="007C245B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r w:rsidRPr="007D14AC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sa </w:t>
            </w:r>
            <w:r w:rsidR="007C245B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r w:rsidRPr="007D14AC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nevykazujú v </w:t>
            </w:r>
            <w:r w:rsidR="007C245B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r w:rsidRPr="007D14AC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súvahe</w:t>
            </w:r>
          </w:p>
        </w:tc>
      </w:tr>
      <w:tr w:rsidR="007D14AC" w:rsidRPr="007D14AC" w:rsidTr="007D14AC">
        <w:trPr>
          <w:trHeight w:val="300"/>
        </w:trPr>
        <w:tc>
          <w:tcPr>
            <w:tcW w:w="77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 w:rsidRPr="007D14AC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Účtovná jednotka v bežnom účtovnom období </w:t>
            </w:r>
            <w:r w:rsidR="007C245B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 </w:t>
            </w:r>
            <w:r w:rsidRPr="007D14AC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nemá  podmienené  záväzky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D14AC">
        <w:trPr>
          <w:trHeight w:val="300"/>
        </w:trPr>
        <w:tc>
          <w:tcPr>
            <w:tcW w:w="77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 w:rsidRPr="007D14AC"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Účtovná jednotka  v bežnom účtovnom období  nemá  podmienený majetok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D14AC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7D14AC" w:rsidRPr="007D14AC" w:rsidTr="007D14AC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C24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4AC" w:rsidRPr="007D14AC" w:rsidRDefault="007D14AC" w:rsidP="007D14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</w:tbl>
    <w:p w:rsidR="000C6111" w:rsidRDefault="000C6111"/>
    <w:sectPr w:rsidR="000C6111" w:rsidSect="007C245B">
      <w:pgSz w:w="11906" w:h="16838" w:code="9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7D14AC"/>
    <w:rsid w:val="00047F77"/>
    <w:rsid w:val="000C6111"/>
    <w:rsid w:val="000E1E89"/>
    <w:rsid w:val="0023244E"/>
    <w:rsid w:val="00242F69"/>
    <w:rsid w:val="004A5414"/>
    <w:rsid w:val="00674A25"/>
    <w:rsid w:val="006F4809"/>
    <w:rsid w:val="007C245B"/>
    <w:rsid w:val="007D14AC"/>
    <w:rsid w:val="0085029C"/>
    <w:rsid w:val="00A1124E"/>
    <w:rsid w:val="00B726AA"/>
    <w:rsid w:val="00BE22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ajorHAnsi" w:eastAsiaTheme="minorHAnsi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5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E22CC"/>
  </w:style>
  <w:style w:type="paragraph" w:styleId="Nadpis1">
    <w:name w:val="heading 1"/>
    <w:basedOn w:val="Normlny"/>
    <w:next w:val="Normlny"/>
    <w:link w:val="Nadpis1Char"/>
    <w:uiPriority w:val="9"/>
    <w:qFormat/>
    <w:rsid w:val="00BE22CC"/>
    <w:pPr>
      <w:pBdr>
        <w:bottom w:val="thinThickSmallGap" w:sz="12" w:space="1" w:color="943634" w:themeColor="accent2" w:themeShade="BF"/>
      </w:pBdr>
      <w:spacing w:before="400"/>
      <w:jc w:val="center"/>
      <w:outlineLvl w:val="0"/>
    </w:pPr>
    <w:rPr>
      <w:caps/>
      <w:color w:val="632423" w:themeColor="accent2" w:themeShade="80"/>
      <w:spacing w:val="20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E22CC"/>
    <w:pPr>
      <w:pBdr>
        <w:bottom w:val="single" w:sz="4" w:space="1" w:color="622423" w:themeColor="accent2" w:themeShade="7F"/>
      </w:pBdr>
      <w:spacing w:before="400"/>
      <w:jc w:val="center"/>
      <w:outlineLvl w:val="1"/>
    </w:pPr>
    <w:rPr>
      <w:caps/>
      <w:color w:val="632423" w:themeColor="accent2" w:themeShade="80"/>
      <w:spacing w:val="15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E22CC"/>
    <w:pPr>
      <w:pBdr>
        <w:top w:val="dotted" w:sz="4" w:space="1" w:color="622423" w:themeColor="accent2" w:themeShade="7F"/>
        <w:bottom w:val="dotted" w:sz="4" w:space="1" w:color="622423" w:themeColor="accent2" w:themeShade="7F"/>
      </w:pBdr>
      <w:spacing w:before="300"/>
      <w:jc w:val="center"/>
      <w:outlineLvl w:val="2"/>
    </w:pPr>
    <w:rPr>
      <w:caps/>
      <w:color w:val="622423" w:themeColor="accent2" w:themeShade="7F"/>
      <w:sz w:val="24"/>
      <w:szCs w:val="24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E22CC"/>
    <w:pPr>
      <w:pBdr>
        <w:bottom w:val="dotted" w:sz="4" w:space="1" w:color="943634" w:themeColor="accent2" w:themeShade="BF"/>
      </w:pBdr>
      <w:spacing w:after="120"/>
      <w:jc w:val="center"/>
      <w:outlineLvl w:val="3"/>
    </w:pPr>
    <w:rPr>
      <w:caps/>
      <w:color w:val="622423" w:themeColor="accent2" w:themeShade="7F"/>
      <w:spacing w:val="10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E22CC"/>
    <w:pPr>
      <w:spacing w:before="320" w:after="120"/>
      <w:jc w:val="center"/>
      <w:outlineLvl w:val="4"/>
    </w:pPr>
    <w:rPr>
      <w:caps/>
      <w:color w:val="622423" w:themeColor="accent2" w:themeShade="7F"/>
      <w:spacing w:val="10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E22CC"/>
    <w:pPr>
      <w:spacing w:after="120"/>
      <w:jc w:val="center"/>
      <w:outlineLvl w:val="5"/>
    </w:pPr>
    <w:rPr>
      <w:caps/>
      <w:color w:val="943634" w:themeColor="accent2" w:themeShade="BF"/>
      <w:spacing w:val="10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E22CC"/>
    <w:pPr>
      <w:spacing w:after="120"/>
      <w:jc w:val="center"/>
      <w:outlineLvl w:val="6"/>
    </w:pPr>
    <w:rPr>
      <w:i/>
      <w:iCs/>
      <w:caps/>
      <w:color w:val="943634" w:themeColor="accent2" w:themeShade="BF"/>
      <w:spacing w:val="1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E22CC"/>
    <w:pPr>
      <w:spacing w:after="120"/>
      <w:jc w:val="center"/>
      <w:outlineLvl w:val="7"/>
    </w:pPr>
    <w:rPr>
      <w:caps/>
      <w:spacing w:val="10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E22CC"/>
    <w:pPr>
      <w:spacing w:after="120"/>
      <w:jc w:val="center"/>
      <w:outlineLvl w:val="8"/>
    </w:pPr>
    <w:rPr>
      <w:i/>
      <w:iCs/>
      <w:caps/>
      <w:spacing w:val="10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E22CC"/>
    <w:rPr>
      <w:rFonts w:eastAsiaTheme="majorEastAsia" w:cstheme="majorBidi"/>
      <w:caps/>
      <w:color w:val="632423" w:themeColor="accent2" w:themeShade="80"/>
      <w:spacing w:val="20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E22CC"/>
    <w:rPr>
      <w:caps/>
      <w:color w:val="632423" w:themeColor="accent2" w:themeShade="80"/>
      <w:spacing w:val="15"/>
      <w:sz w:val="24"/>
      <w:szCs w:val="24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E22CC"/>
    <w:rPr>
      <w:rFonts w:eastAsiaTheme="majorEastAsia" w:cstheme="majorBidi"/>
      <w:caps/>
      <w:color w:val="622423" w:themeColor="accent2" w:themeShade="7F"/>
      <w:sz w:val="24"/>
      <w:szCs w:val="24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E22CC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E22CC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E22CC"/>
    <w:rPr>
      <w:rFonts w:eastAsiaTheme="majorEastAsia" w:cstheme="majorBidi"/>
      <w:caps/>
      <w:color w:val="943634" w:themeColor="accent2" w:themeShade="BF"/>
      <w:spacing w:val="10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E22CC"/>
    <w:rPr>
      <w:rFonts w:eastAsiaTheme="majorEastAsia" w:cstheme="majorBidi"/>
      <w:i/>
      <w:iCs/>
      <w:caps/>
      <w:color w:val="943634" w:themeColor="accent2" w:themeShade="BF"/>
      <w:spacing w:val="1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E22CC"/>
    <w:rPr>
      <w:rFonts w:eastAsiaTheme="majorEastAsia" w:cstheme="majorBidi"/>
      <w:caps/>
      <w:spacing w:val="10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E22CC"/>
    <w:rPr>
      <w:rFonts w:eastAsiaTheme="majorEastAsia" w:cstheme="majorBidi"/>
      <w:i/>
      <w:iCs/>
      <w:caps/>
      <w:spacing w:val="10"/>
      <w:sz w:val="20"/>
      <w:szCs w:val="20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BE22CC"/>
    <w:rPr>
      <w:caps/>
      <w:spacing w:val="10"/>
      <w:sz w:val="18"/>
      <w:szCs w:val="18"/>
    </w:rPr>
  </w:style>
  <w:style w:type="paragraph" w:styleId="Nzov">
    <w:name w:val="Title"/>
    <w:basedOn w:val="Normlny"/>
    <w:next w:val="Normlny"/>
    <w:link w:val="NzovChar"/>
    <w:uiPriority w:val="10"/>
    <w:qFormat/>
    <w:rsid w:val="00BE22CC"/>
    <w:pPr>
      <w:pBdr>
        <w:top w:val="dotted" w:sz="2" w:space="1" w:color="632423" w:themeColor="accent2" w:themeShade="80"/>
        <w:bottom w:val="dotted" w:sz="2" w:space="6" w:color="632423" w:themeColor="accent2" w:themeShade="80"/>
      </w:pBdr>
      <w:spacing w:before="500" w:after="300" w:line="240" w:lineRule="auto"/>
      <w:jc w:val="center"/>
    </w:pPr>
    <w:rPr>
      <w:caps/>
      <w:color w:val="632423" w:themeColor="accent2" w:themeShade="80"/>
      <w:spacing w:val="50"/>
      <w:sz w:val="44"/>
      <w:szCs w:val="44"/>
    </w:rPr>
  </w:style>
  <w:style w:type="character" w:customStyle="1" w:styleId="NzovChar">
    <w:name w:val="Názov Char"/>
    <w:basedOn w:val="Predvolenpsmoodseku"/>
    <w:link w:val="Nzov"/>
    <w:uiPriority w:val="10"/>
    <w:rsid w:val="00BE22CC"/>
    <w:rPr>
      <w:rFonts w:eastAsiaTheme="majorEastAsia" w:cstheme="majorBidi"/>
      <w:caps/>
      <w:color w:val="632423" w:themeColor="accent2" w:themeShade="80"/>
      <w:spacing w:val="50"/>
      <w:sz w:val="44"/>
      <w:szCs w:val="4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E22CC"/>
    <w:pPr>
      <w:spacing w:after="560" w:line="240" w:lineRule="auto"/>
      <w:jc w:val="center"/>
    </w:pPr>
    <w:rPr>
      <w:caps/>
      <w:spacing w:val="20"/>
      <w:sz w:val="18"/>
      <w:szCs w:val="18"/>
    </w:rPr>
  </w:style>
  <w:style w:type="character" w:customStyle="1" w:styleId="PodtitulChar">
    <w:name w:val="Podtitul Char"/>
    <w:basedOn w:val="Predvolenpsmoodseku"/>
    <w:link w:val="Podtitul"/>
    <w:uiPriority w:val="11"/>
    <w:rsid w:val="00BE22CC"/>
    <w:rPr>
      <w:rFonts w:eastAsiaTheme="majorEastAsia" w:cstheme="majorBidi"/>
      <w:caps/>
      <w:spacing w:val="20"/>
      <w:sz w:val="18"/>
      <w:szCs w:val="18"/>
    </w:rPr>
  </w:style>
  <w:style w:type="character" w:styleId="Siln">
    <w:name w:val="Strong"/>
    <w:uiPriority w:val="22"/>
    <w:qFormat/>
    <w:rsid w:val="00BE22CC"/>
    <w:rPr>
      <w:b/>
      <w:bCs/>
      <w:color w:val="943634" w:themeColor="accent2" w:themeShade="BF"/>
      <w:spacing w:val="5"/>
    </w:rPr>
  </w:style>
  <w:style w:type="character" w:styleId="Zvraznenie">
    <w:name w:val="Emphasis"/>
    <w:uiPriority w:val="20"/>
    <w:qFormat/>
    <w:rsid w:val="00BE22CC"/>
    <w:rPr>
      <w:caps/>
      <w:spacing w:val="5"/>
      <w:sz w:val="20"/>
      <w:szCs w:val="20"/>
    </w:rPr>
  </w:style>
  <w:style w:type="paragraph" w:styleId="Bezriadkovania">
    <w:name w:val="No Spacing"/>
    <w:basedOn w:val="Normlny"/>
    <w:link w:val="BezriadkovaniaChar"/>
    <w:uiPriority w:val="1"/>
    <w:qFormat/>
    <w:rsid w:val="00BE22CC"/>
    <w:pPr>
      <w:spacing w:after="0" w:line="240" w:lineRule="auto"/>
    </w:pPr>
  </w:style>
  <w:style w:type="character" w:customStyle="1" w:styleId="BezriadkovaniaChar">
    <w:name w:val="Bez riadkovania Char"/>
    <w:basedOn w:val="Predvolenpsmoodseku"/>
    <w:link w:val="Bezriadkovania"/>
    <w:uiPriority w:val="1"/>
    <w:rsid w:val="00BE22CC"/>
  </w:style>
  <w:style w:type="paragraph" w:styleId="Odsekzoznamu">
    <w:name w:val="List Paragraph"/>
    <w:basedOn w:val="Normlny"/>
    <w:uiPriority w:val="34"/>
    <w:qFormat/>
    <w:rsid w:val="00BE22CC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BE22CC"/>
    <w:rPr>
      <w:i/>
      <w:iCs/>
    </w:rPr>
  </w:style>
  <w:style w:type="character" w:customStyle="1" w:styleId="CitciaChar">
    <w:name w:val="Citácia Char"/>
    <w:basedOn w:val="Predvolenpsmoodseku"/>
    <w:link w:val="Citcia"/>
    <w:uiPriority w:val="29"/>
    <w:rsid w:val="00BE22CC"/>
    <w:rPr>
      <w:rFonts w:eastAsiaTheme="majorEastAsia" w:cstheme="majorBidi"/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E22CC"/>
    <w:pPr>
      <w:pBdr>
        <w:top w:val="dotted" w:sz="2" w:space="10" w:color="632423" w:themeColor="accent2" w:themeShade="80"/>
        <w:bottom w:val="dotted" w:sz="2" w:space="4" w:color="632423" w:themeColor="accent2" w:themeShade="80"/>
      </w:pBdr>
      <w:spacing w:before="160" w:line="300" w:lineRule="auto"/>
      <w:ind w:left="1440" w:right="1440"/>
    </w:pPr>
    <w:rPr>
      <w:caps/>
      <w:color w:val="622423" w:themeColor="accent2" w:themeShade="7F"/>
      <w:spacing w:val="5"/>
      <w:sz w:val="20"/>
      <w:szCs w:val="20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E22CC"/>
    <w:rPr>
      <w:rFonts w:eastAsiaTheme="majorEastAsia" w:cstheme="majorBidi"/>
      <w:caps/>
      <w:color w:val="622423" w:themeColor="accent2" w:themeShade="7F"/>
      <w:spacing w:val="5"/>
      <w:sz w:val="20"/>
      <w:szCs w:val="20"/>
    </w:rPr>
  </w:style>
  <w:style w:type="character" w:styleId="Jemnzvraznenie">
    <w:name w:val="Subtle Emphasis"/>
    <w:uiPriority w:val="19"/>
    <w:qFormat/>
    <w:rsid w:val="00BE22CC"/>
    <w:rPr>
      <w:i/>
      <w:iCs/>
    </w:rPr>
  </w:style>
  <w:style w:type="character" w:styleId="Intenzvnezvraznenie">
    <w:name w:val="Intense Emphasis"/>
    <w:uiPriority w:val="21"/>
    <w:qFormat/>
    <w:rsid w:val="00BE22CC"/>
    <w:rPr>
      <w:i/>
      <w:iCs/>
      <w:caps/>
      <w:spacing w:val="10"/>
      <w:sz w:val="20"/>
      <w:szCs w:val="20"/>
    </w:rPr>
  </w:style>
  <w:style w:type="character" w:styleId="Jemnodkaz">
    <w:name w:val="Subtle Reference"/>
    <w:basedOn w:val="Predvolenpsmoodseku"/>
    <w:uiPriority w:val="31"/>
    <w:qFormat/>
    <w:rsid w:val="00BE22CC"/>
    <w:rPr>
      <w:rFonts w:asciiTheme="minorHAnsi" w:eastAsiaTheme="minorEastAsia" w:hAnsiTheme="minorHAnsi" w:cstheme="minorBidi"/>
      <w:i/>
      <w:iCs/>
      <w:color w:val="622423" w:themeColor="accent2" w:themeShade="7F"/>
    </w:rPr>
  </w:style>
  <w:style w:type="character" w:styleId="Intenzvnyodkaz">
    <w:name w:val="Intense Reference"/>
    <w:uiPriority w:val="32"/>
    <w:qFormat/>
    <w:rsid w:val="00BE22CC"/>
    <w:rPr>
      <w:rFonts w:asciiTheme="minorHAnsi" w:eastAsiaTheme="minorEastAsia" w:hAnsiTheme="minorHAnsi" w:cstheme="minorBidi"/>
      <w:b/>
      <w:bCs/>
      <w:i/>
      <w:iCs/>
      <w:color w:val="622423" w:themeColor="accent2" w:themeShade="7F"/>
    </w:rPr>
  </w:style>
  <w:style w:type="character" w:styleId="Nzovknihy">
    <w:name w:val="Book Title"/>
    <w:uiPriority w:val="33"/>
    <w:qFormat/>
    <w:rsid w:val="00BE22CC"/>
    <w:rPr>
      <w:caps/>
      <w:color w:val="622423" w:themeColor="accent2" w:themeShade="7F"/>
      <w:spacing w:val="5"/>
      <w:u w:color="622423" w:themeColor="accent2" w:themeShade="7F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BE22CC"/>
    <w:pPr>
      <w:outlineLvl w:val="9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538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469</Words>
  <Characters>2677</Characters>
  <Application>Microsoft Office Word</Application>
  <DocSecurity>0</DocSecurity>
  <Lines>22</Lines>
  <Paragraphs>6</Paragraphs>
  <ScaleCrop>false</ScaleCrop>
  <Company/>
  <LinksUpToDate>false</LinksUpToDate>
  <CharactersWithSpaces>3140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Vasiczeek</dc:creator>
  <cp:lastModifiedBy>Lubka</cp:lastModifiedBy>
  <cp:revision>2</cp:revision>
  <dcterms:created xsi:type="dcterms:W3CDTF">2019-02-06T18:50:00Z</dcterms:created>
  <dcterms:modified xsi:type="dcterms:W3CDTF">2019-02-06T18:50:00Z</dcterms:modified>
</cp:coreProperties>
</file>