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hd w:val="clear" w:color="auto" w:fill="E6E6E6"/>
        <w:spacing w:lineRule="auto" w:line="240" w:before="0" w:after="0"/>
        <w:ind w:right="284" w:hanging="0"/>
        <w:jc w:val="center"/>
        <w:rPr>
          <w:i/>
          <w:i/>
          <w:iCs/>
        </w:rPr>
      </w:pPr>
      <w:r>
        <w:rPr>
          <w:i/>
          <w:iCs/>
        </w:rPr>
        <w:t xml:space="preserve">Čl.I - Všeobecné informácie </w:t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327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Obchodné meno: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/>
            </w:pPr>
            <w:r>
              <w:rPr/>
              <w:t> </w:t>
            </w:r>
            <w:r>
              <w:rPr/>
              <w:t>Bunčiaková, s.r.o.</w:t>
            </w:r>
          </w:p>
        </w:tc>
      </w:tr>
      <w:tr>
        <w:trPr>
          <w:trHeight w:val="340" w:hRule="atLeast"/>
        </w:trPr>
        <w:tc>
          <w:tcPr>
            <w:tcW w:w="1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Sídlo:</w:t>
            </w:r>
          </w:p>
        </w:tc>
        <w:tc>
          <w:tcPr>
            <w:tcW w:w="70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Gen. M. R. Štefánika 366/68, 916 01 Stará Turá</w:t>
            </w:r>
          </w:p>
        </w:tc>
      </w:tr>
    </w:tbl>
    <w:p>
      <w:pPr>
        <w:pStyle w:val="Normal"/>
        <w:jc w:val="both"/>
        <w:rPr/>
      </w:pPr>
      <w:r>
        <w:rPr/>
        <w:t>Opis vykonávanej  činnosti účtovnej jednotky: upratovacie služby</w:t>
      </w:r>
    </w:p>
    <w:p>
      <w:pPr>
        <w:pStyle w:val="Normal"/>
        <w:jc w:val="both"/>
        <w:rPr/>
      </w:pPr>
      <w:r>
        <w:rPr/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/>
      </w:pPr>
      <w:r>
        <w:rPr/>
        <w:t>Dátum schválenia účtovnej závierky za bezprostredne predchádzajúce účtovné obdobie: 8.2.2018</w:t>
      </w:r>
    </w:p>
    <w:p>
      <w:pPr>
        <w:pStyle w:val="ListParagraph"/>
        <w:keepNext/>
        <w:numPr>
          <w:ilvl w:val="0"/>
          <w:numId w:val="0"/>
        </w:numPr>
        <w:spacing w:lineRule="auto" w:line="240" w:before="0" w:after="0"/>
        <w:ind w:left="357" w:hanging="0"/>
        <w:jc w:val="both"/>
        <w:outlineLvl w:val="1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993"/>
        <w:gridCol w:w="3402"/>
        <w:gridCol w:w="2809"/>
        <w:gridCol w:w="1554"/>
        <w:gridCol w:w="313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Právny dôvod na zostavenie účtovnej závierky </w:t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Riadna</w:t>
            </w:r>
          </w:p>
        </w:tc>
        <w:tc>
          <w:tcPr>
            <w:tcW w:w="3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Mimoriadna</w:t>
            </w:r>
          </w:p>
        </w:tc>
        <w:tc>
          <w:tcPr>
            <w:tcW w:w="3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4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1"/>
        <w:rPr>
          <w:b/>
          <w:b/>
          <w:bCs/>
        </w:rPr>
      </w:pPr>
      <w:r>
        <w:rPr>
          <w:b/>
          <w:bCs/>
        </w:rPr>
      </w:r>
    </w:p>
    <w:p>
      <w:pPr>
        <w:pStyle w:val="ListParagraph"/>
        <w:keepNext/>
        <w:numPr>
          <w:ilvl w:val="0"/>
          <w:numId w:val="2"/>
        </w:numPr>
        <w:spacing w:lineRule="auto" w:line="240" w:before="0" w:after="0"/>
        <w:ind w:left="357" w:hanging="357"/>
        <w:jc w:val="both"/>
        <w:outlineLvl w:val="1"/>
        <w:rPr>
          <w:b/>
          <w:b/>
          <w:bCs/>
        </w:rPr>
      </w:pPr>
      <w:r>
        <w:rPr/>
        <w:t>Údaje o skupine účtovných jednotiek: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971"/>
        <w:gridCol w:w="567"/>
        <w:gridCol w:w="3975"/>
        <w:gridCol w:w="558"/>
      </w:tblGrid>
      <w:tr>
        <w:trPr/>
        <w:tc>
          <w:tcPr>
            <w:tcW w:w="39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Nie je súčasťou konsolidovaného celku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X</w:t>
            </w:r>
          </w:p>
        </w:tc>
        <w:tc>
          <w:tcPr>
            <w:tcW w:w="3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            </w:t>
            </w:r>
            <w:r>
              <w:rPr/>
              <w:t xml:space="preserve">Je súčasťou konsolidovaného celku </w:t>
            </w:r>
          </w:p>
        </w:tc>
        <w:tc>
          <w:tcPr>
            <w:tcW w:w="5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ind w:left="56" w:hanging="0"/>
              <w:rPr/>
            </w:pPr>
            <w:r>
              <w:rPr/>
            </w:r>
          </w:p>
        </w:tc>
      </w:tr>
    </w:tbl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adresa, kde sa môže vyžiadať kópia konsolidovaných účtovných závierok uvedených v písmenách a) a b),</w:t>
      </w:r>
    </w:p>
    <w:p>
      <w:pPr>
        <w:pStyle w:val="ListParagraph"/>
        <w:keepNext/>
        <w:numPr>
          <w:ilvl w:val="0"/>
          <w:numId w:val="4"/>
        </w:numPr>
        <w:spacing w:lineRule="auto" w:line="240" w:before="0" w:after="0"/>
        <w:ind w:left="641" w:hanging="284"/>
        <w:jc w:val="both"/>
        <w:outlineLvl w:val="1"/>
        <w:rPr>
          <w:b/>
          <w:b/>
          <w:bCs/>
          <w:sz w:val="20"/>
          <w:szCs w:val="20"/>
        </w:rPr>
      </w:pPr>
      <w:r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>
      <w:pPr>
        <w:pStyle w:val="Normal"/>
        <w:numPr>
          <w:ilvl w:val="0"/>
          <w:numId w:val="3"/>
        </w:numPr>
        <w:tabs>
          <w:tab w:val="left" w:pos="851" w:leader="none"/>
        </w:tabs>
        <w:spacing w:lineRule="auto" w:line="240" w:before="0" w:after="0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>
      <w:pPr>
        <w:pStyle w:val="Normal"/>
        <w:tabs>
          <w:tab w:val="left" w:pos="851" w:leader="none"/>
        </w:tabs>
        <w:spacing w:lineRule="auto" w:line="240" w:before="0" w:after="0"/>
        <w:ind w:left="1077" w:hanging="0"/>
        <w:jc w:val="both"/>
        <w:rPr/>
      </w:pPr>
      <w:r>
        <w:rPr/>
      </w:r>
    </w:p>
    <w:tbl>
      <w:tblPr>
        <w:tblW w:w="4700" w:type="pct"/>
        <w:jc w:val="center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a0"/>
      </w:tblPr>
      <w:tblGrid>
        <w:gridCol w:w="775"/>
        <w:gridCol w:w="6477"/>
        <w:gridCol w:w="1275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2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BO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ListParagraph"/>
              <w:spacing w:lineRule="auto" w:line="240" w:before="0" w:after="0"/>
              <w:rPr/>
            </w:pPr>
            <w:r>
              <w:rPr/>
              <w:t xml:space="preserve">  </w:t>
            </w:r>
            <w:r>
              <w:rPr/>
              <w:t>7</w:t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357" w:hanging="0"/>
              <w:jc w:val="both"/>
              <w:outlineLvl w:val="1"/>
              <w:rPr/>
            </w:pPr>
            <w:r>
              <w:rPr/>
            </w:r>
          </w:p>
        </w:tc>
        <w:tc>
          <w:tcPr>
            <w:tcW w:w="64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0"/>
              </w:numPr>
              <w:spacing w:lineRule="auto" w:line="240" w:before="0" w:after="0"/>
              <w:ind w:left="0" w:hanging="0"/>
              <w:outlineLvl w:val="1"/>
              <w:rPr/>
            </w:pPr>
            <w:r>
              <w:rPr/>
              <w:t>Priemerný prepočítaný počet zamestnancov  PO</w:t>
            </w:r>
          </w:p>
        </w:tc>
        <w:tc>
          <w:tcPr>
            <w:tcW w:w="12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ListParagraph"/>
              <w:spacing w:lineRule="auto" w:line="240" w:before="0" w:after="0"/>
              <w:rPr/>
            </w:pPr>
            <w:r>
              <w:rPr/>
              <w:t xml:space="preserve">  </w:t>
            </w:r>
            <w:r>
              <w:rPr/>
              <w:t>9</w:t>
            </w:r>
          </w:p>
        </w:tc>
      </w:tr>
    </w:tbl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before="0" w:after="0"/>
        <w:ind w:left="705" w:hanging="705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 - Informácie o orgánoch spoločnosti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jc w:val="both"/>
        <w:rPr/>
      </w:pPr>
      <w:r>
        <w:rPr/>
        <w:t>Informácie o orgánoch účtovnej jednotky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A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240"/>
        <w:gridCol w:w="8"/>
        <w:gridCol w:w="1705"/>
        <w:gridCol w:w="278"/>
        <w:gridCol w:w="712"/>
        <w:gridCol w:w="988"/>
        <w:gridCol w:w="147"/>
        <w:gridCol w:w="141"/>
        <w:gridCol w:w="1279"/>
      </w:tblGrid>
      <w:tr>
        <w:trPr>
          <w:trHeight w:val="57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rPr>
                <w:b/>
                <w:b/>
                <w:bCs/>
              </w:rPr>
            </w:pPr>
            <w:r>
              <w:rPr/>
              <w:t>a</w:t>
            </w:r>
            <w:r>
              <w:rPr>
                <w:b/>
                <w:bCs/>
              </w:rPr>
              <w:t xml:space="preserve">)Výška jednotlivých druhov záruk alebo iných zabezpečení pre členov štatutárneho orgánu, </w:t>
            </w:r>
          </w:p>
          <w:p>
            <w:pPr>
              <w:pStyle w:val="Normal"/>
              <w:spacing w:before="0" w:after="0"/>
              <w:rPr/>
            </w:pPr>
            <w:r>
              <w:rPr>
                <w:b/>
                <w:bCs/>
              </w:rPr>
              <w:t>dozorného orgánu a iného orgánu ÚJ</w:t>
            </w:r>
          </w:p>
        </w:tc>
      </w:tr>
      <w:tr>
        <w:trPr>
          <w:trHeight w:val="57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Druh záruky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847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7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42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  <w:t>b</w:t>
            </w:r>
            <w:r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>
        <w:trPr>
          <w:trHeight w:val="340" w:hRule="atLeast"/>
        </w:trPr>
        <w:tc>
          <w:tcPr>
            <w:tcW w:w="424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Autospacing="1"/>
              <w:rPr/>
            </w:pPr>
            <w:r>
              <w:rPr/>
            </w:r>
          </w:p>
        </w:tc>
        <w:tc>
          <w:tcPr>
            <w:tcW w:w="171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jc w:val="both"/>
              <w:rPr/>
            </w:pPr>
            <w:r>
              <w:rPr/>
              <w:t>1.Celková suma poskytnutých pôžičiek k poslednému dňu účtovného obdobia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2.Celková suma splatených pôžičiek k poslednému dňu účtovného obdobia</w:t>
            </w:r>
          </w:p>
        </w:tc>
      </w:tr>
      <w:tr>
        <w:trPr>
          <w:trHeight w:val="368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lineRule="auto" w:line="240" w:before="0" w:after="0"/>
              <w:rPr/>
            </w:pPr>
            <w:r>
              <w:rPr/>
              <w:t>3.Celková suma odpustených pôžičiek a odpísaných pôžičiek k poslednému dňu účtovného obdobia</w:t>
            </w:r>
          </w:p>
        </w:tc>
      </w:tr>
      <w:tr>
        <w:trPr>
          <w:trHeight w:val="422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tabs>
                <w:tab w:val="left" w:pos="851" w:leader="none"/>
              </w:tabs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705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99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6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127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9498" w:type="dxa"/>
            <w:gridSpan w:val="9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d)</w:t>
            </w:r>
            <w:r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Štatutárny orgán</w:t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BO</w:t>
            </w:r>
          </w:p>
        </w:tc>
        <w:tc>
          <w:tcPr>
            <w:tcW w:w="1567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/>
              <w:t>PO</w:t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2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7" w:type="dxa"/>
            <w:gridSpan w:val="3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248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3" w:type="dxa"/>
            <w:gridSpan w:val="2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70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1567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Čl.III - Informácie o prijatých postupoch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76"/>
        <w:gridCol w:w="6511"/>
        <w:gridCol w:w="824"/>
        <w:gridCol w:w="291"/>
        <w:gridCol w:w="579"/>
        <w:gridCol w:w="290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ListParagraph"/>
              <w:keepNext/>
              <w:numPr>
                <w:ilvl w:val="0"/>
                <w:numId w:val="6"/>
              </w:numPr>
              <w:spacing w:lineRule="auto" w:line="240" w:before="0" w:after="0"/>
              <w:ind w:left="357" w:hanging="357"/>
              <w:jc w:val="both"/>
              <w:outlineLvl w:val="1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Účtovná jednotka(ÚJ) bude nepretržite pokračovať vo svoje činnosti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65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Zmeny účtovných zásad a metód</w:t>
            </w:r>
          </w:p>
        </w:tc>
        <w:tc>
          <w:tcPr>
            <w:tcW w:w="8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ÁNO</w:t>
            </w:r>
          </w:p>
        </w:tc>
        <w:tc>
          <w:tcPr>
            <w:tcW w:w="2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NIE</w:t>
            </w:r>
          </w:p>
        </w:tc>
        <w:tc>
          <w:tcPr>
            <w:tcW w:w="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ListParagraph"/>
        <w:spacing w:lineRule="auto" w:line="240" w:before="0" w:after="0"/>
        <w:ind w:left="357" w:hanging="0"/>
        <w:jc w:val="both"/>
        <w:rPr/>
      </w:pPr>
      <w:r>
        <w:rPr/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>
      <w:pPr>
        <w:pStyle w:val="Normal"/>
        <w:spacing w:lineRule="auto" w:line="240" w:before="0" w:after="0"/>
        <w:ind w:left="360" w:right="-468" w:hanging="0"/>
        <w:jc w:val="both"/>
        <w:rPr>
          <w:i/>
          <w:i/>
          <w:iCs/>
        </w:rPr>
      </w:pPr>
      <w:r>
        <w:rPr>
          <w:i/>
          <w:iCs/>
        </w:rPr>
      </w:r>
    </w:p>
    <w:p>
      <w:pPr>
        <w:pStyle w:val="Normal"/>
        <w:numPr>
          <w:ilvl w:val="0"/>
          <w:numId w:val="6"/>
        </w:numPr>
        <w:spacing w:lineRule="auto" w:line="240" w:before="0" w:after="0"/>
        <w:rPr/>
      </w:pPr>
      <w:r>
        <w:rPr/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>
      <w:pPr>
        <w:pStyle w:val="Normal"/>
        <w:widowControl w:val="false"/>
        <w:spacing w:before="0" w:after="0"/>
        <w:jc w:val="center"/>
        <w:rPr>
          <w:i/>
          <w:i/>
          <w:iCs/>
        </w:rPr>
      </w:pPr>
      <w:r>
        <w:rPr>
          <w:i/>
          <w:iCs/>
        </w:rPr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76"/>
        <w:gridCol w:w="8495"/>
      </w:tblGrid>
      <w:tr>
        <w:trPr>
          <w:trHeight w:val="340" w:hRule="exact"/>
        </w:trPr>
        <w:tc>
          <w:tcPr>
            <w:tcW w:w="5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4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b/>
                <w:b/>
                <w:bCs/>
              </w:rPr>
            </w:pPr>
            <w:r>
              <w:rPr>
                <w:b/>
                <w:bCs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Obstarávacou cenou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/>
            </w:pPr>
            <w:r>
              <w:rPr/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Vlastnými nákladmi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Reálnou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>
          <w:trHeight w:val="227" w:hRule="atLeast"/>
        </w:trPr>
        <w:tc>
          <w:tcPr>
            <w:tcW w:w="907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Úbytok zásob rovnakého druhu sa účtuje v ocenení: 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Metódou FIFO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 </w:t>
            </w:r>
            <w:r>
              <w:rPr/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227" w:hRule="atLeast"/>
        </w:trPr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Daň z príjmov splatná - menovitá hodnota, daň sa  určuje z účtovného zisku pred zdanením pri sadzbe 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jc w:val="center"/>
              <w:rPr/>
            </w:pPr>
            <w:r>
              <w:rPr/>
              <w:t>X</w:t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rPr/>
            </w:pPr>
            <w:r>
              <w:rPr/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jc w:val="right"/>
              <w:rPr/>
            </w:pPr>
            <w:r>
              <w:rPr/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  <w:p>
            <w:pPr>
              <w:pStyle w:val="Normal"/>
              <w:spacing w:before="0" w:after="0"/>
              <w:rPr/>
            </w:pPr>
            <w:r>
              <w:rPr/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Odborným odhadom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58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tbl>
      <w:tblPr>
        <w:tblW w:w="9089" w:type="dxa"/>
        <w:jc w:val="left"/>
        <w:tblInd w:w="-6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ListParagraph"/>
              <w:numPr>
                <w:ilvl w:val="0"/>
                <w:numId w:val="7"/>
              </w:numPr>
              <w:spacing w:lineRule="auto" w:line="240" w:before="0" w:after="0"/>
              <w:ind w:left="641" w:hanging="284"/>
              <w:jc w:val="both"/>
              <w:rPr/>
            </w:pPr>
            <w:r>
              <w:rPr/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ListParagraph"/>
              <w:spacing w:lineRule="auto" w:line="240" w:before="0" w:after="0"/>
              <w:ind w:left="641" w:hanging="0"/>
              <w:jc w:val="both"/>
              <w:rPr/>
            </w:pPr>
            <w:r>
              <w:rPr/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5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  <w:tc>
          <w:tcPr>
            <w:tcW w:w="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Určenie ocenenia finančných nástrojov alebo majetku, ktorý nie je finančným nástrojom pri oceňovaní reálnou hodnotou, a to: </w:t>
      </w:r>
      <w:r>
        <w:rPr>
          <w:u w:val="single"/>
        </w:rPr>
        <w:t>- bez náplne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ind w:left="1066" w:hanging="357"/>
        <w:jc w:val="both"/>
        <w:rPr/>
      </w:pPr>
      <w:r>
        <w:rPr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>
      <w:pPr>
        <w:pStyle w:val="ListParagraph"/>
        <w:numPr>
          <w:ilvl w:val="0"/>
          <w:numId w:val="8"/>
        </w:numPr>
        <w:spacing w:lineRule="auto" w:line="240" w:before="0" w:after="0"/>
        <w:jc w:val="both"/>
        <w:rPr/>
      </w:pPr>
      <w:r>
        <w:rPr/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/>
        <w:t>Určenie ocenenia finančných nástrojov alebo majetku, ktorý nie je finančným nástrojom pri oceňovaní obstarávacou cenou alebo vlastnými nákladmi, a to</w:t>
      </w:r>
      <w:r>
        <w:rPr>
          <w:b/>
          <w:bCs/>
        </w:rPr>
        <w:t xml:space="preserve">: </w:t>
      </w:r>
      <w:r>
        <w:rPr>
          <w:u w:val="single"/>
        </w:rPr>
        <w:t>- bez náplne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ind w:left="1066" w:hanging="357"/>
        <w:jc w:val="both"/>
        <w:rPr/>
      </w:pPr>
      <w:r>
        <w:rPr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>
      <w:pPr>
        <w:pStyle w:val="ListParagraph"/>
        <w:numPr>
          <w:ilvl w:val="0"/>
          <w:numId w:val="9"/>
        </w:numPr>
        <w:spacing w:lineRule="auto" w:line="240" w:before="0" w:after="0"/>
        <w:jc w:val="both"/>
        <w:rPr/>
      </w:pPr>
      <w:r>
        <w:rPr/>
        <w:t xml:space="preserve">pri dlhodobom finančnom majetku, ktorý sa vykazuje vo vyššej hodnote ako je jeho reálna hodnota, sa uvádza </w:t>
      </w:r>
    </w:p>
    <w:p>
      <w:pPr>
        <w:pStyle w:val="ListParagraph"/>
        <w:numPr>
          <w:ilvl w:val="0"/>
          <w:numId w:val="10"/>
        </w:numPr>
        <w:spacing w:lineRule="auto" w:line="240" w:before="0" w:after="0"/>
        <w:ind w:left="1418" w:hanging="284"/>
        <w:jc w:val="both"/>
        <w:rPr/>
      </w:pPr>
      <w:r>
        <w:rPr/>
        <w:t>účtovná hodnota a reálna hodnota za jednotlivé položky majetku alebo skupiny týchto jednotlivých položiek majetku,</w:t>
      </w:r>
    </w:p>
    <w:p>
      <w:pPr>
        <w:pStyle w:val="ListParagraph"/>
        <w:numPr>
          <w:ilvl w:val="0"/>
          <w:numId w:val="11"/>
        </w:numPr>
        <w:spacing w:lineRule="auto" w:line="240" w:before="0" w:after="0"/>
        <w:ind w:left="1418" w:hanging="284"/>
        <w:jc w:val="both"/>
        <w:rPr/>
      </w:pPr>
      <w:r>
        <w:rPr/>
        <w:t>dôvod pre nezníženie účtovnej hodnoty vrátane povahy dôkazov pre predpoklad, že sa účtovná hodnota opätovne dosiahne,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u w:val="single"/>
        </w:rPr>
      </w:pPr>
      <w:r>
        <w:rPr/>
        <w:t xml:space="preserve">Stanovenie metódy vlastného imania </w:t>
      </w:r>
      <w:r>
        <w:rPr>
          <w:u w:val="single"/>
        </w:rPr>
        <w:t>:- bez náplne</w:t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/>
      </w:pPr>
      <w:r>
        <w:rPr>
          <w:kern w:val="2"/>
          <w:lang w:eastAsia="sk-SK"/>
        </w:rPr>
        <w:t>Tvorba odpisového plánu pre dlhodobý majetok, pričom sa uvádza doba odpisovania, sadzby odpisov a odpisové metódy pre účtovné odpisy:</w:t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7195"/>
        <w:gridCol w:w="1539"/>
        <w:gridCol w:w="1"/>
        <w:gridCol w:w="337"/>
      </w:tblGrid>
      <w:tr>
        <w:trPr/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bCs/>
              </w:rPr>
              <w:t>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1217" w:hRule="atLeast"/>
        </w:trPr>
        <w:tc>
          <w:tcPr>
            <w:tcW w:w="873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bCs/>
              </w:rPr>
              <w:t>nerovnajú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2400,-eur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  <w:tr>
        <w:trPr>
          <w:trHeight w:val="340" w:hRule="atLeast"/>
        </w:trPr>
        <w:tc>
          <w:tcPr>
            <w:tcW w:w="71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/>
              <w:t>1700,-eur</w:t>
            </w:r>
          </w:p>
        </w:tc>
        <w:tc>
          <w:tcPr>
            <w:tcW w:w="33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X</w:t>
            </w:r>
          </w:p>
        </w:tc>
      </w:tr>
    </w:tbl>
    <w:p>
      <w:pPr>
        <w:pStyle w:val="Normal"/>
        <w:rPr/>
      </w:pPr>
      <w:r>
        <w:rPr/>
      </w:r>
    </w:p>
    <w:tbl>
      <w:tblPr>
        <w:tblW w:w="9072" w:type="dxa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085"/>
        <w:gridCol w:w="979"/>
        <w:gridCol w:w="1179"/>
        <w:gridCol w:w="1177"/>
        <w:gridCol w:w="1009"/>
        <w:gridCol w:w="1642"/>
      </w:tblGrid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Majetok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 xml:space="preserve">Odpisová skupina 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Doba odpisovania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Lineárne odpisy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Zrýchlené odpisy</w:t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Osobný automobil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1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4 roky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Stroje na čistenie</w:t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2</w:t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6 rokov</w:t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  <w:t>X</w:t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3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0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6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jc w:val="both"/>
        <w:rPr/>
      </w:pPr>
      <w:r>
        <w:rPr/>
      </w:r>
    </w:p>
    <w:p>
      <w:pPr>
        <w:pStyle w:val="ListParagraph"/>
        <w:numPr>
          <w:ilvl w:val="0"/>
          <w:numId w:val="7"/>
        </w:numPr>
        <w:spacing w:lineRule="auto" w:line="240" w:before="0" w:after="0"/>
        <w:ind w:left="641" w:hanging="284"/>
        <w:jc w:val="both"/>
        <w:rPr>
          <w:kern w:val="2"/>
          <w:lang w:eastAsia="sk-SK"/>
        </w:rPr>
      </w:pPr>
      <w:r>
        <w:rPr>
          <w:kern w:val="2"/>
          <w:lang w:eastAsia="sk-SK"/>
        </w:rPr>
        <w:t>Informácia o poskytnutých dotáciách a pri dotáciách na obstaranie majetku sa uvedú zložky majetku a ich ocenenie: - bez náplne</w:t>
      </w:r>
    </w:p>
    <w:p>
      <w:pPr>
        <w:pStyle w:val="Normal"/>
        <w:spacing w:before="0" w:after="0"/>
        <w:jc w:val="both"/>
        <w:rPr/>
      </w:pPr>
      <w:r>
        <w:rPr/>
      </w:r>
    </w:p>
    <w:tbl>
      <w:tblPr>
        <w:tblW w:w="9073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3686"/>
        <w:gridCol w:w="851"/>
        <w:gridCol w:w="2126"/>
        <w:gridCol w:w="2409"/>
      </w:tblGrid>
      <w:tr>
        <w:trPr/>
        <w:tc>
          <w:tcPr>
            <w:tcW w:w="907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numPr>
                <w:ilvl w:val="0"/>
                <w:numId w:val="6"/>
              </w:numPr>
              <w:spacing w:lineRule="auto" w:line="240" w:before="0" w:after="0"/>
              <w:rPr/>
            </w:pPr>
            <w:r>
              <w:rPr/>
              <w:t xml:space="preserve">Informácia </w:t>
            </w:r>
            <w:r>
              <w:rPr>
                <w:b/>
                <w:bCs/>
              </w:rPr>
              <w:t xml:space="preserve">o </w:t>
            </w:r>
            <w:r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>
        <w:trPr>
          <w:trHeight w:val="397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ind w:right="-468" w:hanging="0"/>
              <w:jc w:val="both"/>
              <w:rPr/>
            </w:pPr>
            <w:r>
              <w:rPr/>
              <w:t>Opis</w:t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HV Bežné obdobie</w:t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+/- Vplyv na vlastné imanie</w:t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686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1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24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Čl.IV – Informácie, ktoré vysvetľujú a dopĺňajú súvahu a výkaz ziskov a strát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u w:val="single"/>
        </w:rPr>
        <w:t xml:space="preserve"> - bez náplne</w:t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u w:val="single"/>
        </w:rPr>
        <w:t xml:space="preserve"> - bez náplne</w:t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jc w:val="left"/>
        <w:tblInd w:w="-10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398"/>
        <w:gridCol w:w="2522"/>
        <w:gridCol w:w="2152"/>
      </w:tblGrid>
      <w:tr>
        <w:trPr>
          <w:trHeight w:val="340" w:hRule="atLeast"/>
        </w:trPr>
        <w:tc>
          <w:tcPr>
            <w:tcW w:w="439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before="0" w:after="0"/>
              <w:rPr>
                <w:b/>
                <w:b/>
                <w:bCs/>
              </w:rPr>
            </w:pPr>
            <w:r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</w:t>
            </w:r>
          </w:p>
        </w:tc>
      </w:tr>
      <w:tr>
        <w:trPr>
          <w:trHeight w:val="340" w:hRule="atLeast"/>
        </w:trPr>
        <w:tc>
          <w:tcPr>
            <w:tcW w:w="4398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color w:val="000000"/>
                <w:lang w:eastAsia="sk-SK"/>
              </w:rPr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numPr>
                <w:ilvl w:val="0"/>
                <w:numId w:val="15"/>
              </w:numPr>
              <w:spacing w:lineRule="auto" w:line="240" w:before="0" w:after="0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Celková suma zabezpečených záväzkov, opis a spôsoby zabezpečenia záväzkov:</w:t>
            </w:r>
          </w:p>
        </w:tc>
      </w:tr>
      <w:tr>
        <w:trPr>
          <w:trHeight w:val="340" w:hRule="atLeast"/>
        </w:trPr>
        <w:tc>
          <w:tcPr>
            <w:tcW w:w="907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Spôsob zabezpečenia: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Záložné právo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Inak zabezpečené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  <w:tr>
        <w:trPr>
          <w:trHeight w:val="340" w:hRule="atLeast"/>
        </w:trPr>
        <w:tc>
          <w:tcPr>
            <w:tcW w:w="43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Spolu</w:t>
            </w:r>
          </w:p>
        </w:tc>
        <w:tc>
          <w:tcPr>
            <w:tcW w:w="25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  <w:tc>
          <w:tcPr>
            <w:tcW w:w="21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  <w:t> </w:t>
            </w:r>
          </w:p>
        </w:tc>
      </w:tr>
    </w:tbl>
    <w:p>
      <w:pPr>
        <w:pStyle w:val="ListParagraph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o vlastných akciách: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 nadobudnutia vlastných akcií počas účtovného obdobia,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 xml:space="preserve">informácie 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>
      <w:pPr>
        <w:pStyle w:val="ListParagraph"/>
        <w:numPr>
          <w:ilvl w:val="0"/>
          <w:numId w:val="13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>
      <w:pPr>
        <w:pStyle w:val="ListParagraph"/>
        <w:numPr>
          <w:ilvl w:val="0"/>
          <w:numId w:val="14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>
      <w:pPr>
        <w:pStyle w:val="ListParagraph"/>
        <w:spacing w:lineRule="auto" w:line="240" w:before="0" w:after="0"/>
        <w:ind w:left="502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numPr>
          <w:ilvl w:val="0"/>
          <w:numId w:val="12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A"/>
          <w:insideH w:val="single" w:sz="4" w:space="0" w:color="000001"/>
          <w:insideV w:val="single" w:sz="4" w:space="0" w:color="00000A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4106"/>
        <w:gridCol w:w="3972"/>
        <w:gridCol w:w="1420"/>
      </w:tblGrid>
      <w:tr>
        <w:trPr>
          <w:trHeight w:val="340" w:hRule="atLeast"/>
        </w:trPr>
        <w:tc>
          <w:tcPr>
            <w:tcW w:w="41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Popis nákladov ,výnosov výnimočného rozsahu</w:t>
            </w:r>
          </w:p>
        </w:tc>
        <w:tc>
          <w:tcPr>
            <w:tcW w:w="3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  <w:t>EUR</w:t>
            </w:r>
          </w:p>
        </w:tc>
      </w:tr>
      <w:tr>
        <w:trPr>
          <w:trHeight w:val="340" w:hRule="atLeast"/>
        </w:trPr>
        <w:tc>
          <w:tcPr>
            <w:tcW w:w="4106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2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  <w:tr>
        <w:trPr>
          <w:trHeight w:val="340" w:hRule="atLeast"/>
        </w:trPr>
        <w:tc>
          <w:tcPr>
            <w:tcW w:w="4106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3972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  <w:tc>
          <w:tcPr>
            <w:tcW w:w="1420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TopHeader"/>
              <w:jc w:val="left"/>
              <w:rPr>
                <w:b w:val="false"/>
                <w:b w:val="false"/>
                <w:bCs w:val="false"/>
              </w:rPr>
            </w:pPr>
            <w:r>
              <w:rPr>
                <w:b w:val="false"/>
                <w:bCs w:val="false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 - Informácie o iných aktívach a iných pasívach </w:t>
      </w:r>
    </w:p>
    <w:p>
      <w:pPr>
        <w:pStyle w:val="Normal"/>
        <w:rPr/>
      </w:pPr>
      <w:r>
        <w:rPr/>
      </w:r>
    </w:p>
    <w:p>
      <w:pPr>
        <w:pStyle w:val="ListParagraph"/>
        <w:numPr>
          <w:ilvl w:val="0"/>
          <w:numId w:val="16"/>
        </w:numPr>
        <w:spacing w:lineRule="auto" w:line="240" w:before="0" w:after="0"/>
        <w:ind w:left="357" w:hanging="357"/>
        <w:jc w:val="both"/>
        <w:rPr>
          <w:lang w:eastAsia="sk-SK"/>
        </w:rPr>
      </w:pPr>
      <w:r>
        <w:rPr>
          <w:lang w:eastAsia="sk-SK"/>
        </w:rPr>
        <w:t>Informácie k iným aktívam a iným pasívam :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>
      <w:pPr>
        <w:pStyle w:val="ListParagraph"/>
        <w:numPr>
          <w:ilvl w:val="0"/>
          <w:numId w:val="17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ListParagraph"/>
        <w:numPr>
          <w:ilvl w:val="0"/>
          <w:numId w:val="18"/>
        </w:numPr>
        <w:spacing w:lineRule="auto" w:line="240" w:before="0" w:after="0"/>
        <w:ind w:left="1077" w:hanging="357"/>
        <w:jc w:val="both"/>
        <w:rPr>
          <w:lang w:eastAsia="sk-SK"/>
        </w:rPr>
      </w:pPr>
      <w:r>
        <w:rPr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ListParagraph"/>
        <w:spacing w:lineRule="auto" w:line="240" w:before="0" w:after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spacing w:before="0" w:after="0"/>
        <w:ind w:right="-471" w:hanging="0"/>
        <w:rPr/>
      </w:pPr>
      <w:r>
        <w:rPr/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p>
      <w:pPr>
        <w:pStyle w:val="ListParagraph"/>
        <w:spacing w:lineRule="auto" w:line="240" w:before="0" w:after="0"/>
        <w:ind w:left="357" w:hanging="0"/>
        <w:jc w:val="both"/>
        <w:rPr>
          <w:lang w:eastAsia="sk-SK"/>
        </w:rPr>
      </w:pPr>
      <w:r>
        <w:rPr>
          <w:lang w:eastAsia="sk-SK"/>
        </w:rPr>
      </w:r>
    </w:p>
    <w:tbl>
      <w:tblPr>
        <w:tblW w:w="9498" w:type="dxa"/>
        <w:jc w:val="left"/>
        <w:tblInd w:w="-106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88" w:type="dxa"/>
          <w:bottom w:w="0" w:type="dxa"/>
          <w:right w:w="108" w:type="dxa"/>
        </w:tblCellMar>
        <w:tblLook w:val="00a0"/>
      </w:tblPr>
      <w:tblGrid>
        <w:gridCol w:w="5670"/>
        <w:gridCol w:w="1985"/>
        <w:gridCol w:w="1843"/>
      </w:tblGrid>
      <w:tr>
        <w:trPr/>
        <w:tc>
          <w:tcPr>
            <w:tcW w:w="9498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ListParagraph"/>
              <w:numPr>
                <w:ilvl w:val="0"/>
                <w:numId w:val="16"/>
              </w:numPr>
              <w:spacing w:lineRule="auto" w:line="240" w:before="0" w:after="0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Účet</w:t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  <w:t>EUR</w:t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ListParagraph"/>
              <w:spacing w:lineRule="auto" w:line="240" w:before="0" w:after="0"/>
              <w:ind w:left="0" w:hanging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1"/>
              <w:left w:val="single" w:sz="4" w:space="0" w:color="00000A"/>
              <w:bottom w:val="single" w:sz="4" w:space="0" w:color="00000A"/>
              <w:right w:val="single" w:sz="4" w:space="0" w:color="000001"/>
              <w:insideH w:val="single" w:sz="4" w:space="0" w:color="00000A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5670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985" w:type="dxa"/>
            <w:tcBorders>
              <w:top w:val="single" w:sz="4" w:space="0" w:color="00000A"/>
              <w:left w:val="single" w:sz="4" w:space="0" w:color="000001"/>
              <w:bottom w:val="single" w:sz="4" w:space="0" w:color="000001"/>
              <w:right w:val="single" w:sz="4" w:space="0" w:color="00000A"/>
              <w:insideH w:val="single" w:sz="4" w:space="0" w:color="000001"/>
              <w:insideV w:val="single" w:sz="4" w:space="0" w:color="00000A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  <w:tc>
          <w:tcPr>
            <w:tcW w:w="1843" w:type="dxa"/>
            <w:tcBorders>
              <w:top w:val="single" w:sz="4" w:space="0" w:color="00000A"/>
              <w:left w:val="single" w:sz="4" w:space="0" w:color="00000A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88" w:type="dxa"/>
            </w:tcMar>
          </w:tcPr>
          <w:p>
            <w:pPr>
              <w:pStyle w:val="Normal"/>
              <w:spacing w:before="0" w:after="0"/>
              <w:jc w:val="both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 – Udalosti ,ktoré nastali po dni ,ku ktorému sa zostavuje účtovná závierka </w:t>
      </w:r>
    </w:p>
    <w:p>
      <w:pPr>
        <w:pStyle w:val="Normal"/>
        <w:rPr/>
      </w:pPr>
      <w:r>
        <w:rPr/>
      </w:r>
    </w:p>
    <w:p>
      <w:pPr>
        <w:pStyle w:val="ListParagraph"/>
        <w:spacing w:lineRule="auto" w:line="240" w:before="0" w:after="0"/>
        <w:ind w:left="0" w:hanging="0"/>
        <w:jc w:val="both"/>
        <w:rPr>
          <w:lang w:eastAsia="sk-SK"/>
        </w:rPr>
      </w:pPr>
      <w:r>
        <w:rPr>
          <w:lang w:eastAsia="sk-SK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dôvody pre zmenu výšky rezerv a opravných položiek, ktoré nastali v dôsledku udalostí po dni, ku ktorému sa zostavuje účtovná závierka do dňa zostavenia účtovnej závierky,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zmena spoločníkov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prijatie rozhodnutia o predaji účtovnej jednotky alebo jej časti,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zmeny významných položiek dlhodobého finančného majetku,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začatie alebo ukončení činnosti časti účtovnej jednotky, napríklad odštepného závodu, organizačnej zložky, prevádzkarne,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vydanie dlhopisov a iných cenných papierov,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zlúčenie, splynutie, rozdelenie a zmena právnej formy účtovnej jednotky,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mimoriadne udalosti, ak majú vplyv na hospodárenie účtovnej jednotky, napríklad o živelnej  pohrome,</w:t>
      </w:r>
    </w:p>
    <w:p>
      <w:pPr>
        <w:pStyle w:val="Normal"/>
        <w:numPr>
          <w:ilvl w:val="0"/>
          <w:numId w:val="1"/>
        </w:numPr>
        <w:spacing w:lineRule="auto" w:line="240" w:before="0" w:after="0"/>
        <w:ind w:left="641" w:hanging="284"/>
        <w:jc w:val="both"/>
        <w:rPr>
          <w:lang w:eastAsia="sk-SK"/>
        </w:rPr>
      </w:pPr>
      <w:r>
        <w:rPr>
          <w:lang w:eastAsia="sk-SK"/>
        </w:rPr>
        <w:t>získanie alebo odobratie licencií alebo iných povolení významných pre činnosť účtovnej jednotky a podobne.</w:t>
      </w:r>
    </w:p>
    <w:p>
      <w:pPr>
        <w:pStyle w:val="Nzov"/>
        <w:spacing w:beforeAutospacing="0" w:before="0" w:after="0"/>
        <w:ind w:left="360" w:hanging="0"/>
        <w:jc w:val="left"/>
        <w:rPr/>
      </w:pPr>
      <w:r>
        <w:rPr/>
      </w:r>
    </w:p>
    <w:p>
      <w:pPr>
        <w:pStyle w:val="Normal"/>
        <w:shd w:val="clear" w:color="auto" w:fill="E6E6E6"/>
        <w:spacing w:lineRule="auto" w:line="240" w:before="0" w:after="0"/>
        <w:jc w:val="center"/>
        <w:rPr>
          <w:i/>
          <w:i/>
          <w:iCs/>
        </w:rPr>
      </w:pPr>
      <w:r>
        <w:rPr>
          <w:i/>
          <w:iCs/>
        </w:rPr>
        <w:t>Čl.VII – Ostatné informácie</w:t>
      </w:r>
    </w:p>
    <w:p>
      <w:pPr>
        <w:pStyle w:val="Normal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formách prijatej náhrady,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účtovných zásadách použitých pri prideľovaní nákladov a výnosov,</w:t>
      </w:r>
    </w:p>
    <w:p>
      <w:pPr>
        <w:pStyle w:val="Normal"/>
        <w:numPr>
          <w:ilvl w:val="0"/>
          <w:numId w:val="19"/>
        </w:numPr>
        <w:spacing w:lineRule="auto" w:line="240" w:before="0" w:after="0"/>
        <w:ind w:left="641" w:hanging="284"/>
        <w:jc w:val="both"/>
        <w:rPr/>
      </w:pPr>
      <w:r>
        <w:rPr/>
        <w:t>všetkých druhoch činností účtovnej jednotky.</w:t>
      </w:r>
    </w:p>
    <w:p>
      <w:pPr>
        <w:pStyle w:val="Normal"/>
        <w:spacing w:lineRule="auto" w:line="240" w:before="0" w:after="0"/>
        <w:ind w:left="641" w:hanging="0"/>
        <w:jc w:val="both"/>
        <w:rPr/>
      </w:pPr>
      <w:r>
        <w:rPr/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57" w:hanging="357"/>
        <w:jc w:val="both"/>
        <w:rPr/>
      </w:pPr>
      <w:r>
        <w:rPr/>
        <w:t>Informácie  účtovnej jednotky, na ktorú sa vzťahuje § 23d ods. 6 zákona</w:t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</w:r>
    </w:p>
    <w:p>
      <w:pPr>
        <w:pStyle w:val="Normal"/>
        <w:spacing w:lineRule="auto" w:line="240" w:before="0" w:after="0"/>
        <w:rPr/>
      </w:pPr>
      <w:r>
        <w:rPr/>
        <w:t>Použité  skratky:</w:t>
      </w:r>
    </w:p>
    <w:p>
      <w:pPr>
        <w:pStyle w:val="Normal"/>
        <w:spacing w:lineRule="auto" w:line="240" w:before="0" w:after="0"/>
        <w:rPr/>
      </w:pPr>
      <w:r>
        <w:rPr/>
        <w:t>ÚJ-účtovná jednotka</w:t>
      </w:r>
    </w:p>
    <w:p>
      <w:pPr>
        <w:pStyle w:val="Normal"/>
        <w:spacing w:lineRule="auto" w:line="240" w:before="0" w:after="0"/>
        <w:rPr/>
      </w:pPr>
      <w:r>
        <w:rPr/>
        <w:t>BO-bežné účtovné obdobie</w:t>
      </w:r>
    </w:p>
    <w:p>
      <w:pPr>
        <w:pStyle w:val="Normal"/>
        <w:spacing w:lineRule="auto" w:line="240" w:before="0" w:after="0"/>
        <w:rPr/>
      </w:pPr>
      <w:r>
        <w:rPr/>
        <w:t>PO-bezprostredne predchádzajúce účtovné obdobie</w:t>
      </w:r>
    </w:p>
    <w:p>
      <w:pPr>
        <w:pStyle w:val="Normal"/>
        <w:spacing w:lineRule="auto" w:line="240" w:before="0" w:after="0"/>
        <w:rPr/>
      </w:pPr>
      <w:r>
        <w:rPr/>
        <w:t>X-položka sa vzťahuje na účtovnú jednotku</w:t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2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A"/>
        <w:insideH w:val="single" w:sz="4" w:space="0" w:color="00000A"/>
        <w:insideV w:val="single" w:sz="4" w:space="0" w:color="00000A"/>
      </w:tblBorders>
      <w:tblCellMar>
        <w:top w:w="0" w:type="dxa"/>
        <w:left w:w="50" w:type="dxa"/>
        <w:bottom w:w="0" w:type="dxa"/>
        <w:right w:w="70" w:type="dxa"/>
      </w:tblCellMar>
      <w:tblLook w:val="0000"/>
    </w:tblPr>
    <w:tblGrid>
      <w:gridCol w:w="2241"/>
      <w:gridCol w:w="1700"/>
      <w:gridCol w:w="2413"/>
      <w:gridCol w:w="446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Hlavika"/>
            <w:rPr>
              <w:sz w:val="22"/>
              <w:szCs w:val="22"/>
              <w:lang w:eastAsia="en-US"/>
            </w:rPr>
          </w:pPr>
          <w:r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</w:t>
          </w:r>
          <w:r>
            <w:rPr/>
            <w:t xml:space="preserve">Rok 2018                                </w:t>
          </w:r>
        </w:p>
      </w:tc>
      <w:tc>
        <w:tcPr>
          <w:tcW w:w="241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IČO:48296180</w:t>
          </w:r>
        </w:p>
      </w:tc>
      <w:tc>
        <w:tcPr>
          <w:tcW w:w="44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50" w:type="dxa"/>
          </w:tcMar>
        </w:tcPr>
        <w:p>
          <w:pPr>
            <w:pStyle w:val="Normal"/>
            <w:spacing w:lineRule="auto" w:line="240" w:before="0" w:after="0"/>
            <w:rPr/>
          </w:pPr>
          <w:r>
            <w:rPr/>
            <w:t>DIČ:2120126965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  <w:rPr>
        <w:sz w:val="20"/>
        <w:b/>
        <w:szCs w:val="20"/>
        <w:bCs w:val="false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4">
    <w:lvl w:ilvl="0">
      <w:start w:val="1"/>
      <w:numFmt w:val="lowerLetter"/>
      <w:lvlText w:val="%1)"/>
      <w:lvlJc w:val="left"/>
      <w:pPr>
        <w:ind w:left="4329" w:hanging="360"/>
      </w:pPr>
      <w:rPr>
        <w:sz w:val="20"/>
        <w:b/>
        <w:bCs w:val="false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5">
    <w:lvl w:ilvl="0">
      <w:start w:val="1"/>
      <w:numFmt w:val="decimal"/>
      <w:lvlText w:val="(%1)"/>
      <w:lvlJc w:val="left"/>
      <w:pPr>
        <w:ind w:left="1481" w:hanging="360"/>
      </w:pPr>
      <w:rPr>
        <w:sz w:val="24"/>
        <w:i w:val="false"/>
        <w:b w:val="false"/>
        <w:szCs w:val="24"/>
        <w:iCs w:val="false"/>
        <w:bCs w:val="false"/>
        <w:rFonts w:cs="Times New Roman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1636" w:hanging="360"/>
      </w:pPr>
      <w:rPr>
        <w:sz w:val="22"/>
        <w:b w:val="false"/>
        <w:szCs w:val="22"/>
        <w:bCs w:val="false"/>
        <w:rFonts w:cs="Arial Narrow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8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641" w:hanging="284"/>
      </w:pPr>
      <w:rPr>
        <w:b/>
        <w:bCs w:val="false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6"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lvl w:ilvl="0">
      <w:start w:val="1"/>
      <w:numFmt w:val="lowerLetter"/>
      <w:lvlText w:val="%1)"/>
      <w:lvlJc w:val="left"/>
      <w:pPr>
        <w:ind w:left="1440" w:hanging="360"/>
      </w:pPr>
      <w:rPr>
        <w:sz w:val="22"/>
        <w:szCs w:val="22"/>
        <w:rFonts w:cs="Arial Narrow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  <w:num w:numId="17">
    <w:abstractNumId w:val="17"/>
  </w:num>
  <w:num w:numId="18">
    <w:abstractNumId w:val="18"/>
  </w:num>
  <w:num w:numId="19">
    <w:abstractNumId w:val="19"/>
  </w:num>
  <w:num w:numId="20">
    <w:abstractNumId w:val="20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0" w:defQFormat="0" w:count="267">
    <w:lsdException w:name="Normal" w:uiPriority="0" w:semiHidden="0" w:qFormat="1"/>
    <w:lsdException w:name="heading 1" w:uiPriority="0" w:semiHidden="0" w:qFormat="1"/>
    <w:lsdException w:name="heading 2" w:uiPriority="0" w:semiHidden="0" w:qFormat="1"/>
    <w:lsdException w:name="heading 3" w:uiPriority="0" w:semiHidden="0" w:qFormat="1"/>
    <w:lsdException w:name="heading 4" w:uiPriority="0" w:semiHidden="0" w:qFormat="1"/>
    <w:lsdException w:name="heading 5" w:uiPriority="0" w:semiHidden="0" w:qFormat="1"/>
    <w:lsdException w:name="heading 6" w:uiPriority="0" w:semiHidden="0" w:qFormat="1"/>
    <w:lsdException w:name="heading 7" w:uiPriority="0" w:semiHidden="0" w:qFormat="1"/>
    <w:lsdException w:name="heading 8" w:uiPriority="0" w:semiHidden="0" w:qFormat="1"/>
    <w:lsdException w:name="heading 9" w:uiPriority="0" w:semiHidden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uiPriority="0" w:semiHidden="0"/>
    <w:lsdException w:name="toc 2" w:uiPriority="0" w:semiHidden="0"/>
    <w:lsdException w:name="toc 3" w:uiPriority="0" w:semiHidden="0"/>
    <w:lsdException w:name="toc 4" w:uiPriority="0" w:semiHidden="0"/>
    <w:lsdException w:name="toc 5" w:uiPriority="0" w:semiHidden="0"/>
    <w:lsdException w:name="toc 6" w:uiPriority="0" w:semiHidden="0"/>
    <w:lsdException w:name="toc 7" w:uiPriority="0" w:semiHidden="0"/>
    <w:lsdException w:name="toc 8" w:uiPriority="0" w:semiHidden="0"/>
    <w:lsdException w:name="toc 9" w:uiPriority="0" w:semiHidden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uiPriority="0" w:semiHidden="0" w:qFormat="1"/>
    <w:lsdException w:name="Closing" w:locked="1" w:unhideWhenUsed="1"/>
    <w:lsdException w:name="Signature" w:locked="1" w:unhideWhenUsed="1"/>
    <w:lsdException w:name="Default Paragraph Font" w:uiPriority="0" w:semiHidden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uiPriority="0" w:semiHidden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uiPriority="0" w:semiHidden="0" w:qFormat="1"/>
    <w:lsdException w:name="Emphasis" w:uiPriority="0" w:semiHidden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uiPriority="0" w:semiHidden="0"/>
    <w:lsdException w:name="Table Theme" w:locked="1" w:unhideWhenUsed="1"/>
    <w:lsdException w:name="No Spacing" w:uiPriority="1" w:semiHidden="0" w:qFormat="1"/>
    <w:lsdException w:name="Light Shading" w:uiPriority="60" w:semiHidden="0"/>
    <w:lsdException w:name="Light List" w:uiPriority="61" w:semiHidden="0"/>
    <w:lsdException w:name="Light Grid" w:uiPriority="62" w:semiHidden="0"/>
    <w:lsdException w:name="Medium Shading 1" w:uiPriority="63" w:semiHidden="0"/>
    <w:lsdException w:name="Medium Shading 2" w:uiPriority="64" w:semiHidden="0"/>
    <w:lsdException w:name="Medium List 1" w:uiPriority="65" w:semiHidden="0"/>
    <w:lsdException w:name="Medium List 2" w:uiPriority="66" w:semiHidden="0"/>
    <w:lsdException w:name="Medium Grid 1" w:uiPriority="67" w:semiHidden="0"/>
    <w:lsdException w:name="Medium Grid 2" w:uiPriority="68" w:semiHidden="0"/>
    <w:lsdException w:name="Medium Grid 3" w:uiPriority="69" w:semiHidden="0"/>
    <w:lsdException w:name="Dark List" w:uiPriority="70" w:semiHidden="0"/>
    <w:lsdException w:name="Colorful Shading" w:uiPriority="71" w:semiHidden="0"/>
    <w:lsdException w:name="Colorful List" w:uiPriority="72" w:semiHidden="0"/>
    <w:lsdException w:name="Colorful Grid" w:uiPriority="73" w:semiHidden="0"/>
    <w:lsdException w:name="Light Shading Accent 1" w:uiPriority="60" w:semiHidden="0"/>
    <w:lsdException w:name="Light List Accent 1" w:uiPriority="61" w:semiHidden="0"/>
    <w:lsdException w:name="Light Grid Accent 1" w:uiPriority="62" w:semiHidden="0"/>
    <w:lsdException w:name="Medium Shading 1 Accent 1" w:uiPriority="63" w:semiHidden="0"/>
    <w:lsdException w:name="Medium Shading 2 Accent 1" w:uiPriority="64" w:semiHidden="0"/>
    <w:lsdException w:name="Medium List 1 Accent 1" w:uiPriority="65" w:semiHidden="0"/>
    <w:lsdException w:name="List Paragraph" w:uiPriority="34" w:semiHidden="0" w:qFormat="1"/>
    <w:lsdException w:name="Quote" w:uiPriority="29" w:semiHidden="0" w:qFormat="1"/>
    <w:lsdException w:name="Intense Quote" w:uiPriority="30" w:semiHidden="0" w:qFormat="1"/>
    <w:lsdException w:name="Medium List 2 Accent 1" w:uiPriority="66" w:semiHidden="0"/>
    <w:lsdException w:name="Medium Grid 1 Accent 1" w:uiPriority="67" w:semiHidden="0"/>
    <w:lsdException w:name="Medium Grid 2 Accent 1" w:uiPriority="68" w:semiHidden="0"/>
    <w:lsdException w:name="Medium Grid 3 Accent 1" w:uiPriority="69" w:semiHidden="0"/>
    <w:lsdException w:name="Dark List Accent 1" w:uiPriority="70" w:semiHidden="0"/>
    <w:lsdException w:name="Colorful Shading Accent 1" w:uiPriority="71" w:semiHidden="0"/>
    <w:lsdException w:name="Colorful List Accent 1" w:uiPriority="72" w:semiHidden="0"/>
    <w:lsdException w:name="Colorful Grid Accent 1" w:uiPriority="73" w:semiHidden="0"/>
    <w:lsdException w:name="Light Shading Accent 2" w:uiPriority="60" w:semiHidden="0"/>
    <w:lsdException w:name="Light List Accent 2" w:uiPriority="61" w:semiHidden="0"/>
    <w:lsdException w:name="Light Grid Accent 2" w:uiPriority="62" w:semiHidden="0"/>
    <w:lsdException w:name="Medium Shading 1 Accent 2" w:uiPriority="63" w:semiHidden="0"/>
    <w:lsdException w:name="Medium Shading 2 Accent 2" w:uiPriority="64" w:semiHidden="0"/>
    <w:lsdException w:name="Medium List 1 Accent 2" w:uiPriority="65" w:semiHidden="0"/>
    <w:lsdException w:name="Medium List 2 Accent 2" w:uiPriority="66" w:semiHidden="0"/>
    <w:lsdException w:name="Medium Grid 1 Accent 2" w:uiPriority="67" w:semiHidden="0"/>
    <w:lsdException w:name="Medium Grid 2 Accent 2" w:uiPriority="68" w:semiHidden="0"/>
    <w:lsdException w:name="Medium Grid 3 Accent 2" w:uiPriority="69" w:semiHidden="0"/>
    <w:lsdException w:name="Dark List Accent 2" w:uiPriority="70" w:semiHidden="0"/>
    <w:lsdException w:name="Colorful Shading Accent 2" w:uiPriority="71" w:semiHidden="0"/>
    <w:lsdException w:name="Colorful List Accent 2" w:uiPriority="72" w:semiHidden="0"/>
    <w:lsdException w:name="Colorful Grid Accent 2" w:uiPriority="73" w:semiHidden="0"/>
    <w:lsdException w:name="Light Shading Accent 3" w:uiPriority="60" w:semiHidden="0"/>
    <w:lsdException w:name="Light List Accent 3" w:uiPriority="61" w:semiHidden="0"/>
    <w:lsdException w:name="Light Grid Accent 3" w:uiPriority="62" w:semiHidden="0"/>
    <w:lsdException w:name="Medium Shading 1 Accent 3" w:uiPriority="63" w:semiHidden="0"/>
    <w:lsdException w:name="Medium Shading 2 Accent 3" w:uiPriority="64" w:semiHidden="0"/>
    <w:lsdException w:name="Medium List 1 Accent 3" w:uiPriority="65" w:semiHidden="0"/>
    <w:lsdException w:name="Medium List 2 Accent 3" w:uiPriority="66" w:semiHidden="0"/>
    <w:lsdException w:name="Medium Grid 1 Accent 3" w:uiPriority="67" w:semiHidden="0"/>
    <w:lsdException w:name="Medium Grid 2 Accent 3" w:uiPriority="68" w:semiHidden="0"/>
    <w:lsdException w:name="Medium Grid 3 Accent 3" w:uiPriority="69" w:semiHidden="0"/>
    <w:lsdException w:name="Dark List Accent 3" w:uiPriority="70" w:semiHidden="0"/>
    <w:lsdException w:name="Colorful Shading Accent 3" w:uiPriority="71" w:semiHidden="0"/>
    <w:lsdException w:name="Colorful List Accent 3" w:uiPriority="72" w:semiHidden="0"/>
    <w:lsdException w:name="Colorful Grid Accent 3" w:uiPriority="73" w:semiHidden="0"/>
    <w:lsdException w:name="Light Shading Accent 4" w:uiPriority="60" w:semiHidden="0"/>
    <w:lsdException w:name="Light List Accent 4" w:uiPriority="61" w:semiHidden="0"/>
    <w:lsdException w:name="Light Grid Accent 4" w:uiPriority="62" w:semiHidden="0"/>
    <w:lsdException w:name="Medium Shading 1 Accent 4" w:uiPriority="63" w:semiHidden="0"/>
    <w:lsdException w:name="Medium Shading 2 Accent 4" w:uiPriority="64" w:semiHidden="0"/>
    <w:lsdException w:name="Medium List 1 Accent 4" w:uiPriority="65" w:semiHidden="0"/>
    <w:lsdException w:name="Medium List 2 Accent 4" w:uiPriority="66" w:semiHidden="0"/>
    <w:lsdException w:name="Medium Grid 1 Accent 4" w:uiPriority="67" w:semiHidden="0"/>
    <w:lsdException w:name="Medium Grid 2 Accent 4" w:uiPriority="68" w:semiHidden="0"/>
    <w:lsdException w:name="Medium Grid 3 Accent 4" w:uiPriority="69" w:semiHidden="0"/>
    <w:lsdException w:name="Dark List Accent 4" w:uiPriority="70" w:semiHidden="0"/>
    <w:lsdException w:name="Colorful Shading Accent 4" w:uiPriority="71" w:semiHidden="0"/>
    <w:lsdException w:name="Colorful List Accent 4" w:uiPriority="72" w:semiHidden="0"/>
    <w:lsdException w:name="Colorful Grid Accent 4" w:uiPriority="73" w:semiHidden="0"/>
    <w:lsdException w:name="Light Shading Accent 5" w:uiPriority="60" w:semiHidden="0"/>
    <w:lsdException w:name="Light List Accent 5" w:uiPriority="61" w:semiHidden="0"/>
    <w:lsdException w:name="Light Grid Accent 5" w:uiPriority="62" w:semiHidden="0"/>
    <w:lsdException w:name="Medium Shading 1 Accent 5" w:uiPriority="63" w:semiHidden="0"/>
    <w:lsdException w:name="Medium Shading 2 Accent 5" w:uiPriority="64" w:semiHidden="0"/>
    <w:lsdException w:name="Medium List 1 Accent 5" w:uiPriority="65" w:semiHidden="0"/>
    <w:lsdException w:name="Medium List 2 Accent 5" w:uiPriority="66" w:semiHidden="0"/>
    <w:lsdException w:name="Medium Grid 1 Accent 5" w:uiPriority="67" w:semiHidden="0"/>
    <w:lsdException w:name="Medium Grid 2 Accent 5" w:uiPriority="68" w:semiHidden="0"/>
    <w:lsdException w:name="Medium Grid 3 Accent 5" w:uiPriority="69" w:semiHidden="0"/>
    <w:lsdException w:name="Dark List Accent 5" w:uiPriority="70" w:semiHidden="0"/>
    <w:lsdException w:name="Colorful Shading Accent 5" w:uiPriority="71" w:semiHidden="0"/>
    <w:lsdException w:name="Colorful List Accent 5" w:uiPriority="72" w:semiHidden="0"/>
    <w:lsdException w:name="Colorful Grid Accent 5" w:uiPriority="73" w:semiHidden="0"/>
    <w:lsdException w:name="Light Shading Accent 6" w:uiPriority="60" w:semiHidden="0"/>
    <w:lsdException w:name="Light List Accent 6" w:uiPriority="61" w:semiHidden="0"/>
    <w:lsdException w:name="Light Grid Accent 6" w:uiPriority="62" w:semiHidden="0"/>
    <w:lsdException w:name="Medium Shading 1 Accent 6" w:uiPriority="63" w:semiHidden="0"/>
    <w:lsdException w:name="Medium Shading 2 Accent 6" w:uiPriority="64" w:semiHidden="0"/>
    <w:lsdException w:name="Medium List 1 Accent 6" w:uiPriority="65" w:semiHidden="0"/>
    <w:lsdException w:name="Medium List 2 Accent 6" w:uiPriority="66" w:semiHidden="0"/>
    <w:lsdException w:name="Medium Grid 1 Accent 6" w:uiPriority="67" w:semiHidden="0"/>
    <w:lsdException w:name="Medium Grid 2 Accent 6" w:uiPriority="68" w:semiHidden="0"/>
    <w:lsdException w:name="Medium Grid 3 Accent 6" w:uiPriority="69" w:semiHidden="0"/>
    <w:lsdException w:name="Dark List Accent 6" w:uiPriority="70" w:semiHidden="0"/>
    <w:lsdException w:name="Colorful Shading Accent 6" w:uiPriority="71" w:semiHidden="0"/>
    <w:lsdException w:name="Colorful List Accent 6" w:uiPriority="72" w:semiHidden="0"/>
    <w:lsdException w:name="Colorful Grid Accent 6" w:uiPriority="73" w:semiHidden="0"/>
    <w:lsdException w:name="Subtle Emphasis" w:uiPriority="19" w:semiHidden="0" w:qFormat="1"/>
    <w:lsdException w:name="Intense Emphasis" w:uiPriority="21" w:semiHidden="0" w:qFormat="1"/>
    <w:lsdException w:name="Subtle Reference" w:uiPriority="31" w:semiHidden="0" w:qFormat="1"/>
    <w:lsdException w:name="Intense Reference" w:uiPriority="32" w:semiHidden="0" w:qFormat="1"/>
    <w:lsdException w:name="Book Title" w:uiPriority="33" w:semiHidden="0" w:qFormat="1"/>
    <w:lsdException w:name="Bibliography" w:uiPriority="37" w:unhideWhenUsed="1"/>
    <w:lsdException w:name="TOC Heading" w:uiPriority="39" w:unhideWhenUsed="1" w:qFormat="1"/>
  </w:latentStyles>
  <w:style w:type="paragraph" w:styleId="Normal" w:default="1">
    <w:name w:val="Normal"/>
    <w:qFormat/>
    <w:rsid w:val="00632729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00000A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next w:val="Normal"/>
    <w:link w:val="Heading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Nadpis2">
    <w:name w:val="Heading 2"/>
    <w:basedOn w:val="Normal"/>
    <w:next w:val="Normal"/>
    <w:link w:val="Heading2Char"/>
    <w:uiPriority w:val="99"/>
    <w:qFormat/>
    <w:rsid w:val="0003344f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al"/>
    <w:next w:val="Normal"/>
    <w:link w:val="Heading3Char"/>
    <w:uiPriority w:val="99"/>
    <w:qFormat/>
    <w:rsid w:val="0003344f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al"/>
    <w:next w:val="Normal"/>
    <w:link w:val="Heading4Char"/>
    <w:uiPriority w:val="99"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al"/>
    <w:next w:val="Normal"/>
    <w:link w:val="Heading5Char"/>
    <w:uiPriority w:val="99"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al"/>
    <w:next w:val="Normal"/>
    <w:link w:val="Heading6Char"/>
    <w:uiPriority w:val="99"/>
    <w:qFormat/>
    <w:rsid w:val="0003344f"/>
    <w:pPr>
      <w:spacing w:lineRule="auto" w:line="240" w:before="240" w:after="60"/>
      <w:outlineLvl w:val="5"/>
    </w:pPr>
    <w:rPr>
      <w:b/>
      <w:bCs/>
      <w:lang w:eastAsia="sk-SK"/>
    </w:rPr>
  </w:style>
  <w:style w:type="paragraph" w:styleId="Nadpis7">
    <w:name w:val="Heading 7"/>
    <w:basedOn w:val="Normal"/>
    <w:next w:val="Normal"/>
    <w:link w:val="Heading7Char"/>
    <w:uiPriority w:val="99"/>
    <w:qFormat/>
    <w:rsid w:val="0003344f"/>
    <w:pPr>
      <w:spacing w:lineRule="auto" w:line="240" w:before="240" w:after="60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al"/>
    <w:next w:val="Normal"/>
    <w:link w:val="Heading8Char"/>
    <w:uiPriority w:val="99"/>
    <w:qFormat/>
    <w:rsid w:val="0003344f"/>
    <w:pPr>
      <w:spacing w:lineRule="auto" w:line="240" w:before="240" w:after="60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al"/>
    <w:next w:val="Normal"/>
    <w:link w:val="Heading9Char"/>
    <w:uiPriority w:val="99"/>
    <w:qFormat/>
    <w:rsid w:val="0003344f"/>
    <w:pPr>
      <w:spacing w:lineRule="auto" w:line="240" w:before="240" w:after="60"/>
      <w:outlineLvl w:val="8"/>
    </w:pPr>
    <w:rPr>
      <w:rFonts w:ascii="Cambria" w:hAnsi="Cambria" w:cs="Cambria"/>
      <w:lang w:eastAsia="sk-SK"/>
    </w:rPr>
  </w:style>
  <w:style w:type="character" w:styleId="DefaultParagraphFont" w:default="1">
    <w:name w:val="Default Paragraph Font"/>
    <w:uiPriority w:val="99"/>
    <w:semiHidden/>
    <w:qFormat/>
    <w:rPr/>
  </w:style>
  <w:style w:type="character" w:styleId="Heading1Char" w:customStyle="1">
    <w:name w:val="Heading 1 Char"/>
    <w:basedOn w:val="DefaultParagraphFont"/>
    <w:link w:val="Heading1"/>
    <w:uiPriority w:val="99"/>
    <w:qFormat/>
    <w:locked/>
    <w:rsid w:val="0003344f"/>
    <w:rPr>
      <w:rFonts w:ascii="Cambria" w:hAnsi="Cambria" w:cs="Cambria"/>
      <w:b/>
      <w:bCs/>
      <w:kern w:val="2"/>
      <w:sz w:val="32"/>
      <w:szCs w:val="32"/>
    </w:rPr>
  </w:style>
  <w:style w:type="character" w:styleId="Heading2Char" w:customStyle="1">
    <w:name w:val="Heading 2 Char"/>
    <w:basedOn w:val="DefaultParagraphFont"/>
    <w:link w:val="Heading2"/>
    <w:uiPriority w:val="99"/>
    <w:semiHidden/>
    <w:qFormat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styleId="Heading3Char" w:customStyle="1">
    <w:name w:val="Heading 3 Char"/>
    <w:basedOn w:val="DefaultParagraphFont"/>
    <w:link w:val="Heading3"/>
    <w:uiPriority w:val="99"/>
    <w:semiHidden/>
    <w:qFormat/>
    <w:locked/>
    <w:rsid w:val="0003344f"/>
    <w:rPr>
      <w:rFonts w:ascii="Cambria" w:hAnsi="Cambria" w:cs="Cambria"/>
      <w:b/>
      <w:bCs/>
      <w:sz w:val="26"/>
      <w:szCs w:val="26"/>
    </w:rPr>
  </w:style>
  <w:style w:type="character" w:styleId="Heading4Char" w:customStyle="1">
    <w:name w:val="Heading 4 Char"/>
    <w:basedOn w:val="DefaultParagraphFont"/>
    <w:link w:val="Heading4"/>
    <w:uiPriority w:val="99"/>
    <w:semiHidden/>
    <w:qFormat/>
    <w:locked/>
    <w:rsid w:val="0003344f"/>
    <w:rPr>
      <w:rFonts w:eastAsia="Times New Roman"/>
      <w:b/>
      <w:bCs/>
      <w:sz w:val="28"/>
      <w:szCs w:val="28"/>
    </w:rPr>
  </w:style>
  <w:style w:type="character" w:styleId="Heading5Char" w:customStyle="1">
    <w:name w:val="Heading 5 Char"/>
    <w:basedOn w:val="DefaultParagraphFont"/>
    <w:link w:val="Heading5"/>
    <w:uiPriority w:val="99"/>
    <w:semiHidden/>
    <w:qFormat/>
    <w:locked/>
    <w:rsid w:val="0003344f"/>
    <w:rPr>
      <w:rFonts w:eastAsia="Times New Roman"/>
      <w:b/>
      <w:bCs/>
      <w:i/>
      <w:iCs/>
      <w:sz w:val="26"/>
      <w:szCs w:val="26"/>
    </w:rPr>
  </w:style>
  <w:style w:type="character" w:styleId="Heading6Char" w:customStyle="1">
    <w:name w:val="Heading 6 Char"/>
    <w:basedOn w:val="DefaultParagraphFont"/>
    <w:link w:val="Heading6"/>
    <w:uiPriority w:val="99"/>
    <w:semiHidden/>
    <w:qFormat/>
    <w:locked/>
    <w:rsid w:val="0003344f"/>
    <w:rPr>
      <w:rFonts w:eastAsia="Times New Roman"/>
      <w:b/>
      <w:bCs/>
      <w:sz w:val="22"/>
      <w:szCs w:val="22"/>
    </w:rPr>
  </w:style>
  <w:style w:type="character" w:styleId="Heading7Char" w:customStyle="1">
    <w:name w:val="Heading 7 Char"/>
    <w:basedOn w:val="DefaultParagraphFont"/>
    <w:link w:val="Heading7"/>
    <w:uiPriority w:val="99"/>
    <w:semiHidden/>
    <w:qFormat/>
    <w:locked/>
    <w:rsid w:val="0003344f"/>
    <w:rPr>
      <w:rFonts w:eastAsia="Times New Roman"/>
      <w:sz w:val="24"/>
      <w:szCs w:val="24"/>
    </w:rPr>
  </w:style>
  <w:style w:type="character" w:styleId="Heading8Char" w:customStyle="1">
    <w:name w:val="Heading 8 Char"/>
    <w:basedOn w:val="DefaultParagraphFont"/>
    <w:link w:val="Heading8"/>
    <w:uiPriority w:val="99"/>
    <w:semiHidden/>
    <w:qFormat/>
    <w:locked/>
    <w:rsid w:val="0003344f"/>
    <w:rPr>
      <w:rFonts w:eastAsia="Times New Roman"/>
      <w:i/>
      <w:iCs/>
      <w:sz w:val="24"/>
      <w:szCs w:val="24"/>
    </w:rPr>
  </w:style>
  <w:style w:type="character" w:styleId="Heading9Char" w:customStyle="1">
    <w:name w:val="Heading 9 Char"/>
    <w:basedOn w:val="DefaultParagraphFont"/>
    <w:link w:val="Heading9"/>
    <w:uiPriority w:val="99"/>
    <w:semiHidden/>
    <w:qFormat/>
    <w:locked/>
    <w:rsid w:val="0003344f"/>
    <w:rPr>
      <w:rFonts w:ascii="Cambria" w:hAnsi="Cambria" w:cs="Cambria"/>
      <w:sz w:val="22"/>
      <w:szCs w:val="22"/>
    </w:rPr>
  </w:style>
  <w:style w:type="character" w:styleId="HeaderChar" w:customStyle="1">
    <w:name w:val="Header Char"/>
    <w:basedOn w:val="DefaultParagraphFont"/>
    <w:link w:val="Header"/>
    <w:uiPriority w:val="99"/>
    <w:qFormat/>
    <w:locked/>
    <w:rsid w:val="00107589"/>
    <w:rPr/>
  </w:style>
  <w:style w:type="character" w:styleId="FooterChar" w:customStyle="1">
    <w:name w:val="Footer Char"/>
    <w:basedOn w:val="DefaultParagraphFont"/>
    <w:link w:val="Footer"/>
    <w:uiPriority w:val="99"/>
    <w:qFormat/>
    <w:locked/>
    <w:rsid w:val="00107589"/>
    <w:rPr/>
  </w:style>
  <w:style w:type="character" w:styleId="TextpoznmkypodiarouChar128" w:customStyle="1">
    <w:name w:val="Text poznámky pod čiarou Char128"/>
    <w:uiPriority w:val="99"/>
    <w:semiHidden/>
    <w:qFormat/>
    <w:rsid w:val="00632729"/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qFormat/>
    <w:locked/>
    <w:rsid w:val="00632729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qFormat/>
    <w:rsid w:val="00632729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632729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632729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632729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632729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632729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632729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632729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632729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632729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632729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632729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632729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632729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632729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632729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632729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632729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632729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632729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632729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632729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632729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632729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632729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632729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632729"/>
    <w:rPr>
      <w:sz w:val="20"/>
      <w:szCs w:val="20"/>
    </w:rPr>
  </w:style>
  <w:style w:type="character" w:styleId="NzovChar128" w:customStyle="1">
    <w:name w:val="Názov Char12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TitleChar" w:customStyle="1">
    <w:name w:val="Title Char"/>
    <w:basedOn w:val="DefaultParagraphFont"/>
    <w:link w:val="Title"/>
    <w:uiPriority w:val="99"/>
    <w:qFormat/>
    <w:locked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7" w:customStyle="1">
    <w:name w:val="Názov Char12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6" w:customStyle="1">
    <w:name w:val="Názov Char12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5" w:customStyle="1">
    <w:name w:val="Názov Char12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4" w:customStyle="1">
    <w:name w:val="Názov Char12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3" w:customStyle="1">
    <w:name w:val="Názov Char12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2" w:customStyle="1">
    <w:name w:val="Názov Char12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1" w:customStyle="1">
    <w:name w:val="Názov Char12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0" w:customStyle="1">
    <w:name w:val="Názov Char120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9" w:customStyle="1">
    <w:name w:val="Názov Char119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8" w:customStyle="1">
    <w:name w:val="Názov Char11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7" w:customStyle="1">
    <w:name w:val="Názov Char11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6" w:customStyle="1">
    <w:name w:val="Názov Char11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5" w:customStyle="1">
    <w:name w:val="Názov Char11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4" w:customStyle="1">
    <w:name w:val="Názov Char11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3" w:customStyle="1">
    <w:name w:val="Názov Char11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2" w:customStyle="1">
    <w:name w:val="Názov Char11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1" w:customStyle="1">
    <w:name w:val="Názov Char11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0" w:customStyle="1">
    <w:name w:val="Názov Char110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9" w:customStyle="1">
    <w:name w:val="Názov Char19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8" w:customStyle="1">
    <w:name w:val="Názov Char18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7" w:customStyle="1">
    <w:name w:val="Názov Char17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6" w:customStyle="1">
    <w:name w:val="Názov Char16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5" w:customStyle="1">
    <w:name w:val="Názov Char15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4" w:customStyle="1">
    <w:name w:val="Názov Char14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3" w:customStyle="1">
    <w:name w:val="Názov Char13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2" w:customStyle="1">
    <w:name w:val="Názov Char12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NzovChar11" w:customStyle="1">
    <w:name w:val="Názov Char11"/>
    <w:uiPriority w:val="99"/>
    <w:qFormat/>
    <w:rsid w:val="00632729"/>
    <w:rPr>
      <w:rFonts w:ascii="Cambria" w:hAnsi="Cambria" w:cs="Cambria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632729"/>
    <w:rPr>
      <w:sz w:val="36"/>
      <w:szCs w:val="36"/>
    </w:rPr>
  </w:style>
  <w:style w:type="character" w:styleId="BodyTextChar" w:customStyle="1">
    <w:name w:val="Body Text Char"/>
    <w:basedOn w:val="DefaultParagraphFont"/>
    <w:link w:val="BodyText"/>
    <w:uiPriority w:val="99"/>
    <w:semiHidden/>
    <w:qFormat/>
    <w:locked/>
    <w:rsid w:val="00632729"/>
    <w:rPr>
      <w:sz w:val="36"/>
      <w:szCs w:val="36"/>
    </w:rPr>
  </w:style>
  <w:style w:type="character" w:styleId="ZkladntextChar127" w:customStyle="1">
    <w:name w:val="Základný text Char127"/>
    <w:uiPriority w:val="99"/>
    <w:semiHidden/>
    <w:qFormat/>
    <w:rsid w:val="00632729"/>
    <w:rPr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632729"/>
    <w:rPr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632729"/>
    <w:rPr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632729"/>
    <w:rPr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632729"/>
    <w:rPr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632729"/>
    <w:rPr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632729"/>
    <w:rPr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632729"/>
    <w:rPr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632729"/>
    <w:rPr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632729"/>
    <w:rPr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632729"/>
    <w:rPr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632729"/>
    <w:rPr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632729"/>
    <w:rPr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632729"/>
    <w:rPr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632729"/>
    <w:rPr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632729"/>
    <w:rPr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632729"/>
    <w:rPr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632729"/>
    <w:rPr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632729"/>
    <w:rPr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632729"/>
    <w:rPr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632729"/>
    <w:rPr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632729"/>
    <w:rPr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632729"/>
    <w:rPr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632729"/>
    <w:rPr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632729"/>
    <w:rPr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632729"/>
    <w:rPr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632729"/>
    <w:rPr>
      <w:sz w:val="36"/>
      <w:szCs w:val="36"/>
    </w:rPr>
  </w:style>
  <w:style w:type="character" w:styleId="PodtitulChar128" w:customStyle="1">
    <w:name w:val="Podtitul Char12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basedOn w:val="DefaultParagraphFont"/>
    <w:link w:val="Subtitle"/>
    <w:uiPriority w:val="99"/>
    <w:qFormat/>
    <w:locked/>
    <w:rsid w:val="00632729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qFormat/>
    <w:rsid w:val="00632729"/>
    <w:rPr>
      <w:rFonts w:ascii="Cambria" w:hAnsi="Cambria" w:cs="Cambria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632729"/>
    <w:rPr>
      <w:sz w:val="36"/>
      <w:szCs w:val="36"/>
    </w:rPr>
  </w:style>
  <w:style w:type="character" w:styleId="BodyText2Char" w:customStyle="1">
    <w:name w:val="Body Text 2 Char"/>
    <w:basedOn w:val="DefaultParagraphFont"/>
    <w:link w:val="BodyText2"/>
    <w:uiPriority w:val="99"/>
    <w:semiHidden/>
    <w:qFormat/>
    <w:locked/>
    <w:rsid w:val="00632729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qFormat/>
    <w:rsid w:val="00632729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632729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632729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632729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632729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632729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632729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632729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632729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632729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632729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632729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632729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632729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632729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632729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632729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632729"/>
    <w:rPr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632729"/>
    <w:rPr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632729"/>
    <w:rPr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632729"/>
    <w:rPr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632729"/>
    <w:rPr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632729"/>
    <w:rPr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632729"/>
    <w:rPr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632729"/>
    <w:rPr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632729"/>
    <w:rPr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632729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632729"/>
    <w:rPr>
      <w:sz w:val="36"/>
      <w:szCs w:val="36"/>
    </w:rPr>
  </w:style>
  <w:style w:type="character" w:styleId="BodyTextIndent2Char" w:customStyle="1">
    <w:name w:val="Body Text Indent 2 Char"/>
    <w:basedOn w:val="DefaultParagraphFont"/>
    <w:link w:val="BodyTextIndent2"/>
    <w:uiPriority w:val="99"/>
    <w:semiHidden/>
    <w:qFormat/>
    <w:locked/>
    <w:rsid w:val="00632729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qFormat/>
    <w:rsid w:val="00632729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632729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632729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632729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632729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632729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632729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632729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632729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632729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632729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632729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632729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632729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632729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632729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632729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632729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632729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632729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632729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632729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632729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632729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632729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632729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632729"/>
    <w:rPr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632729"/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uiPriority w:val="99"/>
    <w:semiHidden/>
    <w:qFormat/>
    <w:locked/>
    <w:rsid w:val="00632729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qFormat/>
    <w:rsid w:val="00632729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632729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632729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632729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632729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632729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632729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632729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632729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632729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632729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632729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632729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632729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632729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632729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632729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632729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632729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632729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632729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632729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632729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632729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632729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632729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632729"/>
    <w:rPr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qFormat/>
    <w:locked/>
    <w:rsid w:val="00632729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632729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632729"/>
    <w:rPr>
      <w:rFonts w:ascii="Tahoma" w:hAnsi="Tahoma" w:cs="Tahoma"/>
      <w:sz w:val="16"/>
      <w:szCs w:val="16"/>
    </w:rPr>
  </w:style>
  <w:style w:type="character" w:styleId="Footnotereference">
    <w:name w:val="footnote reference"/>
    <w:basedOn w:val="DefaultParagraphFont"/>
    <w:uiPriority w:val="99"/>
    <w:semiHidden/>
    <w:qFormat/>
    <w:rsid w:val="00686076"/>
    <w:rPr>
      <w:vertAlign w:val="superscript"/>
    </w:rPr>
  </w:style>
  <w:style w:type="character" w:styleId="ListLabel1">
    <w:name w:val="ListLabel 1"/>
    <w:qFormat/>
    <w:rPr>
      <w:b/>
      <w:bCs w:val="false"/>
      <w:sz w:val="20"/>
      <w:szCs w:val="20"/>
    </w:rPr>
  </w:style>
  <w:style w:type="character" w:styleId="ListLabel2">
    <w:name w:val="ListLabel 2"/>
    <w:qFormat/>
    <w:rPr>
      <w:b/>
      <w:bCs w:val="false"/>
      <w:sz w:val="20"/>
    </w:rPr>
  </w:style>
  <w:style w:type="character" w:styleId="ListLabel3">
    <w:name w:val="ListLabel 3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4">
    <w:name w:val="ListLabel 4"/>
    <w:qFormat/>
    <w:rPr>
      <w:b w:val="false"/>
      <w:bCs w:val="false"/>
      <w:sz w:val="20"/>
      <w:szCs w:val="20"/>
    </w:rPr>
  </w:style>
  <w:style w:type="character" w:styleId="ListLabel5">
    <w:name w:val="ListLabel 5"/>
    <w:qFormat/>
    <w:rPr>
      <w:rFonts w:cs="Arial Narrow"/>
      <w:b w:val="false"/>
      <w:bCs w:val="false"/>
      <w:sz w:val="22"/>
      <w:szCs w:val="22"/>
    </w:rPr>
  </w:style>
  <w:style w:type="character" w:styleId="ListLabel6">
    <w:name w:val="ListLabel 6"/>
    <w:qFormat/>
    <w:rPr>
      <w:b/>
      <w:bCs w:val="false"/>
    </w:rPr>
  </w:style>
  <w:style w:type="character" w:styleId="ListLabel7">
    <w:name w:val="ListLabel 7"/>
    <w:qFormat/>
    <w:rPr>
      <w:rFonts w:cs="Arial Narrow"/>
      <w:sz w:val="22"/>
      <w:szCs w:val="22"/>
    </w:rPr>
  </w:style>
  <w:style w:type="character" w:styleId="ListLabel8">
    <w:name w:val="ListLabel 8"/>
    <w:qFormat/>
    <w:rPr>
      <w:b/>
      <w:bCs w:val="false"/>
      <w:sz w:val="20"/>
      <w:szCs w:val="20"/>
    </w:rPr>
  </w:style>
  <w:style w:type="character" w:styleId="ListLabel9">
    <w:name w:val="ListLabel 9"/>
    <w:qFormat/>
    <w:rPr>
      <w:b/>
      <w:bCs w:val="false"/>
      <w:sz w:val="20"/>
    </w:rPr>
  </w:style>
  <w:style w:type="character" w:styleId="ListLabel10">
    <w:name w:val="ListLabel 10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1">
    <w:name w:val="ListLabel 11"/>
    <w:qFormat/>
    <w:rPr>
      <w:b w:val="false"/>
      <w:bCs w:val="false"/>
      <w:sz w:val="20"/>
      <w:szCs w:val="20"/>
    </w:rPr>
  </w:style>
  <w:style w:type="character" w:styleId="ListLabel12">
    <w:name w:val="ListLabel 12"/>
    <w:qFormat/>
    <w:rPr>
      <w:rFonts w:cs="Arial Narrow"/>
      <w:b w:val="false"/>
      <w:bCs w:val="false"/>
      <w:sz w:val="22"/>
      <w:szCs w:val="22"/>
    </w:rPr>
  </w:style>
  <w:style w:type="character" w:styleId="ListLabel13">
    <w:name w:val="ListLabel 13"/>
    <w:qFormat/>
    <w:rPr>
      <w:b/>
      <w:bCs w:val="false"/>
    </w:rPr>
  </w:style>
  <w:style w:type="character" w:styleId="ListLabel14">
    <w:name w:val="ListLabel 14"/>
    <w:qFormat/>
    <w:rPr>
      <w:rFonts w:cs="Arial Narrow"/>
      <w:sz w:val="22"/>
      <w:szCs w:val="22"/>
    </w:rPr>
  </w:style>
  <w:style w:type="character" w:styleId="ListLabel15">
    <w:name w:val="ListLabel 15"/>
    <w:qFormat/>
    <w:rPr>
      <w:b/>
      <w:bCs w:val="false"/>
      <w:sz w:val="20"/>
      <w:szCs w:val="20"/>
    </w:rPr>
  </w:style>
  <w:style w:type="character" w:styleId="ListLabel16">
    <w:name w:val="ListLabel 16"/>
    <w:qFormat/>
    <w:rPr>
      <w:b/>
      <w:bCs w:val="false"/>
      <w:sz w:val="20"/>
    </w:rPr>
  </w:style>
  <w:style w:type="character" w:styleId="ListLabel17">
    <w:name w:val="ListLabel 17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18">
    <w:name w:val="ListLabel 18"/>
    <w:qFormat/>
    <w:rPr>
      <w:b w:val="false"/>
      <w:bCs w:val="false"/>
      <w:sz w:val="20"/>
      <w:szCs w:val="20"/>
    </w:rPr>
  </w:style>
  <w:style w:type="character" w:styleId="ListLabel19">
    <w:name w:val="ListLabel 19"/>
    <w:qFormat/>
    <w:rPr>
      <w:rFonts w:cs="Arial Narrow"/>
      <w:b w:val="false"/>
      <w:bCs w:val="false"/>
      <w:sz w:val="22"/>
      <w:szCs w:val="22"/>
    </w:rPr>
  </w:style>
  <w:style w:type="character" w:styleId="ListLabel20">
    <w:name w:val="ListLabel 20"/>
    <w:qFormat/>
    <w:rPr>
      <w:b/>
      <w:bCs w:val="false"/>
    </w:rPr>
  </w:style>
  <w:style w:type="character" w:styleId="ListLabel21">
    <w:name w:val="ListLabel 21"/>
    <w:qFormat/>
    <w:rPr>
      <w:rFonts w:cs="Arial Narrow"/>
      <w:sz w:val="22"/>
      <w:szCs w:val="22"/>
    </w:rPr>
  </w:style>
  <w:style w:type="character" w:styleId="ListLabel22">
    <w:name w:val="ListLabel 22"/>
    <w:qFormat/>
    <w:rPr>
      <w:b/>
      <w:bCs w:val="false"/>
      <w:sz w:val="20"/>
      <w:szCs w:val="20"/>
    </w:rPr>
  </w:style>
  <w:style w:type="character" w:styleId="ListLabel23">
    <w:name w:val="ListLabel 23"/>
    <w:qFormat/>
    <w:rPr>
      <w:b/>
      <w:bCs w:val="false"/>
      <w:sz w:val="20"/>
    </w:rPr>
  </w:style>
  <w:style w:type="character" w:styleId="ListLabel24">
    <w:name w:val="ListLabel 24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25">
    <w:name w:val="ListLabel 25"/>
    <w:qFormat/>
    <w:rPr>
      <w:b w:val="false"/>
      <w:bCs w:val="false"/>
      <w:sz w:val="20"/>
      <w:szCs w:val="20"/>
    </w:rPr>
  </w:style>
  <w:style w:type="character" w:styleId="ListLabel26">
    <w:name w:val="ListLabel 26"/>
    <w:qFormat/>
    <w:rPr>
      <w:rFonts w:cs="Arial Narrow"/>
      <w:b w:val="false"/>
      <w:bCs w:val="false"/>
      <w:sz w:val="22"/>
      <w:szCs w:val="22"/>
    </w:rPr>
  </w:style>
  <w:style w:type="character" w:styleId="ListLabel27">
    <w:name w:val="ListLabel 27"/>
    <w:qFormat/>
    <w:rPr>
      <w:b/>
      <w:bCs w:val="false"/>
    </w:rPr>
  </w:style>
  <w:style w:type="character" w:styleId="ListLabel28">
    <w:name w:val="ListLabel 28"/>
    <w:qFormat/>
    <w:rPr>
      <w:rFonts w:cs="Arial Narrow"/>
      <w:sz w:val="22"/>
      <w:szCs w:val="22"/>
    </w:rPr>
  </w:style>
  <w:style w:type="character" w:styleId="ListLabel29">
    <w:name w:val="ListLabel 29"/>
    <w:qFormat/>
    <w:rPr>
      <w:b/>
      <w:bCs w:val="false"/>
      <w:sz w:val="20"/>
      <w:szCs w:val="20"/>
    </w:rPr>
  </w:style>
  <w:style w:type="character" w:styleId="ListLabel30">
    <w:name w:val="ListLabel 30"/>
    <w:qFormat/>
    <w:rPr>
      <w:b/>
      <w:bCs w:val="false"/>
      <w:sz w:val="20"/>
    </w:rPr>
  </w:style>
  <w:style w:type="character" w:styleId="ListLabel31">
    <w:name w:val="ListLabel 31"/>
    <w:qFormat/>
    <w:rPr>
      <w:rFonts w:cs="Times New Roman"/>
      <w:b w:val="false"/>
      <w:bCs w:val="false"/>
      <w:i w:val="false"/>
      <w:iCs w:val="false"/>
      <w:sz w:val="24"/>
      <w:szCs w:val="24"/>
    </w:rPr>
  </w:style>
  <w:style w:type="character" w:styleId="ListLabel32">
    <w:name w:val="ListLabel 32"/>
    <w:qFormat/>
    <w:rPr>
      <w:b w:val="false"/>
      <w:bCs w:val="false"/>
      <w:sz w:val="20"/>
      <w:szCs w:val="20"/>
    </w:rPr>
  </w:style>
  <w:style w:type="character" w:styleId="ListLabel33">
    <w:name w:val="ListLabel 33"/>
    <w:qFormat/>
    <w:rPr>
      <w:rFonts w:cs="Arial Narrow"/>
      <w:b w:val="false"/>
      <w:bCs w:val="false"/>
      <w:sz w:val="22"/>
      <w:szCs w:val="22"/>
    </w:rPr>
  </w:style>
  <w:style w:type="character" w:styleId="ListLabel34">
    <w:name w:val="ListLabel 34"/>
    <w:qFormat/>
    <w:rPr>
      <w:b/>
      <w:bCs w:val="false"/>
    </w:rPr>
  </w:style>
  <w:style w:type="character" w:styleId="ListLabel35">
    <w:name w:val="ListLabel 35"/>
    <w:qFormat/>
    <w:rPr>
      <w:rFonts w:cs="Arial Narrow"/>
      <w:sz w:val="22"/>
      <w:szCs w:val="22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BodyTextChar"/>
    <w:uiPriority w:val="99"/>
    <w:semiHidden/>
    <w:rsid w:val="0003344f"/>
    <w:pPr>
      <w:spacing w:lineRule="auto" w:line="240" w:before="0" w:after="0"/>
      <w:jc w:val="both"/>
    </w:pPr>
    <w:rPr>
      <w:sz w:val="36"/>
      <w:szCs w:val="36"/>
      <w:lang w:eastAsia="sk-SK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eader"/>
    <w:basedOn w:val="Normal"/>
    <w:link w:val="Head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Pta">
    <w:name w:val="Footer"/>
    <w:basedOn w:val="Normal"/>
    <w:link w:val="FooterChar"/>
    <w:uiPriority w:val="99"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>
      <w:sz w:val="20"/>
      <w:szCs w:val="20"/>
      <w:lang w:eastAsia="sk-SK"/>
    </w:rPr>
  </w:style>
  <w:style w:type="paragraph" w:styleId="Footnotetext">
    <w:name w:val="footnote text"/>
    <w:basedOn w:val="Normal"/>
    <w:link w:val="FootnoteTextChar"/>
    <w:uiPriority w:val="99"/>
    <w:semiHidden/>
    <w:qFormat/>
    <w:rsid w:val="0003344f"/>
    <w:pPr>
      <w:spacing w:lineRule="auto" w:line="240" w:before="0" w:after="0"/>
    </w:pPr>
    <w:rPr>
      <w:sz w:val="20"/>
      <w:szCs w:val="20"/>
      <w:lang w:eastAsia="sk-SK"/>
    </w:rPr>
  </w:style>
  <w:style w:type="paragraph" w:styleId="Nzov">
    <w:name w:val="Title"/>
    <w:basedOn w:val="Normal"/>
    <w:next w:val="Normal"/>
    <w:link w:val="Title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rFonts w:ascii="Cambria" w:hAnsi="Cambria" w:cs="Cambria"/>
      <w:b/>
      <w:bCs/>
      <w:kern w:val="2"/>
      <w:sz w:val="32"/>
      <w:szCs w:val="32"/>
      <w:lang w:eastAsia="sk-SK"/>
    </w:rPr>
  </w:style>
  <w:style w:type="paragraph" w:styleId="Podnadpis">
    <w:name w:val="Subtitle"/>
    <w:basedOn w:val="Normal"/>
    <w:next w:val="Normal"/>
    <w:link w:val="SubtitleChar"/>
    <w:uiPriority w:val="99"/>
    <w:qFormat/>
    <w:rsid w:val="0003344f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basedOn w:val="Normal"/>
    <w:link w:val="BodyText2Char"/>
    <w:uiPriority w:val="99"/>
    <w:semiHidden/>
    <w:qFormat/>
    <w:rsid w:val="0003344f"/>
    <w:pPr>
      <w:spacing w:lineRule="auto" w:line="240" w:before="0" w:after="0"/>
      <w:ind w:left="2124" w:hanging="2124"/>
      <w:jc w:val="both"/>
    </w:pPr>
    <w:rPr>
      <w:sz w:val="36"/>
      <w:szCs w:val="36"/>
      <w:lang w:eastAsia="sk-SK"/>
    </w:rPr>
  </w:style>
  <w:style w:type="paragraph" w:styleId="BodyTextIndent2">
    <w:name w:val="Body Text Indent 2"/>
    <w:basedOn w:val="Normal"/>
    <w:link w:val="BodyTextIndent2Char"/>
    <w:uiPriority w:val="99"/>
    <w:semiHidden/>
    <w:qFormat/>
    <w:rsid w:val="0003344f"/>
    <w:pPr>
      <w:spacing w:lineRule="auto" w:line="240" w:before="0" w:after="0"/>
      <w:ind w:firstLine="708"/>
      <w:jc w:val="both"/>
    </w:pPr>
    <w:rPr>
      <w:sz w:val="36"/>
      <w:szCs w:val="36"/>
      <w:lang w:eastAsia="sk-SK"/>
    </w:rPr>
  </w:style>
  <w:style w:type="paragraph" w:styleId="BodyTextIndent3">
    <w:name w:val="Body Text Indent 3"/>
    <w:basedOn w:val="Normal"/>
    <w:link w:val="BodyTextIndent3Char"/>
    <w:uiPriority w:val="99"/>
    <w:semiHidden/>
    <w:qFormat/>
    <w:rsid w:val="0003344f"/>
    <w:pPr>
      <w:spacing w:lineRule="auto" w:line="240" w:before="0" w:after="0"/>
      <w:ind w:left="708" w:firstLine="708"/>
      <w:jc w:val="both"/>
    </w:pPr>
    <w:rPr>
      <w:sz w:val="16"/>
      <w:szCs w:val="16"/>
      <w:lang w:eastAsia="sk-SK"/>
    </w:rPr>
  </w:style>
  <w:style w:type="paragraph" w:styleId="BalloonText">
    <w:name w:val="Balloon Text"/>
    <w:basedOn w:val="Normal"/>
    <w:link w:val="BalloonTextChar"/>
    <w:uiPriority w:val="99"/>
    <w:semiHidden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sk-SK"/>
    </w:rPr>
  </w:style>
  <w:style w:type="paragraph" w:styleId="ListParagraph">
    <w:name w:val="List Paragraph"/>
    <w:basedOn w:val="Normal"/>
    <w:uiPriority w:val="99"/>
    <w:qFormat/>
    <w:rsid w:val="004268d2"/>
    <w:pPr>
      <w:ind w:left="720" w:hanging="0"/>
    </w:pPr>
    <w:rPr/>
  </w:style>
  <w:style w:type="paragraph" w:styleId="TopHeader" w:customStyle="1">
    <w:name w:val="Top Header"/>
    <w:basedOn w:val="Normal"/>
    <w:uiPriority w:val="99"/>
    <w:qFormat/>
    <w:rsid w:val="0003344f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qFormat/>
    <w:rsid w:val="00d9007d"/>
    <w:pPr>
      <w:spacing w:lineRule="auto" w:line="240" w:beforeAutospacing="1" w:afterAutospacing="1"/>
    </w:pPr>
    <w:rPr>
      <w:sz w:val="24"/>
      <w:szCs w:val="24"/>
      <w:lang w:eastAsia="sk-SK"/>
    </w:rPr>
  </w:style>
  <w:style w:type="paragraph" w:styleId="Default" w:customStyle="1">
    <w:name w:val="Default"/>
    <w:uiPriority w:val="99"/>
    <w:qFormat/>
    <w:rsid w:val="00236906"/>
    <w:pPr>
      <w:widowControl/>
      <w:bidi w:val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uiPriority w:val="99"/>
    <w:qFormat/>
    <w:rsid w:val="00710a71"/>
    <w:pPr/>
    <w:rPr>
      <w:sz w:val="18"/>
      <w:szCs w:val="18"/>
      <w:lang w:eastAsia="en-US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808</TotalTime>
  <Application>LibreOffice/5.4.1.2$Windows_X86_64 LibreOffice_project/ea7cb86e6eeb2bf3a5af73a8f7777ac570321527</Application>
  <Pages>13</Pages>
  <Words>2307</Words>
  <Characters>13809</Characters>
  <CharactersWithSpaces>15945</CharactersWithSpaces>
  <Paragraphs>241</Paragraphs>
  <Company>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2014-03-02T09:50:00Z</dcterms:created>
  <dc:creator>Matulova Silvia</dc:creator>
  <dc:description/>
  <dc:language>sk-SK</dc:language>
  <cp:lastModifiedBy/>
  <cp:lastPrinted>2019-01-28T12:11:06Z</cp:lastPrinted>
  <dcterms:modified xsi:type="dcterms:W3CDTF">2019-01-28T12:11:35Z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.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