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1336" w:hanging="1260"/>
        <w:jc w:val="left"/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</w:pPr>
    </w:p>
    <w:p>
      <w:pPr>
        <w:spacing w:before="0" w:after="0" w:line="240"/>
        <w:ind w:right="0" w:left="1336" w:hanging="1260"/>
        <w:jc w:val="left"/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Poznámky  Ú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č M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ÚJ 3 - 01</w:t>
        <w:tab/>
        <w:t xml:space="preserve">              </w:t>
        <w:tab/>
        <w:t xml:space="preserve">I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ČO 51744139                                              DIČ 2120785953</w:t>
      </w:r>
    </w:p>
    <w:p>
      <w:pPr>
        <w:spacing w:before="0" w:after="0" w:line="240"/>
        <w:ind w:right="0" w:left="1336" w:hanging="1260"/>
        <w:jc w:val="left"/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</w:pPr>
    </w:p>
    <w:p>
      <w:pPr>
        <w:spacing w:before="0" w:after="0" w:line="240"/>
        <w:ind w:right="0" w:left="1336" w:hanging="1260"/>
        <w:jc w:val="left"/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1. 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šeobecn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é údaje</w:t>
      </w:r>
    </w:p>
    <w:p>
      <w:pPr>
        <w:spacing w:before="0" w:after="0" w:line="240"/>
        <w:ind w:right="0" w:left="1336" w:hanging="1260"/>
        <w:jc w:val="left"/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</w:pPr>
    </w:p>
    <w:p>
      <w:pPr>
        <w:spacing w:before="0" w:after="0" w:line="240"/>
        <w:ind w:right="0" w:left="1336" w:hanging="1260"/>
        <w:jc w:val="left"/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Názov Spolo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čnosti a jej s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ídlo</w:t>
      </w:r>
    </w:p>
    <w:p>
      <w:pPr>
        <w:tabs>
          <w:tab w:val="left" w:pos="3544" w:leader="none"/>
        </w:tabs>
        <w:spacing w:before="0" w:after="0" w:line="298"/>
        <w:ind w:right="7367" w:left="60" w:firstLine="0"/>
        <w:jc w:val="left"/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GYNPORSON s.r.o.</w:t>
        <w:br/>
        <w:t xml:space="preserve">Rudohorská 27                                                                                                                                                  974 11 Banská </w:t>
      </w:r>
    </w:p>
    <w:p>
      <w:pPr>
        <w:tabs>
          <w:tab w:val="left" w:pos="3544" w:leader="none"/>
        </w:tabs>
        <w:spacing w:before="0" w:after="0" w:line="298"/>
        <w:ind w:right="7367" w:left="60" w:firstLine="0"/>
        <w:jc w:val="left"/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Bystrica</w:t>
      </w:r>
    </w:p>
    <w:p>
      <w:pPr>
        <w:tabs>
          <w:tab w:val="left" w:pos="3544" w:leader="none"/>
        </w:tabs>
        <w:spacing w:before="0" w:after="0" w:line="298"/>
        <w:ind w:right="7367" w:left="60" w:firstLine="0"/>
        <w:jc w:val="left"/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</w:pPr>
    </w:p>
    <w:p>
      <w:pPr>
        <w:spacing w:before="0" w:after="328" w:line="240"/>
        <w:ind w:right="0" w:left="1320" w:hanging="1260"/>
        <w:jc w:val="left"/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Informácie o konsolidovanom celku</w:t>
      </w:r>
    </w:p>
    <w:p>
      <w:pPr>
        <w:spacing w:before="0" w:after="0" w:line="240"/>
        <w:ind w:right="0" w:left="1320" w:hanging="1260"/>
        <w:jc w:val="left"/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</w:pP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čnosť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FFFFFF" w:val="clear"/>
        </w:rPr>
        <w:t xml:space="preserve"> nie je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FFFFFF" w:val="clear"/>
        </w:rPr>
        <w:t xml:space="preserve"> 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s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časťou konsolidovan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ého celku inej obchodnej spolo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čnosti.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3"/>
          <w:position w:val="0"/>
          <w:sz w:val="19"/>
          <w:shd w:fill="auto" w:val="clear"/>
        </w:rPr>
      </w:pPr>
      <w:r>
        <w:rPr>
          <w:rFonts w:ascii="Calibri" w:hAnsi="Calibri" w:cs="Calibri" w:eastAsia="Calibri"/>
          <w:color w:val="auto"/>
          <w:spacing w:val="3"/>
          <w:position w:val="0"/>
          <w:sz w:val="19"/>
          <w:shd w:fill="auto" w:val="clear"/>
        </w:rPr>
        <w:t xml:space="preserve">Údaje o po</w:t>
      </w:r>
      <w:r>
        <w:rPr>
          <w:rFonts w:ascii="Calibri" w:hAnsi="Calibri" w:cs="Calibri" w:eastAsia="Calibri"/>
          <w:color w:val="auto"/>
          <w:spacing w:val="3"/>
          <w:position w:val="0"/>
          <w:sz w:val="19"/>
          <w:shd w:fill="auto" w:val="clear"/>
        </w:rPr>
        <w:t xml:space="preserve">čte zamestnancov:</w:t>
      </w:r>
    </w:p>
    <w:tbl>
      <w:tblPr/>
      <w:tblGrid>
        <w:gridCol w:w="4824"/>
        <w:gridCol w:w="5195"/>
      </w:tblGrid>
      <w:tr>
        <w:trPr>
          <w:trHeight w:val="298" w:hRule="auto"/>
          <w:jc w:val="left"/>
        </w:trPr>
        <w:tc>
          <w:tcPr>
            <w:tcW w:w="48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178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Názov polo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žky</w:t>
            </w:r>
          </w:p>
        </w:tc>
        <w:tc>
          <w:tcPr>
            <w:tcW w:w="51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2640" w:firstLine="0"/>
              <w:jc w:val="left"/>
              <w:rPr>
                <w:rFonts w:ascii="Calibri" w:hAnsi="Calibri" w:cs="Calibri" w:eastAsia="Calibri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3"/>
                <w:position w:val="0"/>
                <w:sz w:val="20"/>
                <w:shd w:fill="auto" w:val="clear"/>
              </w:rPr>
              <w:t xml:space="preserve">2 018</w:t>
            </w:r>
          </w:p>
        </w:tc>
      </w:tr>
      <w:tr>
        <w:trPr>
          <w:trHeight w:val="307" w:hRule="auto"/>
          <w:jc w:val="left"/>
        </w:trPr>
        <w:tc>
          <w:tcPr>
            <w:tcW w:w="48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80" w:firstLine="0"/>
              <w:jc w:val="left"/>
              <w:rPr>
                <w:rFonts w:ascii="Calibri" w:hAnsi="Calibri" w:cs="Calibri" w:eastAsia="Calibri"/>
                <w:color w:val="auto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2"/>
                <w:position w:val="0"/>
                <w:sz w:val="20"/>
                <w:shd w:fill="auto" w:val="clear"/>
              </w:rPr>
              <w:t xml:space="preserve">Priemerný prepo</w:t>
            </w:r>
            <w:r>
              <w:rPr>
                <w:rFonts w:ascii="Calibri" w:hAnsi="Calibri" w:cs="Calibri" w:eastAsia="Calibri"/>
                <w:color w:val="auto"/>
                <w:spacing w:val="2"/>
                <w:position w:val="0"/>
                <w:sz w:val="20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color w:val="auto"/>
                <w:spacing w:val="2"/>
                <w:position w:val="0"/>
                <w:sz w:val="20"/>
                <w:shd w:fill="auto" w:val="clear"/>
              </w:rPr>
              <w:t xml:space="preserve">ítaný po</w:t>
            </w:r>
            <w:r>
              <w:rPr>
                <w:rFonts w:ascii="Calibri" w:hAnsi="Calibri" w:cs="Calibri" w:eastAsia="Calibri"/>
                <w:color w:val="auto"/>
                <w:spacing w:val="2"/>
                <w:position w:val="0"/>
                <w:sz w:val="20"/>
                <w:shd w:fill="auto" w:val="clear"/>
              </w:rPr>
              <w:t xml:space="preserve">čet zamestnancov</w:t>
            </w:r>
          </w:p>
        </w:tc>
        <w:tc>
          <w:tcPr>
            <w:tcW w:w="51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284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0</w:t>
            </w:r>
          </w:p>
        </w:tc>
      </w:tr>
    </w:tbl>
    <w:p>
      <w:pPr>
        <w:spacing w:before="0" w:after="200" w:line="276"/>
        <w:ind w:right="0" w:left="-567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tabs>
          <w:tab w:val="left" w:pos="3408" w:leader="none"/>
        </w:tabs>
        <w:spacing w:before="0" w:after="200" w:line="240"/>
        <w:ind w:right="5520" w:left="8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2. Informácie o prijatých postupoch</w:t>
      </w:r>
    </w:p>
    <w:p>
      <w:pPr>
        <w:spacing w:before="0" w:after="0" w:line="240"/>
        <w:ind w:right="0" w:left="8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</w:pP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á závierka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FFFFFF" w:val="clear"/>
        </w:rPr>
        <w:t xml:space="preserve"> bola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FFFFFF" w:val="clear"/>
        </w:rPr>
        <w:t xml:space="preserve"> 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zostavená za predpokladu nepretr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žit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ého trvania Spolo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čnosti.</w:t>
      </w:r>
    </w:p>
    <w:p>
      <w:pPr>
        <w:tabs>
          <w:tab w:val="left" w:pos="4866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</w:pP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čnosť oceňuje majetok a z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áväzky ku d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ňu uskutočneniu 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ého prípadu.</w:t>
      </w:r>
    </w:p>
    <w:p>
      <w:pPr>
        <w:tabs>
          <w:tab w:val="left" w:pos="4866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</w:pP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Ku d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ňu uskutočnenia 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ého prípadu oce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ňovala spoločnosť dlhodob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ý hmotný majetok a finan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čn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ý majetok nadobudnutý kúpou obstarávacou cenou.</w:t>
      </w:r>
    </w:p>
    <w:p>
      <w:pPr>
        <w:tabs>
          <w:tab w:val="left" w:pos="4866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</w:pP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Ku d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ňu uskutočnenia 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ého prípadu oce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ňovala spoločnosť menovitou hodnotou pohľad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ávky, záväzky a krátkodobý finan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čn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ý majetok pri ich vzniku.</w:t>
      </w:r>
    </w:p>
    <w:p>
      <w:pPr>
        <w:tabs>
          <w:tab w:val="left" w:pos="4866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</w:pP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Predpokladaná doba pou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ž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ívania, metóda odpisovania a odpisová sadzba sú uvedené v tabu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ľke:</w:t>
      </w:r>
    </w:p>
    <w:tbl>
      <w:tblPr/>
      <w:tblGrid>
        <w:gridCol w:w="6275"/>
        <w:gridCol w:w="1494"/>
        <w:gridCol w:w="1091"/>
        <w:gridCol w:w="1129"/>
      </w:tblGrid>
      <w:tr>
        <w:trPr>
          <w:trHeight w:val="558" w:hRule="auto"/>
          <w:jc w:val="left"/>
        </w:trPr>
        <w:tc>
          <w:tcPr>
            <w:tcW w:w="62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1988" w:firstLine="0"/>
              <w:jc w:val="left"/>
              <w:rPr>
                <w:rFonts w:ascii="Calibri" w:hAnsi="Calibri" w:cs="Calibri" w:eastAsia="Calibri"/>
                <w:color w:val="auto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1"/>
                <w:position w:val="0"/>
                <w:sz w:val="14"/>
                <w:shd w:fill="auto" w:val="clear"/>
              </w:rPr>
              <w:t xml:space="preserve">druh majetku</w:t>
            </w:r>
          </w:p>
        </w:tc>
        <w:tc>
          <w:tcPr>
            <w:tcW w:w="14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1"/>
                <w:position w:val="0"/>
                <w:sz w:val="14"/>
                <w:shd w:fill="auto" w:val="clear"/>
              </w:rPr>
              <w:t xml:space="preserve">Predpokladaná doba pou</w:t>
            </w:r>
            <w:r>
              <w:rPr>
                <w:rFonts w:ascii="Calibri" w:hAnsi="Calibri" w:cs="Calibri" w:eastAsia="Calibri"/>
                <w:color w:val="auto"/>
                <w:spacing w:val="1"/>
                <w:position w:val="0"/>
                <w:sz w:val="14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color w:val="auto"/>
                <w:spacing w:val="1"/>
                <w:position w:val="0"/>
                <w:sz w:val="14"/>
                <w:shd w:fill="auto" w:val="clear"/>
              </w:rPr>
              <w:t xml:space="preserve">ívania v rokoch</w:t>
            </w:r>
          </w:p>
        </w:tc>
        <w:tc>
          <w:tcPr>
            <w:tcW w:w="10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160" w:firstLine="0"/>
              <w:jc w:val="left"/>
              <w:rPr>
                <w:rFonts w:ascii="Calibri" w:hAnsi="Calibri" w:cs="Calibri" w:eastAsia="Calibri"/>
                <w:color w:val="auto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1"/>
                <w:position w:val="0"/>
                <w:sz w:val="14"/>
                <w:shd w:fill="auto" w:val="clear"/>
              </w:rPr>
              <w:t xml:space="preserve">Metóda odpisovania</w:t>
            </w:r>
          </w:p>
        </w:tc>
        <w:tc>
          <w:tcPr>
            <w:tcW w:w="11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1"/>
                <w:position w:val="0"/>
                <w:sz w:val="14"/>
                <w:shd w:fill="auto" w:val="clear"/>
              </w:rPr>
              <w:t xml:space="preserve">Sadzba ro</w:t>
            </w:r>
            <w:r>
              <w:rPr>
                <w:rFonts w:ascii="Calibri" w:hAnsi="Calibri" w:cs="Calibri" w:eastAsia="Calibri"/>
                <w:color w:val="auto"/>
                <w:spacing w:val="1"/>
                <w:position w:val="0"/>
                <w:sz w:val="14"/>
                <w:shd w:fill="auto" w:val="clear"/>
              </w:rPr>
              <w:t xml:space="preserve">čn</w:t>
            </w:r>
            <w:r>
              <w:rPr>
                <w:rFonts w:ascii="Calibri" w:hAnsi="Calibri" w:cs="Calibri" w:eastAsia="Calibri"/>
                <w:color w:val="auto"/>
                <w:spacing w:val="1"/>
                <w:position w:val="0"/>
                <w:sz w:val="14"/>
                <w:shd w:fill="auto" w:val="clear"/>
              </w:rPr>
              <w:t xml:space="preserve">ého odpisu</w:t>
            </w:r>
          </w:p>
        </w:tc>
      </w:tr>
      <w:tr>
        <w:trPr>
          <w:trHeight w:val="443" w:hRule="auto"/>
          <w:jc w:val="left"/>
        </w:trPr>
        <w:tc>
          <w:tcPr>
            <w:tcW w:w="62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62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66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16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3" w:hRule="auto"/>
          <w:jc w:val="left"/>
        </w:trPr>
        <w:tc>
          <w:tcPr>
            <w:tcW w:w="62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40"/>
              <w:ind w:right="0" w:left="6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66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16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8" w:hRule="auto"/>
          <w:jc w:val="left"/>
        </w:trPr>
        <w:tc>
          <w:tcPr>
            <w:tcW w:w="62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3" w:hRule="auto"/>
          <w:jc w:val="left"/>
        </w:trPr>
        <w:tc>
          <w:tcPr>
            <w:tcW w:w="62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tabs>
          <w:tab w:val="left" w:pos="8662" w:leader="none"/>
        </w:tabs>
        <w:spacing w:before="0" w:after="0" w:line="293"/>
        <w:ind w:right="438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76"/>
        <w:ind w:right="0" w:left="-567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Ocenenie DFM (cenných papierov, obchodných podielov)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br/>
        <w:t xml:space="preserve">Neevidujeme cenné papiere</w:t>
      </w:r>
    </w:p>
    <w:p>
      <w:pPr>
        <w:numPr>
          <w:ilvl w:val="0"/>
          <w:numId w:val="45"/>
        </w:numPr>
        <w:spacing w:before="0" w:after="28" w:line="240"/>
        <w:ind w:right="0" w:left="36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Ocenenie zásob (obstaraných kúpou, vlastnou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činnosťou, inak)</w:t>
      </w:r>
    </w:p>
    <w:p>
      <w:pPr>
        <w:spacing w:before="0" w:after="200" w:line="240"/>
        <w:ind w:right="1752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Zásoby sa oce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ňuj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ú ni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žšou z nasleduj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úcich hodnôt: obstarávacia cena (nakupované zásoby)</w:t>
      </w:r>
    </w:p>
    <w:p>
      <w:pPr>
        <w:numPr>
          <w:ilvl w:val="0"/>
          <w:numId w:val="47"/>
        </w:numPr>
        <w:tabs>
          <w:tab w:val="left" w:pos="3119" w:leader="none"/>
        </w:tabs>
        <w:spacing w:before="0" w:after="200" w:line="240"/>
        <w:ind w:right="5811" w:left="360" w:hanging="36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Ocenenie poh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ľad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ávok</w:t>
      </w:r>
    </w:p>
    <w:p>
      <w:pPr>
        <w:spacing w:before="0" w:after="200" w:line="276"/>
        <w:ind w:right="0" w:left="-567" w:firstLine="62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Poh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ľad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ávky pri ich vzniku sa oce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ňuj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ú ich menovitou hodnotou</w:t>
      </w:r>
    </w:p>
    <w:p>
      <w:pPr>
        <w:numPr>
          <w:ilvl w:val="0"/>
          <w:numId w:val="49"/>
        </w:numPr>
        <w:spacing w:before="0" w:after="200" w:line="276"/>
        <w:ind w:right="0" w:left="360" w:hanging="36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Ocenenie krátkodobého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čn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ého majetku (pe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ňažn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ých prostriedkov, cenín, CP na obchodovanie)</w:t>
      </w:r>
    </w:p>
    <w:p>
      <w:pPr>
        <w:spacing w:before="0" w:after="200" w:line="288"/>
        <w:ind w:right="3118" w:left="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Pe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ňažn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é prostriedky a ceniny sa oce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ňuj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ú ich menovitou hodnotou. Zní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ženie ich hodnoty sa vyjadruje opravnou položkou.</w:t>
      </w:r>
    </w:p>
    <w:p>
      <w:pPr>
        <w:spacing w:before="0" w:after="200" w:line="288"/>
        <w:ind w:right="480" w:left="2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88"/>
        <w:ind w:right="480" w:left="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1</w:t>
      </w:r>
    </w:p>
    <w:p>
      <w:pPr>
        <w:spacing w:before="0" w:after="0" w:line="240"/>
        <w:ind w:right="0" w:left="1336" w:hanging="1260"/>
        <w:jc w:val="left"/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</w:pPr>
    </w:p>
    <w:p>
      <w:pPr>
        <w:spacing w:before="0" w:after="0" w:line="240"/>
        <w:ind w:right="-586" w:left="1336" w:hanging="1260"/>
        <w:jc w:val="left"/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</w:pPr>
    </w:p>
    <w:p>
      <w:pPr>
        <w:spacing w:before="0" w:after="0" w:line="240"/>
        <w:ind w:right="0" w:left="1336" w:hanging="1260"/>
        <w:jc w:val="left"/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Poznámky  Ú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č M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ÚJ 3 - 01</w:t>
        <w:tab/>
        <w:tab/>
        <w:t xml:space="preserve">I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ČO 51744139                   DIČ 2120785953 </w:t>
      </w:r>
    </w:p>
    <w:p>
      <w:pPr>
        <w:spacing w:before="0" w:after="0" w:line="240"/>
        <w:ind w:right="0" w:left="1336" w:hanging="1260"/>
        <w:jc w:val="left"/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</w:pPr>
    </w:p>
    <w:p>
      <w:pPr>
        <w:spacing w:before="0" w:after="0" w:line="240"/>
        <w:ind w:right="0" w:left="1336" w:hanging="1260"/>
        <w:jc w:val="left"/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</w:pPr>
    </w:p>
    <w:p>
      <w:pPr>
        <w:spacing w:before="0" w:after="0" w:line="240"/>
        <w:ind w:right="0" w:left="1336" w:hanging="1260"/>
        <w:jc w:val="left"/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</w:pPr>
    </w:p>
    <w:p>
      <w:pPr>
        <w:numPr>
          <w:ilvl w:val="0"/>
          <w:numId w:val="55"/>
        </w:numPr>
        <w:spacing w:before="0" w:after="200" w:line="240"/>
        <w:ind w:right="3260" w:left="3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Ocenenie záväzkov vrátane rezerv, dlhopisov, pô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žičiek a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úverov</w:t>
      </w:r>
    </w:p>
    <w:p>
      <w:pPr>
        <w:spacing w:before="0" w:after="200" w:line="288"/>
        <w:ind w:right="480" w:left="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Záväzky pri ich vzniku sa oce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ňuj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ú menovitou hodnotou. Záväzky pri ich prevzatí sa oce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ňuj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ú obstarávacou cenou. Ak sa pri inventarizácii zistí,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že suma z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áväzkov je iná ako ich vý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ška v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íctve, uvedú sa záväzky v ú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íctve a v ú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čtovnej z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ávierke v tomto zistenom ocenení.</w:t>
      </w:r>
    </w:p>
    <w:p>
      <w:pPr>
        <w:numPr>
          <w:ilvl w:val="0"/>
          <w:numId w:val="57"/>
        </w:numPr>
        <w:spacing w:before="0" w:after="200" w:line="240"/>
        <w:ind w:right="0" w:left="36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Ocenenie derivátov</w:t>
      </w:r>
    </w:p>
    <w:p>
      <w:pPr>
        <w:spacing w:before="0" w:after="200" w:line="240"/>
        <w:ind w:right="0" w:left="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Neevidujeme</w:t>
      </w:r>
    </w:p>
    <w:p>
      <w:pPr>
        <w:numPr>
          <w:ilvl w:val="0"/>
          <w:numId w:val="59"/>
        </w:numPr>
        <w:spacing w:before="0" w:after="200" w:line="240"/>
        <w:ind w:right="0" w:left="36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Ocenenie majetku a záväzkov zabezpe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čen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ých derivátmi</w:t>
      </w:r>
    </w:p>
    <w:p>
      <w:pPr>
        <w:spacing w:before="0" w:after="200" w:line="240"/>
        <w:ind w:right="0" w:left="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Neevidujeme</w:t>
      </w:r>
    </w:p>
    <w:p>
      <w:pPr>
        <w:numPr>
          <w:ilvl w:val="0"/>
          <w:numId w:val="61"/>
        </w:numPr>
        <w:spacing w:before="0" w:after="0" w:line="240"/>
        <w:ind w:right="0" w:left="380" w:hanging="36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Informácie o poskytnutých dotáciách a ich ocenení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Neevidujeme dotácie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8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V be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žnom 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čtovnom obdob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í Spolo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čnosť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FFFFFF" w:val="clear"/>
        </w:rPr>
        <w:t xml:space="preserve"> nevykonala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FFFFFF" w:val="clear"/>
        </w:rPr>
        <w:t xml:space="preserve"> 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v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ýznamné opravy chýb minulých ú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ých období.</w:t>
      </w:r>
    </w:p>
    <w:p>
      <w:pPr>
        <w:spacing w:before="0" w:after="200" w:line="276"/>
        <w:ind w:right="0" w:left="-567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2409" w:left="60" w:firstLine="0"/>
        <w:jc w:val="left"/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auto" w:val="clear"/>
        </w:rPr>
        <w:t xml:space="preserve">3. Informácie, ktoré vysvet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auto" w:val="clear"/>
        </w:rPr>
        <w:t xml:space="preserve">ľuj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auto" w:val="clear"/>
        </w:rPr>
        <w:t xml:space="preserve">ú a dop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auto" w:val="clear"/>
        </w:rPr>
        <w:t xml:space="preserve">ĺňaj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auto" w:val="clear"/>
        </w:rPr>
        <w:t xml:space="preserve">ú súvahu a výkaz ziskov a strát.</w:t>
      </w:r>
    </w:p>
    <w:p>
      <w:pPr>
        <w:spacing w:before="0" w:after="250" w:line="240"/>
        <w:ind w:right="0" w:left="60" w:firstLine="0"/>
        <w:jc w:val="left"/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auto" w:val="clear"/>
        </w:rPr>
        <w:tab/>
      </w:r>
    </w:p>
    <w:p>
      <w:pPr>
        <w:spacing w:before="0" w:after="250" w:line="240"/>
        <w:ind w:right="0" w:left="60" w:firstLine="0"/>
        <w:jc w:val="left"/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  <w:t xml:space="preserve">Záväzky</w:t>
      </w:r>
    </w:p>
    <w:p>
      <w:pPr>
        <w:spacing w:before="0" w:after="0" w:line="288"/>
        <w:ind w:right="1540" w:left="6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čnosť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FFFFFF" w:val="clear"/>
        </w:rPr>
        <w:t xml:space="preserve"> neeviduje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FFFFFF" w:val="clear"/>
        </w:rPr>
        <w:t xml:space="preserve"> 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z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áväzky.</w:t>
        <w:br/>
        <w:t xml:space="preserve">K záväzkom Spolo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čnosť uv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ádza nasledujúce informácie:</w:t>
      </w:r>
    </w:p>
    <w:p>
      <w:pPr>
        <w:tabs>
          <w:tab w:val="left" w:pos="5245" w:leader="none"/>
          <w:tab w:val="left" w:pos="5529" w:leader="none"/>
        </w:tabs>
        <w:spacing w:before="0" w:after="0" w:line="283"/>
        <w:ind w:right="3969" w:left="60" w:firstLine="0"/>
        <w:jc w:val="left"/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  <w:t xml:space="preserve">Evidujeme záväzky z obchodného styku v hodnote  </w:t>
        <w:br/>
        <w:t xml:space="preserve">Záväzky vo</w:t>
      </w:r>
      <w:r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  <w:t xml:space="preserve">či SP, ZP a D</w:t>
      </w:r>
      <w:r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  <w:t xml:space="preserve">Ú za obdobie </w:t>
      </w:r>
    </w:p>
    <w:p>
      <w:pPr>
        <w:spacing w:before="0" w:after="0" w:line="288"/>
        <w:ind w:right="1540" w:left="6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</w:pPr>
    </w:p>
    <w:p>
      <w:pPr>
        <w:spacing w:before="0" w:after="0" w:line="288"/>
        <w:ind w:right="1540" w:left="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Štrukt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úra záväzkov pod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ľa zostatkovej doby splatnosti je uveden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á v tabu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ľke:</w:t>
      </w:r>
    </w:p>
    <w:p>
      <w:pPr>
        <w:spacing w:before="0" w:after="0" w:line="288"/>
        <w:ind w:right="1540" w:left="6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</w:pPr>
    </w:p>
    <w:tbl>
      <w:tblPr/>
      <w:tblGrid>
        <w:gridCol w:w="3710"/>
        <w:gridCol w:w="6878"/>
      </w:tblGrid>
      <w:tr>
        <w:trPr>
          <w:trHeight w:val="302" w:hRule="auto"/>
          <w:jc w:val="left"/>
        </w:trPr>
        <w:tc>
          <w:tcPr>
            <w:tcW w:w="3710" w:type="dxa"/>
            <w:vMerge w:val="restart"/>
            <w:tcBorders>
              <w:top w:val="single" w:color="000000" w:sz="4"/>
              <w:left w:val="single" w:color="000000" w:sz="4"/>
              <w:bottom w:val="single" w:color="000000" w:sz="0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40"/>
              <w:ind w:right="0" w:left="122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Názov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žky</w:t>
            </w:r>
          </w:p>
        </w:tc>
        <w:tc>
          <w:tcPr>
            <w:tcW w:w="6878" w:type="dxa"/>
            <w:tcBorders>
              <w:top w:val="single" w:color="000000" w:sz="4"/>
              <w:left w:val="single" w:color="000000" w:sz="4"/>
              <w:bottom w:val="single" w:color="000000" w:sz="0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2400" w:firstLine="0"/>
              <w:jc w:val="left"/>
              <w:rPr>
                <w:rFonts w:ascii="Calibri" w:hAnsi="Calibri" w:cs="Calibri" w:eastAsia="Calibri"/>
                <w:color w:val="auto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2"/>
                <w:position w:val="0"/>
                <w:sz w:val="20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color w:val="auto"/>
                <w:spacing w:val="2"/>
                <w:position w:val="0"/>
                <w:sz w:val="20"/>
                <w:shd w:fill="auto" w:val="clear"/>
              </w:rPr>
              <w:t xml:space="preserve">žn</w:t>
            </w:r>
            <w:r>
              <w:rPr>
                <w:rFonts w:ascii="Calibri" w:hAnsi="Calibri" w:cs="Calibri" w:eastAsia="Calibri"/>
                <w:color w:val="auto"/>
                <w:spacing w:val="2"/>
                <w:position w:val="0"/>
                <w:sz w:val="20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color w:val="auto"/>
                <w:spacing w:val="2"/>
                <w:position w:val="0"/>
                <w:sz w:val="20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color w:val="auto"/>
                <w:spacing w:val="2"/>
                <w:position w:val="0"/>
                <w:sz w:val="20"/>
                <w:shd w:fill="auto" w:val="clear"/>
              </w:rPr>
              <w:t xml:space="preserve">é obdobie</w:t>
            </w:r>
          </w:p>
        </w:tc>
      </w:tr>
      <w:tr>
        <w:trPr>
          <w:trHeight w:val="288" w:hRule="auto"/>
          <w:jc w:val="left"/>
        </w:trPr>
        <w:tc>
          <w:tcPr>
            <w:tcW w:w="3710" w:type="dxa"/>
            <w:vMerge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1336" w:hanging="126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7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40"/>
              <w:ind w:right="0" w:left="3180" w:firstLine="0"/>
              <w:jc w:val="left"/>
              <w:rPr>
                <w:rFonts w:ascii="Calibri" w:hAnsi="Calibri" w:cs="Calibri" w:eastAsia="Calibri"/>
                <w:position w:val="0"/>
              </w:rPr>
            </w:pPr>
            <w:r>
              <w:rPr>
                <w:rFonts w:ascii="Calibri" w:hAnsi="Calibri" w:cs="Calibri" w:eastAsia="Calibri"/>
                <w:color w:val="FFFFFF"/>
                <w:spacing w:val="3"/>
                <w:position w:val="0"/>
                <w:sz w:val="20"/>
                <w:shd w:fill="auto" w:val="clear"/>
              </w:rPr>
              <w:t xml:space="preserve">2 014</w:t>
            </w:r>
          </w:p>
        </w:tc>
      </w:tr>
      <w:tr>
        <w:trPr>
          <w:trHeight w:val="293" w:hRule="auto"/>
          <w:jc w:val="left"/>
        </w:trPr>
        <w:tc>
          <w:tcPr>
            <w:tcW w:w="37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40"/>
              <w:ind w:right="0" w:left="6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Dlhodobé záväzky spolu</w:t>
            </w:r>
          </w:p>
        </w:tc>
        <w:tc>
          <w:tcPr>
            <w:tcW w:w="68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40"/>
              <w:ind w:right="0" w:left="3180" w:firstLine="0"/>
              <w:jc w:val="left"/>
              <w:rPr>
                <w:rFonts w:ascii="Calibri" w:hAnsi="Calibri" w:cs="Calibri" w:eastAsia="Calibri"/>
                <w:position w:val="0"/>
              </w:rPr>
            </w:pPr>
            <w:r>
              <w:rPr>
                <w:rFonts w:ascii="Calibri" w:hAnsi="Calibri" w:cs="Calibri" w:eastAsia="Calibri"/>
                <w:color w:val="FFFFFF"/>
                <w:spacing w:val="3"/>
                <w:position w:val="0"/>
                <w:sz w:val="20"/>
                <w:shd w:fill="auto" w:val="clear"/>
              </w:rPr>
              <w:t xml:space="preserve">14 000</w:t>
            </w:r>
          </w:p>
        </w:tc>
      </w:tr>
      <w:tr>
        <w:trPr>
          <w:trHeight w:val="528" w:hRule="auto"/>
          <w:jc w:val="left"/>
        </w:trPr>
        <w:tc>
          <w:tcPr>
            <w:tcW w:w="37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59"/>
              <w:ind w:right="0" w:left="60" w:firstLine="0"/>
              <w:jc w:val="left"/>
              <w:rPr>
                <w:rFonts w:ascii="Calibri" w:hAnsi="Calibri" w:cs="Calibri" w:eastAsia="Calibri"/>
                <w:color w:val="auto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2"/>
                <w:position w:val="0"/>
                <w:sz w:val="20"/>
                <w:shd w:fill="auto" w:val="clear"/>
              </w:rPr>
              <w:t xml:space="preserve">Záväzky so zostatkovou dobou splatnosti nad pä</w:t>
            </w:r>
            <w:r>
              <w:rPr>
                <w:rFonts w:ascii="Calibri" w:hAnsi="Calibri" w:cs="Calibri" w:eastAsia="Calibri"/>
                <w:color w:val="auto"/>
                <w:spacing w:val="2"/>
                <w:position w:val="0"/>
                <w:sz w:val="20"/>
                <w:shd w:fill="auto" w:val="clear"/>
              </w:rPr>
              <w:t xml:space="preserve">ť rokov</w:t>
            </w:r>
          </w:p>
        </w:tc>
        <w:tc>
          <w:tcPr>
            <w:tcW w:w="68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40"/>
              <w:ind w:right="0" w:left="318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00" w:hRule="auto"/>
          <w:jc w:val="left"/>
        </w:trPr>
        <w:tc>
          <w:tcPr>
            <w:tcW w:w="37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64"/>
              <w:ind w:right="0" w:left="60" w:firstLine="0"/>
              <w:jc w:val="left"/>
              <w:rPr>
                <w:rFonts w:ascii="Calibri" w:hAnsi="Calibri" w:cs="Calibri" w:eastAsia="Calibri"/>
                <w:color w:val="auto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2"/>
                <w:position w:val="0"/>
                <w:sz w:val="20"/>
                <w:shd w:fill="auto" w:val="clear"/>
              </w:rPr>
              <w:t xml:space="preserve">Záväzky so zostatkovou dobou splatnosti jeden a</w:t>
            </w:r>
            <w:r>
              <w:rPr>
                <w:rFonts w:ascii="Calibri" w:hAnsi="Calibri" w:cs="Calibri" w:eastAsia="Calibri"/>
                <w:color w:val="auto"/>
                <w:spacing w:val="2"/>
                <w:position w:val="0"/>
                <w:sz w:val="20"/>
                <w:shd w:fill="auto" w:val="clear"/>
              </w:rPr>
              <w:t xml:space="preserve">ž p</w:t>
            </w:r>
            <w:r>
              <w:rPr>
                <w:rFonts w:ascii="Calibri" w:hAnsi="Calibri" w:cs="Calibri" w:eastAsia="Calibri"/>
                <w:color w:val="auto"/>
                <w:spacing w:val="2"/>
                <w:position w:val="0"/>
                <w:sz w:val="20"/>
                <w:shd w:fill="auto" w:val="clear"/>
              </w:rPr>
              <w:t xml:space="preserve">ä</w:t>
            </w:r>
            <w:r>
              <w:rPr>
                <w:rFonts w:ascii="Calibri" w:hAnsi="Calibri" w:cs="Calibri" w:eastAsia="Calibri"/>
                <w:color w:val="auto"/>
                <w:spacing w:val="2"/>
                <w:position w:val="0"/>
                <w:sz w:val="20"/>
                <w:shd w:fill="auto" w:val="clear"/>
              </w:rPr>
              <w:t xml:space="preserve">ť rokov</w:t>
            </w:r>
          </w:p>
        </w:tc>
        <w:tc>
          <w:tcPr>
            <w:tcW w:w="68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88"/>
        <w:ind w:right="1540" w:left="6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čnosť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FFFFFF" w:val="clear"/>
        </w:rPr>
        <w:t xml:space="preserve"> nem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FFFFFF" w:val="clear"/>
        </w:rPr>
        <w:t xml:space="preserve">á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 záväzky zabezpe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čen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é zálo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žn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ým právom alebo inou formou zabezpe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čenia.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čnosť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FFFFFF" w:val="clear"/>
        </w:rPr>
        <w:t xml:space="preserve"> ne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FFFFFF" w:val="clear"/>
        </w:rPr>
        <w:t xml:space="preserve">ú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FFFFFF" w:val="clear"/>
        </w:rPr>
        <w:t xml:space="preserve">čtovala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FFFFFF" w:val="clear"/>
        </w:rPr>
        <w:t xml:space="preserve"> 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o položk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ách nákladov a výnosov, ktoré mali výnimo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čn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ý rozsah alebo výskyt.</w:t>
      </w:r>
    </w:p>
    <w:p>
      <w:pPr>
        <w:tabs>
          <w:tab w:val="left" w:pos="1415" w:leader="none"/>
        </w:tabs>
        <w:spacing w:before="0" w:after="200" w:line="276"/>
        <w:ind w:right="0" w:left="-567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1336" w:hanging="1260"/>
        <w:jc w:val="left"/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  <w:t xml:space="preserve">2</w:t>
      </w:r>
    </w:p>
    <w:p>
      <w:pPr>
        <w:spacing w:before="0" w:after="0" w:line="240"/>
        <w:ind w:right="0" w:left="1336" w:hanging="1260"/>
        <w:jc w:val="left"/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</w:pPr>
    </w:p>
    <w:p>
      <w:pPr>
        <w:spacing w:before="0" w:after="0" w:line="240"/>
        <w:ind w:right="0" w:left="1336" w:hanging="1260"/>
        <w:jc w:val="left"/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</w:pPr>
    </w:p>
    <w:p>
      <w:pPr>
        <w:spacing w:before="0" w:after="0" w:line="240"/>
        <w:ind w:right="0" w:left="1336" w:hanging="1260"/>
        <w:jc w:val="left"/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</w:pPr>
    </w:p>
    <w:p>
      <w:pPr>
        <w:spacing w:before="0" w:after="328" w:line="240"/>
        <w:ind w:right="0" w:left="60" w:firstLine="0"/>
        <w:jc w:val="left"/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Poznámky  Ú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č M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ÚJ 3 - 01</w:t>
        <w:tab/>
        <w:tab/>
        <w:t xml:space="preserve">I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ČO 51744139                       DIČ 2120785953 </w:t>
      </w:r>
    </w:p>
    <w:p>
      <w:pPr>
        <w:spacing w:before="0" w:after="328" w:line="240"/>
        <w:ind w:right="0" w:left="60" w:firstLine="0"/>
        <w:jc w:val="left"/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</w:pPr>
    </w:p>
    <w:p>
      <w:pPr>
        <w:spacing w:before="0" w:after="328" w:line="240"/>
        <w:ind w:right="0" w:left="60" w:firstLine="0"/>
        <w:jc w:val="left"/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  <w:t xml:space="preserve">Informácie o vlastných akciách</w:t>
      </w:r>
    </w:p>
    <w:p>
      <w:pPr>
        <w:spacing w:before="0" w:after="0" w:line="240"/>
        <w:ind w:right="0" w:left="6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čnosť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FFFFFF" w:val="clear"/>
        </w:rPr>
        <w:t xml:space="preserve"> neeviduje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FFFFFF" w:val="clear"/>
        </w:rPr>
        <w:t xml:space="preserve"> 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vlastn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é akcie.</w:t>
      </w:r>
    </w:p>
    <w:p>
      <w:pPr>
        <w:tabs>
          <w:tab w:val="left" w:pos="1415" w:leader="none"/>
        </w:tabs>
        <w:spacing w:before="0" w:after="200" w:line="276"/>
        <w:ind w:right="0" w:left="-567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328" w:line="240"/>
        <w:ind w:right="0" w:left="40" w:firstLine="0"/>
        <w:jc w:val="left"/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  <w:t xml:space="preserve">Informácie o povinnostiach ú</w:t>
      </w:r>
      <w:r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  <w:t xml:space="preserve">čtovnej jednotky</w:t>
      </w:r>
    </w:p>
    <w:p>
      <w:pPr>
        <w:spacing w:before="0" w:after="0" w:line="240"/>
        <w:ind w:right="0" w:left="4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čnosť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FFFFFF" w:val="clear"/>
        </w:rPr>
        <w:t xml:space="preserve"> neeviduje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FFFFFF" w:val="clear"/>
        </w:rPr>
        <w:t xml:space="preserve"> 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finančn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é povinnosti, ktoré sa nevykazujú v súvahe.</w:t>
      </w:r>
    </w:p>
    <w:p>
      <w:pPr>
        <w:tabs>
          <w:tab w:val="left" w:pos="1415" w:leader="none"/>
        </w:tabs>
        <w:spacing w:before="0" w:after="200" w:line="276"/>
        <w:ind w:right="0" w:left="4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352" w:line="240"/>
        <w:ind w:right="0" w:left="40" w:firstLine="0"/>
        <w:jc w:val="left"/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  <w:t xml:space="preserve">Informácie o orgánoch ú</w:t>
      </w:r>
      <w:r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  <w:t xml:space="preserve">čtovnej jednotky</w:t>
      </w:r>
    </w:p>
    <w:p>
      <w:pPr>
        <w:spacing w:before="0" w:after="0" w:line="240"/>
        <w:ind w:right="0" w:left="4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čnosť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FFFFFF" w:val="clear"/>
        </w:rPr>
        <w:t xml:space="preserve"> neposkytla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FFFFFF" w:val="clear"/>
        </w:rPr>
        <w:t xml:space="preserve"> 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členom org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ánov ÚJ záruky, zabezpe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čenia, p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ô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žičky, plnenia na s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úkromné ú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čely.</w:t>
      </w:r>
    </w:p>
    <w:p>
      <w:pPr>
        <w:tabs>
          <w:tab w:val="left" w:pos="1415" w:leader="none"/>
        </w:tabs>
        <w:spacing w:before="0" w:after="200" w:line="276"/>
        <w:ind w:right="0" w:left="4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93"/>
        <w:ind w:right="141" w:left="6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čnosti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FFFFFF" w:val="clear"/>
        </w:rPr>
        <w:t xml:space="preserve"> nie je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FFFFFF" w:val="clear"/>
        </w:rPr>
        <w:t xml:space="preserve"> 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udelen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é výlu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čn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é právo alebo osobitné právo ktorým jej bolo udelené právo</w:t>
        <w:br/>
        <w:t xml:space="preserve">poskytova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ť služby vo verejnom z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áujme, pri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čom prij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íma náhradu za túto 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činnosť v akejkoľvek forme.</w:t>
      </w:r>
    </w:p>
    <w:p>
      <w:pPr>
        <w:tabs>
          <w:tab w:val="left" w:pos="1415" w:leader="none"/>
        </w:tabs>
        <w:spacing w:before="0" w:after="200" w:line="276"/>
        <w:ind w:right="0" w:left="4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num w:numId="45">
    <w:abstractNumId w:val="36"/>
  </w:num>
  <w:num w:numId="47">
    <w:abstractNumId w:val="30"/>
  </w:num>
  <w:num w:numId="49">
    <w:abstractNumId w:val="24"/>
  </w:num>
  <w:num w:numId="55">
    <w:abstractNumId w:val="18"/>
  </w:num>
  <w:num w:numId="57">
    <w:abstractNumId w:val="12"/>
  </w:num>
  <w:num w:numId="59">
    <w:abstractNumId w:val="6"/>
  </w:num>
  <w:num w:numId="61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