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6CAA" w:rsidRDefault="00FD46B9">
      <w:pPr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spacing w:after="120"/>
        <w:jc w:val="center"/>
        <w:rPr>
          <w:rFonts w:ascii="Arial Narrow" w:hAnsi="Arial Narrow" w:hint="eastAsia"/>
          <w:b/>
        </w:rPr>
      </w:pPr>
      <w:r>
        <w:rPr>
          <w:rFonts w:ascii="Arial Narrow" w:hAnsi="Arial Narrow"/>
          <w:b/>
        </w:rPr>
        <w:t>P</w:t>
      </w:r>
      <w:r w:rsidR="006C1AF7">
        <w:rPr>
          <w:rFonts w:ascii="Arial Narrow" w:hAnsi="Arial Narrow"/>
          <w:b/>
        </w:rPr>
        <w:t>OZNÁMKY K ÚČTOVNEJ ZÁVIERKE 2018</w:t>
      </w:r>
    </w:p>
    <w:p w:rsidR="00626CAA" w:rsidRDefault="00FD46B9">
      <w:pPr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 w:hint="eastAsia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626CAA" w:rsidRDefault="00FD46B9">
      <w:pPr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 w:hint="eastAsia"/>
        </w:rPr>
      </w:pPr>
      <w:r>
        <w:rPr>
          <w:rFonts w:ascii="Arial Narrow" w:hAnsi="Arial Narrow"/>
          <w:b/>
        </w:rPr>
        <w:t xml:space="preserve">pre malé účtovné </w:t>
      </w:r>
      <w:r>
        <w:rPr>
          <w:rFonts w:ascii="Arial Narrow" w:hAnsi="Arial Narrow"/>
          <w:b/>
        </w:rPr>
        <w:t>jednotky</w:t>
      </w:r>
      <w:r>
        <w:rPr>
          <w:rFonts w:ascii="Arial Narrow" w:hAnsi="Arial Narrow"/>
        </w:rPr>
        <w:t xml:space="preserve"> </w:t>
      </w:r>
    </w:p>
    <w:p w:rsidR="00626CAA" w:rsidRDefault="00626CAA">
      <w:pPr>
        <w:rPr>
          <w:rFonts w:ascii="Arial Narrow" w:hAnsi="Arial Narrow" w:hint="eastAsia"/>
        </w:rPr>
      </w:pPr>
    </w:p>
    <w:p w:rsidR="00626CAA" w:rsidRDefault="00FD46B9">
      <w:pPr>
        <w:spacing w:after="0" w:line="240" w:lineRule="auto"/>
        <w:rPr>
          <w:rFonts w:ascii="Times New Roman" w:hAnsi="Times New Roman" w:cs="Times New Roman"/>
          <w:b/>
          <w:color w:val="5B9BD5"/>
        </w:rPr>
      </w:pPr>
      <w:r>
        <w:rPr>
          <w:rFonts w:ascii="Times New Roman" w:hAnsi="Times New Roman" w:cs="Times New Roman"/>
          <w:b/>
          <w:color w:val="5B9BD5"/>
        </w:rPr>
        <w:t>Čl. I </w:t>
      </w:r>
      <w:r>
        <w:rPr>
          <w:rFonts w:ascii="Times New Roman" w:hAnsi="Times New Roman" w:cs="Times New Roman"/>
          <w:b/>
          <w:color w:val="5B9BD5"/>
        </w:rPr>
        <w:tab/>
        <w:t>Všeobecné informácie</w:t>
      </w:r>
    </w:p>
    <w:p w:rsidR="00626CAA" w:rsidRDefault="00626CAA">
      <w:pPr>
        <w:rPr>
          <w:rFonts w:ascii="Arial Narrow" w:hAnsi="Arial Narrow" w:hint="eastAsia"/>
        </w:rPr>
      </w:pPr>
    </w:p>
    <w:p w:rsidR="00626CAA" w:rsidRDefault="00FD46B9">
      <w:pPr>
        <w:jc w:val="both"/>
        <w:rPr>
          <w:b/>
        </w:rPr>
      </w:pPr>
      <w:r>
        <w:rPr>
          <w:rFonts w:ascii="Times New Roman" w:hAnsi="Times New Roman" w:cs="Times New Roman"/>
          <w:b/>
        </w:rPr>
        <w:t>I.1</w:t>
      </w:r>
      <w:r>
        <w:t xml:space="preserve">  Zákl</w:t>
      </w:r>
      <w:r>
        <w:rPr>
          <w:b/>
        </w:rPr>
        <w:t>adné informácie o účtovnej jednotke:</w:t>
      </w:r>
    </w:p>
    <w:tbl>
      <w:tblPr>
        <w:tblW w:w="0" w:type="auto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4A0"/>
      </w:tblPr>
      <w:tblGrid>
        <w:gridCol w:w="2514"/>
        <w:gridCol w:w="6653"/>
      </w:tblGrid>
      <w:tr w:rsidR="00626CAA">
        <w:trPr>
          <w:trHeight w:val="231"/>
        </w:trPr>
        <w:tc>
          <w:tcPr>
            <w:tcW w:w="2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  <w:vAlign w:val="bottom"/>
          </w:tcPr>
          <w:p w:rsidR="00626CAA" w:rsidRDefault="00FD46B9">
            <w:r>
              <w:t>Obchodné meno:</w:t>
            </w:r>
          </w:p>
        </w:tc>
        <w:tc>
          <w:tcPr>
            <w:tcW w:w="6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  <w:vAlign w:val="bottom"/>
          </w:tcPr>
          <w:p w:rsidR="00626CAA" w:rsidRDefault="00FD46B9">
            <w:r>
              <w:t>NARELI SK, s.r.o.</w:t>
            </w:r>
          </w:p>
        </w:tc>
      </w:tr>
      <w:tr w:rsidR="00626CAA">
        <w:trPr>
          <w:trHeight w:val="249"/>
        </w:trPr>
        <w:tc>
          <w:tcPr>
            <w:tcW w:w="2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  <w:vAlign w:val="bottom"/>
          </w:tcPr>
          <w:p w:rsidR="00626CAA" w:rsidRDefault="00FD46B9">
            <w:r>
              <w:t>Sídlo:</w:t>
            </w:r>
          </w:p>
        </w:tc>
        <w:tc>
          <w:tcPr>
            <w:tcW w:w="6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  <w:vAlign w:val="bottom"/>
          </w:tcPr>
          <w:p w:rsidR="00626CAA" w:rsidRDefault="00FD46B9">
            <w:r>
              <w:t>Štiavnická 5140 03401 Ružomberok</w:t>
            </w:r>
          </w:p>
        </w:tc>
      </w:tr>
      <w:tr w:rsidR="00626CAA">
        <w:trPr>
          <w:trHeight w:val="125"/>
        </w:trPr>
        <w:tc>
          <w:tcPr>
            <w:tcW w:w="2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  <w:vAlign w:val="bottom"/>
          </w:tcPr>
          <w:p w:rsidR="00626CAA" w:rsidRDefault="00FD46B9">
            <w:r>
              <w:t>Právna forma:</w:t>
            </w:r>
          </w:p>
        </w:tc>
        <w:tc>
          <w:tcPr>
            <w:tcW w:w="6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  <w:vAlign w:val="bottom"/>
          </w:tcPr>
          <w:p w:rsidR="00626CAA" w:rsidRDefault="00FD46B9">
            <w:r>
              <w:t>PO</w:t>
            </w:r>
          </w:p>
        </w:tc>
      </w:tr>
      <w:tr w:rsidR="00626CAA">
        <w:trPr>
          <w:trHeight w:val="143"/>
        </w:trPr>
        <w:tc>
          <w:tcPr>
            <w:tcW w:w="2514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left w:w="88" w:type="dxa"/>
            </w:tcMar>
            <w:vAlign w:val="bottom"/>
          </w:tcPr>
          <w:p w:rsidR="00626CAA" w:rsidRDefault="00FD46B9">
            <w:r>
              <w:t>Dátum vzniku:</w:t>
            </w:r>
          </w:p>
        </w:tc>
        <w:tc>
          <w:tcPr>
            <w:tcW w:w="6653" w:type="dxa"/>
            <w:tcBorders>
              <w:top w:val="single" w:sz="4" w:space="0" w:color="00000A"/>
              <w:left w:val="nil"/>
              <w:bottom w:val="nil"/>
              <w:right w:val="single" w:sz="8" w:space="0" w:color="00000A"/>
            </w:tcBorders>
            <w:shd w:val="clear" w:color="auto" w:fill="FFFFFF"/>
            <w:tcMar>
              <w:left w:w="108" w:type="dxa"/>
            </w:tcMar>
            <w:vAlign w:val="bottom"/>
          </w:tcPr>
          <w:p w:rsidR="00626CAA" w:rsidRDefault="00FD46B9">
            <w:r>
              <w:t>Zápis do obchodného registra: 14.7.2014</w:t>
            </w:r>
          </w:p>
        </w:tc>
      </w:tr>
      <w:tr w:rsidR="00626CAA">
        <w:trPr>
          <w:trHeight w:val="175"/>
        </w:trPr>
        <w:tc>
          <w:tcPr>
            <w:tcW w:w="2514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left w:w="88" w:type="dxa"/>
            </w:tcMar>
          </w:tcPr>
          <w:p w:rsidR="00626CAA" w:rsidRDefault="00FD46B9">
            <w:r>
              <w:t xml:space="preserve">Hlavný predmet </w:t>
            </w:r>
            <w:r>
              <w:t>podnikania:</w:t>
            </w:r>
          </w:p>
          <w:p w:rsidR="00626CAA" w:rsidRDefault="00626CAA"/>
          <w:p w:rsidR="00626CAA" w:rsidRDefault="00626CAA"/>
          <w:p w:rsidR="00626CAA" w:rsidRDefault="00626CAA"/>
        </w:tc>
        <w:tc>
          <w:tcPr>
            <w:tcW w:w="6653" w:type="dxa"/>
            <w:tcBorders>
              <w:top w:val="nil"/>
              <w:left w:val="nil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left w:w="108" w:type="dxa"/>
            </w:tcMar>
          </w:tcPr>
          <w:p w:rsidR="00626CAA" w:rsidRDefault="00FD46B9">
            <w:r>
              <w:t>Sprostredkovanie obchodu</w:t>
            </w:r>
          </w:p>
        </w:tc>
      </w:tr>
      <w:tr w:rsidR="00626CAA">
        <w:trPr>
          <w:trHeight w:val="194"/>
        </w:trPr>
        <w:tc>
          <w:tcPr>
            <w:tcW w:w="2514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88" w:type="dxa"/>
            </w:tcMar>
            <w:vAlign w:val="bottom"/>
          </w:tcPr>
          <w:p w:rsidR="00626CAA" w:rsidRDefault="00FD46B9">
            <w:r>
              <w:t>Účtovné obdobie:</w:t>
            </w:r>
          </w:p>
        </w:tc>
        <w:tc>
          <w:tcPr>
            <w:tcW w:w="6653" w:type="dxa"/>
            <w:tcBorders>
              <w:top w:val="single" w:sz="4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108" w:type="dxa"/>
            </w:tcMar>
            <w:vAlign w:val="bottom"/>
          </w:tcPr>
          <w:p w:rsidR="00626CAA" w:rsidRDefault="00FD46B9">
            <w:r>
              <w:t>Kalendárny rok 201</w:t>
            </w:r>
            <w:r w:rsidR="006C1AF7">
              <w:t>8</w:t>
            </w:r>
          </w:p>
        </w:tc>
      </w:tr>
    </w:tbl>
    <w:p w:rsidR="00626CAA" w:rsidRDefault="00626CAA"/>
    <w:p w:rsidR="00626CAA" w:rsidRDefault="00FD46B9">
      <w:r>
        <w:t xml:space="preserve">ÚJ spĺňa veľkostné podmienky na zatriedenie do veľkostnej skupiny – </w:t>
      </w:r>
      <w:r>
        <w:rPr>
          <w:b/>
        </w:rPr>
        <w:t xml:space="preserve">malá účtovná jednotka, </w:t>
      </w:r>
      <w:r>
        <w:t>preto zostavuje účtovnú závierku podľa metodiky pre túto veľkostnú skupinu (Opatrenie</w:t>
      </w:r>
      <w:r>
        <w:t xml:space="preserve"> č.MF/23378/2014-74).</w:t>
      </w:r>
    </w:p>
    <w:tbl>
      <w:tblPr>
        <w:tblW w:w="0" w:type="auto"/>
        <w:tblInd w:w="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4A0"/>
      </w:tblPr>
      <w:tblGrid>
        <w:gridCol w:w="2191"/>
        <w:gridCol w:w="3386"/>
        <w:gridCol w:w="3957"/>
      </w:tblGrid>
      <w:tr w:rsidR="00626CAA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3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626CAA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rPr>
                <w:bCs/>
              </w:rPr>
            </w:pPr>
            <w:r>
              <w:rPr>
                <w:bCs/>
              </w:rPr>
              <w:t>Aktíva celkom</w:t>
            </w:r>
          </w:p>
        </w:tc>
        <w:tc>
          <w:tcPr>
            <w:tcW w:w="3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6C1AF7" w:rsidP="006C1AF7">
            <w:pPr>
              <w:rPr>
                <w:bCs/>
              </w:rPr>
            </w:pPr>
            <w:r>
              <w:rPr>
                <w:bCs/>
              </w:rPr>
              <w:t>9961</w:t>
            </w:r>
            <w:r w:rsidR="00C77EB8">
              <w:rPr>
                <w:bCs/>
              </w:rPr>
              <w:t>,00</w:t>
            </w:r>
          </w:p>
        </w:tc>
        <w:tc>
          <w:tcPr>
            <w:tcW w:w="3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6C1AF7">
            <w:pPr>
              <w:jc w:val="center"/>
              <w:rPr>
                <w:bCs/>
              </w:rPr>
            </w:pPr>
            <w:r>
              <w:rPr>
                <w:bCs/>
              </w:rPr>
              <w:t>5785</w:t>
            </w:r>
            <w:r w:rsidR="00C77EB8">
              <w:rPr>
                <w:bCs/>
              </w:rPr>
              <w:t>,00</w:t>
            </w:r>
          </w:p>
        </w:tc>
      </w:tr>
      <w:tr w:rsidR="00626CAA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rPr>
                <w:bCs/>
              </w:rPr>
            </w:pPr>
            <w:r>
              <w:rPr>
                <w:bCs/>
              </w:rPr>
              <w:t>Čistý obrat celkom</w:t>
            </w:r>
          </w:p>
        </w:tc>
        <w:tc>
          <w:tcPr>
            <w:tcW w:w="3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C77EB8">
            <w:pPr>
              <w:rPr>
                <w:bCs/>
              </w:rPr>
            </w:pPr>
            <w:r>
              <w:rPr>
                <w:bCs/>
              </w:rPr>
              <w:t>48703,00</w:t>
            </w:r>
          </w:p>
        </w:tc>
        <w:tc>
          <w:tcPr>
            <w:tcW w:w="3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C77EB8">
            <w:pPr>
              <w:rPr>
                <w:bCs/>
              </w:rPr>
            </w:pPr>
            <w:r>
              <w:rPr>
                <w:bCs/>
              </w:rPr>
              <w:t xml:space="preserve">                               37926,00</w:t>
            </w:r>
          </w:p>
        </w:tc>
      </w:tr>
      <w:tr w:rsidR="00626CAA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jc w:val="both"/>
              <w:rPr>
                <w:rFonts w:ascii="Arial Narrow" w:hAnsi="Arial Narrow" w:cs="Arial Narrow" w:hint="eastAsia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počet zamestnancov</w:t>
            </w:r>
          </w:p>
        </w:tc>
        <w:tc>
          <w:tcPr>
            <w:tcW w:w="3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C77EB8">
            <w:pPr>
              <w:jc w:val="both"/>
              <w:rPr>
                <w:rFonts w:ascii="Arial Narrow" w:hAnsi="Arial Narrow" w:cs="Arial Narrow" w:hint="eastAsia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  <w:tc>
          <w:tcPr>
            <w:tcW w:w="3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C77EB8" w:rsidP="00C77EB8">
            <w:pPr>
              <w:jc w:val="both"/>
              <w:rPr>
                <w:rFonts w:ascii="Arial Narrow" w:hAnsi="Arial Narrow" w:cs="Arial Narrow" w:hint="eastAsia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0</w:t>
            </w:r>
            <w:r w:rsidR="00FD46B9">
              <w:rPr>
                <w:rFonts w:ascii="Arial Narrow" w:hAnsi="Arial Narrow" w:cs="Arial Narrow"/>
                <w:bCs/>
              </w:rPr>
              <w:t xml:space="preserve">                      </w:t>
            </w:r>
          </w:p>
        </w:tc>
      </w:tr>
    </w:tbl>
    <w:p w:rsidR="00626CAA" w:rsidRDefault="00626CA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626CAA" w:rsidRDefault="00626CA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626CAA" w:rsidRDefault="00626CA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626CAA" w:rsidRDefault="00FD46B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  <w:t xml:space="preserve">Dátum </w:t>
      </w:r>
      <w:r>
        <w:rPr>
          <w:rFonts w:ascii="Times New Roman" w:hAnsi="Times New Roman" w:cs="Times New Roman"/>
          <w:b/>
        </w:rPr>
        <w:t>schválenia účtovnej závierky za bezprostredne predchádzajúce účtovné obdobie:</w:t>
      </w:r>
    </w:p>
    <w:p w:rsidR="00626CAA" w:rsidRDefault="00FD46B9">
      <w:pPr>
        <w:jc w:val="both"/>
        <w:rPr>
          <w:rFonts w:ascii="Arial Narrow" w:hAnsi="Arial Narrow" w:cs="Arial Narrow" w:hint="eastAsia"/>
        </w:rPr>
      </w:pPr>
      <w:r>
        <w:rPr>
          <w:rFonts w:ascii="Arial Narrow" w:hAnsi="Arial Narrow" w:cs="Arial Narrow"/>
        </w:rPr>
        <w:t xml:space="preserve">           </w:t>
      </w:r>
      <w:r w:rsidR="006C1AF7">
        <w:rPr>
          <w:rFonts w:ascii="Arial Narrow" w:hAnsi="Arial Narrow" w:cs="Arial Narrow"/>
        </w:rPr>
        <w:t xml:space="preserve">   účtovná závierka k 31.12.2017 bola schválená dňa 31.12.2018</w:t>
      </w:r>
    </w:p>
    <w:p w:rsidR="00626CAA" w:rsidRDefault="00626CAA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26CAA" w:rsidRDefault="00FD46B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626CAA" w:rsidRDefault="006C1AF7">
      <w:pPr>
        <w:ind w:right="-468"/>
        <w:jc w:val="both"/>
        <w:rPr>
          <w:rFonts w:ascii="Arial Narrow" w:hAnsi="Arial Narrow" w:cs="Arial Narrow" w:hint="eastAsia"/>
        </w:rPr>
      </w:pPr>
      <w:r>
        <w:rPr>
          <w:rFonts w:ascii="Arial Narrow" w:hAnsi="Arial Narrow" w:cs="Arial Narrow"/>
        </w:rPr>
        <w:lastRenderedPageBreak/>
        <w:t xml:space="preserve">                k 31.12.2018</w:t>
      </w:r>
      <w:r w:rsidR="00FD46B9">
        <w:rPr>
          <w:rFonts w:ascii="Arial Narrow" w:hAnsi="Arial Narrow" w:cs="Arial Narrow"/>
        </w:rPr>
        <w:t xml:space="preserve"> je účtovná závierka zost</w:t>
      </w:r>
      <w:r w:rsidR="00FD46B9">
        <w:rPr>
          <w:rFonts w:ascii="Arial Narrow" w:hAnsi="Arial Narrow" w:cs="Arial Narrow"/>
        </w:rPr>
        <w:t>avená ako riadna účtovná závierk</w:t>
      </w:r>
      <w:r>
        <w:rPr>
          <w:rFonts w:ascii="Arial Narrow" w:hAnsi="Arial Narrow" w:cs="Arial Narrow"/>
        </w:rPr>
        <w:t>a za účtovné obdobie od 1.1.2018</w:t>
      </w:r>
      <w:r w:rsidR="00FD46B9">
        <w:rPr>
          <w:rFonts w:ascii="Arial Narrow" w:hAnsi="Arial Narrow" w:cs="Arial Narrow"/>
        </w:rPr>
        <w:t xml:space="preserve"> do          </w:t>
      </w:r>
    </w:p>
    <w:p w:rsidR="00626CAA" w:rsidRDefault="00FD46B9">
      <w:pPr>
        <w:ind w:right="-468"/>
        <w:jc w:val="both"/>
        <w:rPr>
          <w:rFonts w:ascii="Arial Narrow" w:hAnsi="Arial Narrow" w:cs="Arial Narrow" w:hint="eastAsia"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6C1AF7">
        <w:rPr>
          <w:rFonts w:ascii="Arial Narrow" w:hAnsi="Arial Narrow" w:cs="Arial Narrow"/>
        </w:rPr>
        <w:t>31.12.2018</w:t>
      </w:r>
      <w:r>
        <w:rPr>
          <w:rFonts w:ascii="Arial Narrow" w:hAnsi="Arial Narrow" w:cs="Arial Narrow"/>
        </w:rPr>
        <w:t>.</w:t>
      </w:r>
    </w:p>
    <w:p w:rsidR="00626CAA" w:rsidRDefault="00626CAA">
      <w:pPr>
        <w:ind w:right="-468"/>
        <w:jc w:val="both"/>
        <w:rPr>
          <w:rFonts w:ascii="Times New Roman" w:hAnsi="Times New Roman" w:cs="Times New Roman"/>
          <w:b/>
        </w:rPr>
      </w:pPr>
    </w:p>
    <w:p w:rsidR="00626CAA" w:rsidRDefault="00FD46B9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I.4 </w:t>
      </w:r>
      <w:r>
        <w:rPr>
          <w:rFonts w:ascii="Times New Roman" w:hAnsi="Times New Roman" w:cs="Times New Roman"/>
          <w:b/>
        </w:rPr>
        <w:tab/>
        <w:t xml:space="preserve">Informácie o skupine účtovných jednotiek, ak je účtovná jednotka jej súčasťou: </w:t>
      </w:r>
    </w:p>
    <w:p w:rsidR="00626CAA" w:rsidRDefault="00FD46B9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žiadnej skupiny.</w:t>
      </w:r>
    </w:p>
    <w:p w:rsidR="00626CAA" w:rsidRDefault="00626CAA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626CAA" w:rsidRDefault="00FD46B9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I.5 </w:t>
      </w:r>
      <w:r>
        <w:rPr>
          <w:rFonts w:ascii="Times New Roman" w:hAnsi="Times New Roman" w:cs="Times New Roman"/>
          <w:b/>
        </w:rPr>
        <w:tab/>
        <w:t xml:space="preserve">Informácie o </w:t>
      </w:r>
      <w:r>
        <w:rPr>
          <w:rFonts w:ascii="Times New Roman" w:hAnsi="Times New Roman" w:cs="Times New Roman"/>
          <w:b/>
        </w:rPr>
        <w:t>počte zamestnancov:</w:t>
      </w:r>
    </w:p>
    <w:p w:rsidR="00626CAA" w:rsidRDefault="00626CAA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  <w:r w:rsidRPr="00626CAA">
        <w:pict>
          <v:rect id="_x0000_s1026" style="position:absolute;left:0;text-align:left;margin-left:-7.75pt;margin-top:2.05pt;width:466.2pt;height:73pt;z-index:251657728;mso-wrap-distance-left:7.05pt;mso-wrap-distance-right:7.05pt" strokeweight="0">
            <v:textbox inset="0,0,0,0">
              <w:txbxContent>
                <w:tbl>
                  <w:tblPr>
                    <w:tblW w:w="0" w:type="auto"/>
                    <w:tblInd w:w="86" w:type="dxa"/>
                    <w:tblBorders>
                      <w:top w:val="single" w:sz="18" w:space="0" w:color="00000A"/>
                      <w:left w:val="single" w:sz="18" w:space="0" w:color="00000A"/>
                      <w:bottom w:val="single" w:sz="18" w:space="0" w:color="00000A"/>
                      <w:right w:val="single" w:sz="12" w:space="0" w:color="00000A"/>
                      <w:insideH w:val="single" w:sz="18" w:space="0" w:color="00000A"/>
                      <w:insideV w:val="single" w:sz="12" w:space="0" w:color="00000A"/>
                    </w:tblBorders>
                    <w:tblCellMar>
                      <w:left w:w="62" w:type="dxa"/>
                    </w:tblCellMar>
                    <w:tblLook w:val="04A0"/>
                  </w:tblPr>
                  <w:tblGrid>
                    <w:gridCol w:w="4124"/>
                    <w:gridCol w:w="2410"/>
                    <w:gridCol w:w="2790"/>
                  </w:tblGrid>
                  <w:tr w:rsidR="00626CAA">
                    <w:tc>
                      <w:tcPr>
                        <w:tcW w:w="4124" w:type="dxa"/>
                        <w:tcBorders>
                          <w:top w:val="single" w:sz="18" w:space="0" w:color="00000A"/>
                          <w:left w:val="single" w:sz="18" w:space="0" w:color="00000A"/>
                          <w:bottom w:val="single" w:sz="18" w:space="0" w:color="00000A"/>
                          <w:right w:val="single" w:sz="12" w:space="0" w:color="00000A"/>
                        </w:tcBorders>
                        <w:shd w:val="clear" w:color="auto" w:fill="FFFFFF"/>
                        <w:tcMar>
                          <w:left w:w="62" w:type="dxa"/>
                        </w:tcMar>
                        <w:vAlign w:val="center"/>
                      </w:tcPr>
                      <w:p w:rsidR="00626CAA" w:rsidRDefault="00FD46B9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  <w:b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</w:rPr>
                          <w:t>Názov položky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18" w:space="0" w:color="00000A"/>
                          <w:left w:val="single" w:sz="12" w:space="0" w:color="00000A"/>
                          <w:bottom w:val="single" w:sz="18" w:space="0" w:color="00000A"/>
                          <w:right w:val="single" w:sz="12" w:space="0" w:color="00000A"/>
                        </w:tcBorders>
                        <w:shd w:val="clear" w:color="auto" w:fill="FFFFFF"/>
                        <w:tcMar>
                          <w:left w:w="78" w:type="dxa"/>
                        </w:tcMar>
                        <w:vAlign w:val="center"/>
                      </w:tcPr>
                      <w:p w:rsidR="00626CAA" w:rsidRDefault="00FD46B9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  <w:b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</w:rPr>
                          <w:t>Bežné účtovné obdobie</w:t>
                        </w:r>
                      </w:p>
                    </w:tc>
                    <w:tc>
                      <w:tcPr>
                        <w:tcW w:w="2790" w:type="dxa"/>
                        <w:tcBorders>
                          <w:top w:val="single" w:sz="18" w:space="0" w:color="00000A"/>
                          <w:left w:val="single" w:sz="12" w:space="0" w:color="00000A"/>
                          <w:bottom w:val="single" w:sz="18" w:space="0" w:color="00000A"/>
                          <w:right w:val="single" w:sz="18" w:space="0" w:color="00000A"/>
                        </w:tcBorders>
                        <w:shd w:val="clear" w:color="auto" w:fill="FFFFFF"/>
                        <w:tcMar>
                          <w:left w:w="78" w:type="dxa"/>
                        </w:tcMar>
                      </w:tcPr>
                      <w:p w:rsidR="00626CAA" w:rsidRDefault="00FD46B9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  <w:b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</w:rPr>
                          <w:t>Bezprostredne predchádzajúce účtovné obdobie</w:t>
                        </w:r>
                      </w:p>
                    </w:tc>
                  </w:tr>
                  <w:tr w:rsidR="00626CAA">
                    <w:trPr>
                      <w:trHeight w:val="454"/>
                    </w:trPr>
                    <w:tc>
                      <w:tcPr>
                        <w:tcW w:w="4124" w:type="dxa"/>
                        <w:tcBorders>
                          <w:top w:val="single" w:sz="18" w:space="0" w:color="00000A"/>
                          <w:left w:val="single" w:sz="18" w:space="0" w:color="00000A"/>
                          <w:bottom w:val="single" w:sz="18" w:space="0" w:color="00000A"/>
                          <w:right w:val="single" w:sz="12" w:space="0" w:color="00000A"/>
                        </w:tcBorders>
                        <w:shd w:val="clear" w:color="auto" w:fill="FFFFFF"/>
                        <w:tcMar>
                          <w:left w:w="62" w:type="dxa"/>
                        </w:tcMar>
                      </w:tcPr>
                      <w:p w:rsidR="00626CAA" w:rsidRDefault="00FD46B9">
                        <w:pPr>
                          <w:spacing w:after="0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Priemerný prepočítaný počet zamestnancov počas účtovného obdobia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18" w:space="0" w:color="00000A"/>
                          <w:left w:val="single" w:sz="12" w:space="0" w:color="00000A"/>
                          <w:bottom w:val="single" w:sz="18" w:space="0" w:color="00000A"/>
                          <w:right w:val="single" w:sz="12" w:space="0" w:color="00000A"/>
                        </w:tcBorders>
                        <w:shd w:val="clear" w:color="auto" w:fill="FFFFFF"/>
                        <w:tcMar>
                          <w:left w:w="78" w:type="dxa"/>
                        </w:tcMar>
                      </w:tcPr>
                      <w:p w:rsidR="00626CAA" w:rsidRDefault="00FD46B9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0</w:t>
                        </w:r>
                      </w:p>
                    </w:tc>
                    <w:tc>
                      <w:tcPr>
                        <w:tcW w:w="2790" w:type="dxa"/>
                        <w:tcBorders>
                          <w:top w:val="single" w:sz="18" w:space="0" w:color="00000A"/>
                          <w:left w:val="single" w:sz="12" w:space="0" w:color="00000A"/>
                          <w:bottom w:val="single" w:sz="18" w:space="0" w:color="00000A"/>
                          <w:right w:val="single" w:sz="18" w:space="0" w:color="00000A"/>
                        </w:tcBorders>
                        <w:shd w:val="clear" w:color="auto" w:fill="FFFFFF"/>
                        <w:tcMar>
                          <w:left w:w="78" w:type="dxa"/>
                        </w:tcMar>
                      </w:tcPr>
                      <w:p w:rsidR="00626CAA" w:rsidRDefault="00FD46B9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0</w:t>
                        </w:r>
                      </w:p>
                    </w:tc>
                  </w:tr>
                </w:tbl>
                <w:p w:rsidR="00626CAA" w:rsidRDefault="00626CAA">
                  <w:pPr>
                    <w:pStyle w:val="Obsahrmca"/>
                  </w:pPr>
                </w:p>
              </w:txbxContent>
            </v:textbox>
            <w10:wrap type="square"/>
          </v:rect>
        </w:pict>
      </w:r>
    </w:p>
    <w:p w:rsidR="00626CAA" w:rsidRDefault="00FD46B9">
      <w:pPr>
        <w:spacing w:line="240" w:lineRule="auto"/>
        <w:rPr>
          <w:rFonts w:ascii="Times New Roman" w:hAnsi="Times New Roman" w:cs="Times New Roman"/>
          <w:b/>
          <w:color w:val="5B9BD5"/>
        </w:rPr>
      </w:pPr>
      <w:r>
        <w:rPr>
          <w:rFonts w:ascii="Times New Roman" w:hAnsi="Times New Roman" w:cs="Times New Roman"/>
          <w:b/>
          <w:color w:val="5B9BD5"/>
        </w:rPr>
        <w:t>Čl. II</w:t>
      </w:r>
      <w:r>
        <w:rPr>
          <w:rFonts w:ascii="Times New Roman" w:hAnsi="Times New Roman" w:cs="Times New Roman"/>
          <w:b/>
          <w:color w:val="5B9BD5"/>
        </w:rPr>
        <w:tab/>
        <w:t>Informácie o orgánoch spoločnosti</w:t>
      </w:r>
    </w:p>
    <w:p w:rsidR="00626CAA" w:rsidRDefault="00626CAA">
      <w:pPr>
        <w:spacing w:after="120"/>
        <w:jc w:val="both"/>
        <w:rPr>
          <w:rFonts w:ascii="Times New Roman" w:hAnsi="Times New Roman" w:cs="Times New Roman"/>
          <w:b/>
        </w:rPr>
      </w:pPr>
    </w:p>
    <w:p w:rsidR="00626CAA" w:rsidRDefault="00FD46B9">
      <w:pPr>
        <w:spacing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</w:rPr>
        <w:t>II.1</w:t>
      </w:r>
      <w:r>
        <w:rPr>
          <w:rFonts w:ascii="Times New Roman" w:hAnsi="Times New Roman" w:cs="Times New Roman"/>
          <w:b/>
        </w:rPr>
        <w:tab/>
        <w:t xml:space="preserve">Informácie o orgánoch účtovnej </w:t>
      </w:r>
      <w:r>
        <w:rPr>
          <w:rFonts w:ascii="Times New Roman" w:hAnsi="Times New Roman" w:cs="Times New Roman"/>
          <w:b/>
        </w:rPr>
        <w:t>jednotky</w:t>
      </w:r>
      <w:r>
        <w:rPr>
          <w:rFonts w:ascii="Arial Narrow" w:hAnsi="Arial Narrow" w:cs="Arial Narrow"/>
          <w:bCs/>
        </w:rPr>
        <w:t xml:space="preserve">– </w:t>
      </w:r>
      <w:r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626CAA" w:rsidRDefault="00626CAA">
      <w:pPr>
        <w:spacing w:after="120"/>
        <w:jc w:val="both"/>
        <w:rPr>
          <w:rFonts w:ascii="Times New Roman" w:hAnsi="Times New Roman" w:cs="Times New Roman"/>
          <w:bCs/>
        </w:rPr>
      </w:pPr>
    </w:p>
    <w:p w:rsidR="00626CAA" w:rsidRDefault="00FD46B9">
      <w:pPr>
        <w:spacing w:line="240" w:lineRule="auto"/>
        <w:rPr>
          <w:rFonts w:ascii="Times New Roman" w:hAnsi="Times New Roman" w:cs="Times New Roman"/>
          <w:b/>
          <w:color w:val="5B9BD5"/>
        </w:rPr>
      </w:pPr>
      <w:r>
        <w:rPr>
          <w:rFonts w:ascii="Times New Roman" w:hAnsi="Times New Roman" w:cs="Times New Roman"/>
          <w:b/>
          <w:color w:val="5B9BD5"/>
        </w:rPr>
        <w:t>Čl. III</w:t>
      </w:r>
      <w:r>
        <w:rPr>
          <w:rFonts w:ascii="Times New Roman" w:hAnsi="Times New Roman" w:cs="Times New Roman"/>
          <w:b/>
          <w:color w:val="5B9BD5"/>
        </w:rPr>
        <w:tab/>
        <w:t>Informácie o prijatých postupoch</w:t>
      </w:r>
    </w:p>
    <w:p w:rsidR="00626CAA" w:rsidRDefault="00FD46B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Cs w:val="24"/>
        </w:rPr>
        <w:t>III. 1</w:t>
      </w:r>
      <w:r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  <w:r>
        <w:rPr>
          <w:rFonts w:cs="Arial Narrow"/>
        </w:rPr>
        <w:t xml:space="preserve"> </w:t>
      </w:r>
      <w:r>
        <w:rPr>
          <w:rFonts w:ascii="Arial Narrow" w:hAnsi="Arial Narrow"/>
        </w:rPr>
        <w:t xml:space="preserve"> </w:t>
      </w:r>
      <w:r>
        <w:rPr>
          <w:rFonts w:ascii="Times New Roman" w:hAnsi="Times New Roman" w:cs="Times New Roman"/>
        </w:rPr>
        <w:t xml:space="preserve">Účtovná závierka bola </w:t>
      </w:r>
      <w:r>
        <w:rPr>
          <w:rFonts w:ascii="Times New Roman" w:hAnsi="Times New Roman" w:cs="Times New Roman"/>
        </w:rPr>
        <w:t xml:space="preserve">                                   vypracovaná v súlade so zákonom č. 431/2002 Z. z. o účtovníctve v znení neskorších predpisov a opatrením MF SR č. 23054/2002-92, ktorým sa ustanovujú podrobnosti o postupoch účtovania a rámcovej účtovej osnove pre podnika</w:t>
      </w:r>
      <w:r>
        <w:rPr>
          <w:rFonts w:ascii="Times New Roman" w:hAnsi="Times New Roman" w:cs="Times New Roman"/>
        </w:rPr>
        <w:t>teľov v znení neskorších predpisov. Menou pre vykazovanie je EUR.</w:t>
      </w:r>
    </w:p>
    <w:p w:rsidR="00626CAA" w:rsidRDefault="00FD46B9">
      <w:pPr>
        <w:spacing w:line="240" w:lineRule="auto"/>
        <w:jc w:val="both"/>
        <w:rPr>
          <w:rFonts w:ascii="Arial Narrow" w:hAnsi="Arial Narrow" w:hint="eastAsia"/>
        </w:rPr>
      </w:pPr>
      <w:r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</w:t>
      </w:r>
      <w:r>
        <w:rPr>
          <w:rFonts w:ascii="Times New Roman" w:hAnsi="Times New Roman" w:cs="Times New Roman"/>
        </w:rPr>
        <w:t>v rámci riadneho chodu svojej činnosti</w:t>
      </w:r>
      <w:r>
        <w:rPr>
          <w:rFonts w:ascii="Arial Narrow" w:hAnsi="Arial Narrow"/>
        </w:rPr>
        <w:t>.</w:t>
      </w:r>
    </w:p>
    <w:p w:rsidR="00626CAA" w:rsidRDefault="00FD46B9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626CAA" w:rsidRDefault="00FD46B9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>
        <w:rPr>
          <w:rFonts w:ascii="Times New Roman" w:hAnsi="Times New Roman" w:cs="Times New Roman"/>
        </w:rPr>
        <w:t>ÚJ účtuje o nákladoch a výnosoch sa účtuje v momente, keď sú plnené bez ohľadu na dátum ich úhrady,</w:t>
      </w:r>
      <w:r>
        <w:rPr>
          <w:rFonts w:ascii="Times New Roman" w:hAnsi="Times New Roman" w:cs="Times New Roman"/>
        </w:rPr>
        <w:t xml:space="preserve"> inkasa alebo deň vyrovnania iným spôsobom. Dodržuje sa pritom zásada časovej a vecnej súvislosti nákladov a výnosov.   Hlavné účtovné zásady a metódy boli uplatnené aj v bezprostredne predchádzajúcom účtovnom období a vychádzajú z platnej legislatívy.</w:t>
      </w:r>
    </w:p>
    <w:p w:rsidR="00626CAA" w:rsidRDefault="00626CAA">
      <w:pPr>
        <w:ind w:right="-141"/>
        <w:jc w:val="both"/>
        <w:rPr>
          <w:rFonts w:ascii="Arial Narrow" w:hAnsi="Arial Narrow" w:cs="Arial Narrow" w:hint="eastAsia"/>
        </w:rPr>
      </w:pPr>
    </w:p>
    <w:p w:rsidR="00626CAA" w:rsidRDefault="00FD46B9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</w:t>
      </w:r>
      <w:r>
        <w:rPr>
          <w:rFonts w:ascii="Times New Roman" w:eastAsia="MS Gothic" w:hAnsi="Times New Roman" w:cs="Times New Roman"/>
          <w:b/>
          <w:szCs w:val="24"/>
        </w:rPr>
        <w:t>I. 3</w:t>
      </w:r>
      <w:r>
        <w:rPr>
          <w:rFonts w:ascii="Times New Roman" w:eastAsia="MS Gothic" w:hAnsi="Times New Roman" w:cs="Times New Roman"/>
          <w:b/>
          <w:szCs w:val="24"/>
        </w:rPr>
        <w:tab/>
        <w:t xml:space="preserve">Informácie o charaktere a účele transakcií, ktoré sa neuvádzajú v súvahe: </w:t>
      </w:r>
      <w:r>
        <w:rPr>
          <w:rFonts w:ascii="Times New Roman" w:eastAsia="MS Gothic" w:hAnsi="Times New Roman" w:cs="Times New Roman"/>
          <w:szCs w:val="24"/>
        </w:rPr>
        <w:t>nie je náplň</w:t>
      </w:r>
    </w:p>
    <w:p w:rsidR="00626CAA" w:rsidRDefault="00626CA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626CAA" w:rsidRDefault="00FD46B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a)   Spôsob oceňovania jednotlivých zložiek majetku a záväzkov:</w:t>
      </w:r>
    </w:p>
    <w:p w:rsidR="00626CAA" w:rsidRDefault="00626CAA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4A0"/>
      </w:tblPr>
      <w:tblGrid>
        <w:gridCol w:w="703"/>
        <w:gridCol w:w="5278"/>
        <w:gridCol w:w="3591"/>
      </w:tblGrid>
      <w:tr w:rsidR="00626CAA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626CAA">
            <w:pPr>
              <w:pStyle w:val="Telotextu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26CAA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26CAA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26CAA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26CAA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jc w:val="both"/>
              <w:rPr>
                <w:rFonts w:ascii="Arial Narrow" w:hAnsi="Arial Narrow" w:cs="Arial" w:hint="eastAsia"/>
              </w:rPr>
            </w:pPr>
            <w:r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26CAA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26CAA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26CAA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jc w:val="both"/>
              <w:rPr>
                <w:rFonts w:ascii="Arial Narrow" w:hAnsi="Arial Narrow" w:cs="Arial" w:hint="eastAsia"/>
              </w:rPr>
            </w:pPr>
            <w:r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26CAA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26CAA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26CAA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26CAA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26CAA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26CAA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26CAA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26CAA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jc w:val="both"/>
              <w:rPr>
                <w:rFonts w:ascii="Arial Narrow" w:hAnsi="Arial Narrow" w:cs="Arial" w:hint="eastAsia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lang w:val="en-AU"/>
              </w:rPr>
              <w:t>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26CAA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jc w:val="both"/>
              <w:rPr>
                <w:rFonts w:ascii="Arial Narrow" w:hAnsi="Arial Narrow" w:cs="Arial" w:hint="eastAsia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: 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26CAA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jc w:val="both"/>
              <w:rPr>
                <w:rFonts w:ascii="Arial Narrow" w:hAnsi="Arial Narrow" w:cs="Arial" w:hint="eastAsia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lang w:val="en-AU"/>
              </w:rPr>
              <w:t>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626CAA" w:rsidRDefault="00FD46B9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626CAA" w:rsidRDefault="00626CAA">
      <w:pPr>
        <w:spacing w:line="240" w:lineRule="auto"/>
        <w:jc w:val="both"/>
        <w:rPr>
          <w:rFonts w:ascii="Times New Roman" w:hAnsi="Times New Roman" w:cs="Times New Roman"/>
        </w:rPr>
      </w:pPr>
    </w:p>
    <w:p w:rsidR="00626CAA" w:rsidRDefault="00FD46B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III. 4 b)   Odhad zníženia hodnoty </w:t>
      </w:r>
      <w:r>
        <w:rPr>
          <w:rFonts w:ascii="Times New Roman" w:eastAsia="MS Gothic" w:hAnsi="Times New Roman" w:cs="Times New Roman"/>
          <w:b/>
        </w:rPr>
        <w:t>majetku a tvorba OP k majetku</w:t>
      </w:r>
    </w:p>
    <w:p w:rsidR="00626CAA" w:rsidRDefault="00FD46B9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626CAA" w:rsidRDefault="00FD46B9">
      <w:pPr>
        <w:pStyle w:val="Bezriadkovania"/>
      </w:pPr>
      <w:r>
        <w:t xml:space="preserve">dlžník úplne alebo čiastočne nezaplatí a k spornej pohľadávke voči dlžníkovi, s ktorým sa vedie spor o jej uznanie. Celková </w:t>
      </w:r>
      <w:r>
        <w:t>hodnota opravných pol</w:t>
      </w:r>
      <w:r w:rsidR="006C1AF7">
        <w:t>ožiek k pohľadávkam k 31.12.2018</w:t>
      </w:r>
      <w:r>
        <w:t xml:space="preserve"> predstavuje     </w:t>
      </w:r>
      <w:r w:rsidR="006C1AF7">
        <w:t>0,00</w:t>
      </w:r>
      <w:r>
        <w:t xml:space="preserve">       €.</w:t>
      </w:r>
    </w:p>
    <w:p w:rsidR="00626CAA" w:rsidRDefault="00FD46B9">
      <w:pPr>
        <w:pStyle w:val="Bezriadkovania"/>
      </w:pPr>
      <w:r>
        <w:t xml:space="preserve">Neuhradené pohľadávky z obchodného styku ku koncu roku sú v celkovej výške      </w:t>
      </w:r>
      <w:r w:rsidR="006C1AF7">
        <w:t>0,00</w:t>
      </w:r>
      <w:r>
        <w:t xml:space="preserve">  €.</w:t>
      </w:r>
    </w:p>
    <w:p w:rsidR="00626CAA" w:rsidRDefault="00FD46B9">
      <w:pPr>
        <w:pStyle w:val="Bezriadkovania"/>
      </w:pPr>
      <w:r>
        <w:t xml:space="preserve"> </w:t>
      </w:r>
    </w:p>
    <w:tbl>
      <w:tblPr>
        <w:tblW w:w="0" w:type="auto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5820"/>
        <w:gridCol w:w="3652"/>
      </w:tblGrid>
      <w:tr w:rsidR="00626CAA">
        <w:trPr>
          <w:trHeight w:val="735"/>
        </w:trPr>
        <w:tc>
          <w:tcPr>
            <w:tcW w:w="587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FD46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626CAA">
        <w:trPr>
          <w:trHeight w:val="390"/>
        </w:trPr>
        <w:tc>
          <w:tcPr>
            <w:tcW w:w="5879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626CAA" w:rsidRDefault="00FD46B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Pohľadávka </w:t>
            </w:r>
          </w:p>
        </w:tc>
        <w:tc>
          <w:tcPr>
            <w:tcW w:w="3687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bottom"/>
          </w:tcPr>
          <w:p w:rsidR="00626CAA" w:rsidRDefault="00626CAA">
            <w:pPr>
              <w:spacing w:after="0" w:line="240" w:lineRule="auto"/>
              <w:ind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26CAA">
        <w:trPr>
          <w:trHeight w:val="390"/>
        </w:trPr>
        <w:tc>
          <w:tcPr>
            <w:tcW w:w="587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626CAA" w:rsidRDefault="00FD46B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bottom"/>
          </w:tcPr>
          <w:p w:rsidR="00626CAA" w:rsidRDefault="00626CAA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26CAA">
        <w:trPr>
          <w:trHeight w:val="390"/>
        </w:trPr>
        <w:tc>
          <w:tcPr>
            <w:tcW w:w="587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626CAA" w:rsidRDefault="00FD46B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bottom"/>
          </w:tcPr>
          <w:p w:rsidR="00626CAA" w:rsidRDefault="00626CAA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626CAA" w:rsidRDefault="00626CA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26CAA" w:rsidRDefault="00FD46B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c)   Ocenenie záväzkov a stanovenie odhadu ocenenia rezerv</w:t>
      </w:r>
    </w:p>
    <w:p w:rsidR="00626CAA" w:rsidRDefault="00FD46B9">
      <w:pPr>
        <w:pStyle w:val="Bezriadkovania"/>
      </w:pPr>
      <w:r>
        <w:t>Spoločnosť tvorila krátkodobé rezervy, kde predpokladaná doba plnenia príslušného záväzku je najviac</w:t>
      </w:r>
    </w:p>
    <w:p w:rsidR="00626CAA" w:rsidRDefault="00FD46B9">
      <w:pPr>
        <w:pStyle w:val="Bezriadkovania"/>
      </w:pPr>
      <w:r>
        <w:t xml:space="preserve">jeden rok. </w:t>
      </w:r>
    </w:p>
    <w:p w:rsidR="00626CAA" w:rsidRDefault="00626CAA">
      <w:pPr>
        <w:pStyle w:val="Bezriadkovania"/>
      </w:pPr>
    </w:p>
    <w:tbl>
      <w:tblPr>
        <w:tblW w:w="0" w:type="auto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5881"/>
        <w:gridCol w:w="3458"/>
      </w:tblGrid>
      <w:tr w:rsidR="00626CAA">
        <w:trPr>
          <w:trHeight w:val="390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626CAA">
        <w:trPr>
          <w:trHeight w:val="390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626CAA" w:rsidRDefault="00FD46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Rezerva na overenie a zverejnenie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účtovnej závierky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626CAA" w:rsidRDefault="00626C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26CAA">
        <w:trPr>
          <w:trHeight w:val="390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626CAA" w:rsidRDefault="00FD46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626CAA" w:rsidRDefault="00626C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26CAA">
        <w:trPr>
          <w:trHeight w:val="390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626CAA" w:rsidRDefault="00FD46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626CAA" w:rsidRDefault="00FD46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626CAA" w:rsidRDefault="00626CA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26CAA" w:rsidRDefault="00FD46B9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d)  Ocenenie krátkodobého finančného majetku reálnou hodnotou ku dňu zostavenia účtovnej závierky:</w:t>
      </w:r>
    </w:p>
    <w:p w:rsidR="00626CAA" w:rsidRDefault="00626CA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0" w:type="auto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3329"/>
        <w:gridCol w:w="2124"/>
        <w:gridCol w:w="1559"/>
        <w:gridCol w:w="2270"/>
      </w:tblGrid>
      <w:tr w:rsidR="00626CAA">
        <w:trPr>
          <w:trHeight w:val="1870"/>
        </w:trPr>
        <w:tc>
          <w:tcPr>
            <w:tcW w:w="332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FD46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FD46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7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FD46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26CAA">
        <w:trPr>
          <w:trHeight w:val="390"/>
        </w:trPr>
        <w:tc>
          <w:tcPr>
            <w:tcW w:w="3329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70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626CAA" w:rsidRDefault="00626CA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26CAA" w:rsidRDefault="00FD46B9">
      <w:pPr>
        <w:pStyle w:val="Bezriadkovania"/>
        <w:rPr>
          <w:b/>
        </w:rPr>
      </w:pPr>
      <w:r>
        <w:rPr>
          <w:b/>
        </w:rPr>
        <w:t xml:space="preserve">III. 4 e) Významné položky krátkodobého finančného majetku a opravné položky ku krátkodobému                                        </w:t>
      </w:r>
    </w:p>
    <w:p w:rsidR="00626CAA" w:rsidRDefault="00FD46B9">
      <w:pPr>
        <w:pStyle w:val="Bezriadkovania"/>
        <w:rPr>
          <w:b/>
        </w:rPr>
      </w:pPr>
      <w:r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626CAA" w:rsidRDefault="00626CA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26CAA" w:rsidRDefault="00FD46B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f)     Spôsob zostavenia odpisového plánu dlhodobého majetku</w:t>
      </w:r>
    </w:p>
    <w:p w:rsidR="00626CAA" w:rsidRDefault="00626CAA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626CAA" w:rsidRDefault="00FD46B9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Spôsob zostavenia účtovnéh</w:t>
      </w:r>
      <w:r>
        <w:rPr>
          <w:rFonts w:ascii="Times New Roman" w:hAnsi="Times New Roman" w:cs="Times New Roman"/>
          <w:szCs w:val="24"/>
        </w:rPr>
        <w:t>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-37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76" w:type="dxa"/>
        </w:tblCellMar>
        <w:tblLook w:val="04A0"/>
      </w:tblPr>
      <w:tblGrid>
        <w:gridCol w:w="2837"/>
        <w:gridCol w:w="2952"/>
        <w:gridCol w:w="3548"/>
      </w:tblGrid>
      <w:tr w:rsidR="00626CAA">
        <w:tc>
          <w:tcPr>
            <w:tcW w:w="2837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76" w:type="dxa"/>
            </w:tcMar>
          </w:tcPr>
          <w:p w:rsidR="00626CAA" w:rsidRDefault="00FD46B9">
            <w:pPr>
              <w:spacing w:after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626CAA" w:rsidRDefault="00FD46B9">
            <w:pPr>
              <w:spacing w:after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626CAA" w:rsidRDefault="00FD46B9">
            <w:pPr>
              <w:spacing w:after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626CAA">
        <w:trPr>
          <w:trHeight w:val="340"/>
        </w:trPr>
        <w:tc>
          <w:tcPr>
            <w:tcW w:w="2837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76" w:type="dxa"/>
            </w:tcMar>
          </w:tcPr>
          <w:p w:rsidR="00626CAA" w:rsidRDefault="00FD46B9">
            <w:pPr>
              <w:spacing w:after="0"/>
              <w:jc w:val="both"/>
              <w:rPr>
                <w:rFonts w:ascii="Arial Narrow" w:hAnsi="Arial Narrow" w:cs="Arial" w:hint="eastAsia"/>
              </w:rPr>
            </w:pPr>
            <w:r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2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626CAA" w:rsidRDefault="00FD46B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8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626CAA" w:rsidRDefault="00FD46B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626CAA">
        <w:trPr>
          <w:trHeight w:val="340"/>
        </w:trPr>
        <w:tc>
          <w:tcPr>
            <w:tcW w:w="2837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76" w:type="dxa"/>
            </w:tcMar>
          </w:tcPr>
          <w:p w:rsidR="00626CAA" w:rsidRDefault="00FD46B9">
            <w:pPr>
              <w:spacing w:after="0"/>
              <w:jc w:val="both"/>
              <w:rPr>
                <w:rFonts w:ascii="Arial Narrow" w:hAnsi="Arial Narrow" w:cs="Arial" w:hint="eastAsia"/>
              </w:rPr>
            </w:pPr>
            <w:r>
              <w:rPr>
                <w:rFonts w:ascii="Arial Narrow" w:hAnsi="Arial Narrow" w:cs="Arial"/>
              </w:rPr>
              <w:t>Budovy a stavby</w:t>
            </w:r>
          </w:p>
        </w:tc>
        <w:tc>
          <w:tcPr>
            <w:tcW w:w="29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626CAA" w:rsidRDefault="00FD46B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626CAA" w:rsidRDefault="00FD46B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626CAA">
        <w:trPr>
          <w:trHeight w:val="340"/>
        </w:trPr>
        <w:tc>
          <w:tcPr>
            <w:tcW w:w="2837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76" w:type="dxa"/>
            </w:tcMar>
          </w:tcPr>
          <w:p w:rsidR="00626CAA" w:rsidRDefault="00FD46B9">
            <w:pPr>
              <w:spacing w:after="0"/>
              <w:jc w:val="both"/>
              <w:rPr>
                <w:rFonts w:ascii="Arial Narrow" w:hAnsi="Arial Narrow" w:cs="Arial" w:hint="eastAsia"/>
              </w:rPr>
            </w:pPr>
            <w:r>
              <w:rPr>
                <w:rFonts w:ascii="Arial Narrow" w:hAnsi="Arial Narrow" w:cs="Arial"/>
              </w:rPr>
              <w:t xml:space="preserve">Drobné </w:t>
            </w:r>
            <w:r>
              <w:rPr>
                <w:rFonts w:ascii="Arial Narrow" w:hAnsi="Arial Narrow" w:cs="Arial"/>
              </w:rPr>
              <w:t>stavby</w:t>
            </w:r>
          </w:p>
        </w:tc>
        <w:tc>
          <w:tcPr>
            <w:tcW w:w="29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626CAA" w:rsidRDefault="00FD46B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626CAA" w:rsidRDefault="00FD46B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626CAA">
        <w:trPr>
          <w:trHeight w:val="340"/>
        </w:trPr>
        <w:tc>
          <w:tcPr>
            <w:tcW w:w="2837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76" w:type="dxa"/>
            </w:tcMar>
          </w:tcPr>
          <w:p w:rsidR="00626CAA" w:rsidRDefault="00FD46B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626CAA" w:rsidRDefault="00FD46B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626CAA" w:rsidRDefault="00FD46B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626CAA">
        <w:trPr>
          <w:trHeight w:val="340"/>
        </w:trPr>
        <w:tc>
          <w:tcPr>
            <w:tcW w:w="2837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76" w:type="dxa"/>
            </w:tcMar>
          </w:tcPr>
          <w:p w:rsidR="00626CAA" w:rsidRDefault="00FD46B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2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626CAA" w:rsidRDefault="00FD46B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8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626CAA" w:rsidRDefault="00FD46B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626CAA" w:rsidRDefault="00626CAA">
      <w:pPr>
        <w:spacing w:after="120" w:line="240" w:lineRule="auto"/>
        <w:jc w:val="both"/>
        <w:rPr>
          <w:rFonts w:ascii="Arial Narrow" w:hAnsi="Arial Narrow" w:cs="Arial Narrow" w:hint="eastAsia"/>
        </w:rPr>
      </w:pPr>
    </w:p>
    <w:p w:rsidR="00626CAA" w:rsidRDefault="00FD46B9">
      <w:pPr>
        <w:numPr>
          <w:ilvl w:val="0"/>
          <w:numId w:val="1"/>
        </w:numPr>
        <w:spacing w:after="120" w:line="240" w:lineRule="auto"/>
        <w:ind w:left="2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ÚJ používa účtovné odpisy nezávisle na daňových odpisov. Majetok sa začína odpisovať v mesiaci, kedy bol zaradený do užívania. Účtovné odpisy vychádzajú z predpokladanej doby </w:t>
      </w:r>
      <w:r>
        <w:rPr>
          <w:rFonts w:ascii="Times New Roman" w:hAnsi="Times New Roman" w:cs="Times New Roman"/>
        </w:rPr>
        <w:t>používania majetku. Dlhodobý nehmotný majetok sa odpisuje počas 4 rokov od jeho obstarania.</w:t>
      </w:r>
    </w:p>
    <w:p w:rsidR="00626CAA" w:rsidRDefault="00FD46B9">
      <w:pPr>
        <w:numPr>
          <w:ilvl w:val="0"/>
          <w:numId w:val="1"/>
        </w:numPr>
        <w:spacing w:after="120" w:line="240" w:lineRule="auto"/>
        <w:ind w:left="2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používa rovnomerné odpisovanie dlhodobého hmotného majetku a dlhodobého nehmotného majetku. Podrobný účtovný odpisový plán po položkách sa vedie v podsystéme DHM</w:t>
      </w:r>
      <w:r>
        <w:rPr>
          <w:rFonts w:ascii="Times New Roman" w:hAnsi="Times New Roman" w:cs="Times New Roman"/>
        </w:rPr>
        <w:t xml:space="preserve"> s podporou softvé</w:t>
      </w:r>
      <w:r w:rsidR="006C1AF7">
        <w:rPr>
          <w:rFonts w:ascii="Times New Roman" w:hAnsi="Times New Roman" w:cs="Times New Roman"/>
        </w:rPr>
        <w:t xml:space="preserve">ru </w:t>
      </w:r>
      <w:proofErr w:type="spellStart"/>
      <w:r w:rsidR="006C1AF7">
        <w:rPr>
          <w:rFonts w:ascii="Times New Roman" w:hAnsi="Times New Roman" w:cs="Times New Roman"/>
        </w:rPr>
        <w:t>Oberon</w:t>
      </w:r>
      <w:proofErr w:type="spellEnd"/>
      <w:r w:rsidR="006C1AF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.(taktiež daňové odpisy podľa zákona o dani z príjmov).</w:t>
      </w:r>
    </w:p>
    <w:p w:rsidR="00626CAA" w:rsidRDefault="00FD46B9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III. 4 g)</w:t>
      </w:r>
      <w:r>
        <w:rPr>
          <w:rFonts w:ascii="Times New Roman" w:eastAsia="MS Gothic" w:hAnsi="Times New Roman" w:cs="Times New Roman"/>
          <w:b/>
        </w:rPr>
        <w:tab/>
        <w:t xml:space="preserve">Dotácie poskytnuté na obstaranie majetku: </w:t>
      </w:r>
      <w:r>
        <w:rPr>
          <w:rFonts w:ascii="Times New Roman" w:eastAsia="MS Gothic" w:hAnsi="Times New Roman" w:cs="Times New Roman"/>
        </w:rPr>
        <w:t>v sledovanom období nebola poskytnutá.</w:t>
      </w:r>
    </w:p>
    <w:p w:rsidR="00626CAA" w:rsidRDefault="00626CA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626CAA" w:rsidRDefault="00FD46B9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III. 5 </w:t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 xml:space="preserve">Oprava významných a nevýznamných chýb minulých účtovných období vykonaných v bežnom účtovnom období: </w:t>
      </w:r>
      <w:r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626CAA" w:rsidRDefault="00626CAA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/>
          <w:szCs w:val="24"/>
        </w:rPr>
      </w:pPr>
    </w:p>
    <w:p w:rsidR="00626CAA" w:rsidRDefault="00FD46B9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/>
          <w:szCs w:val="24"/>
        </w:rPr>
      </w:pPr>
      <w:r>
        <w:rPr>
          <w:rFonts w:ascii="Times New Roman" w:hAnsi="Times New Roman" w:cs="Times New Roman"/>
          <w:b/>
          <w:color w:val="5B9BD5"/>
          <w:szCs w:val="24"/>
        </w:rPr>
        <w:t>Čl. IV</w:t>
      </w:r>
      <w:r>
        <w:rPr>
          <w:rFonts w:ascii="Times New Roman" w:hAnsi="Times New Roman" w:cs="Times New Roman"/>
          <w:b/>
          <w:color w:val="5B9BD5"/>
          <w:szCs w:val="24"/>
        </w:rPr>
        <w:tab/>
        <w:t>Informácie, ktoré vysvetľujú a dopĺňajú súvahu a  výkaz ziskov a strát</w:t>
      </w:r>
    </w:p>
    <w:p w:rsidR="00626CAA" w:rsidRDefault="00626CAA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626CAA" w:rsidRDefault="00FD46B9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>
        <w:rPr>
          <w:rFonts w:ascii="Times New Roman" w:eastAsia="MS Gothic" w:hAnsi="Times New Roman" w:cs="Times New Roman"/>
          <w:b/>
        </w:rPr>
        <w:t>. 1 a)</w:t>
      </w:r>
      <w:r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626CAA" w:rsidRDefault="00FD46B9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lastRenderedPageBreak/>
        <w:t>IV. 1 b)</w:t>
      </w:r>
      <w:r>
        <w:rPr>
          <w:rFonts w:ascii="Times New Roman" w:eastAsia="MS Gothic" w:hAnsi="Times New Roman" w:cs="Times New Roman"/>
          <w:b/>
        </w:rPr>
        <w:tab/>
        <w:t xml:space="preserve">Hodnota záväzkov zabezpečená záložným právom: </w:t>
      </w:r>
      <w:r>
        <w:rPr>
          <w:rFonts w:ascii="Times New Roman" w:eastAsia="MS Gothic" w:hAnsi="Times New Roman" w:cs="Times New Roman"/>
        </w:rPr>
        <w:t xml:space="preserve">v sledovanom období nebolo zriadené </w:t>
      </w:r>
    </w:p>
    <w:p w:rsidR="00626CAA" w:rsidRDefault="00FD46B9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záložné právo k majetku.</w:t>
      </w:r>
    </w:p>
    <w:p w:rsidR="00626CAA" w:rsidRDefault="00FD46B9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IV. 3</w:t>
      </w:r>
      <w:r>
        <w:rPr>
          <w:rFonts w:ascii="Times New Roman" w:eastAsia="MS Gothic" w:hAnsi="Times New Roman" w:cs="Times New Roman"/>
          <w:b/>
        </w:rPr>
        <w:tab/>
        <w:t>Infor</w:t>
      </w:r>
      <w:r>
        <w:rPr>
          <w:rFonts w:ascii="Times New Roman" w:eastAsia="MS Gothic" w:hAnsi="Times New Roman" w:cs="Times New Roman"/>
          <w:b/>
        </w:rPr>
        <w:t>mácie o výnosoch a nákladoch, ktoré majú výnimočný rozsah alebo výskyt</w:t>
      </w:r>
    </w:p>
    <w:p w:rsidR="00626CAA" w:rsidRDefault="00FD46B9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0" w:type="auto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3896"/>
        <w:gridCol w:w="2602"/>
        <w:gridCol w:w="2858"/>
      </w:tblGrid>
      <w:tr w:rsidR="00626CAA">
        <w:trPr>
          <w:trHeight w:val="975"/>
        </w:trPr>
        <w:tc>
          <w:tcPr>
            <w:tcW w:w="389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FD46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FD46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 w:rsidP="006C1AF7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FD46B9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 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C1AF7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48703</w:t>
            </w: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C1AF7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37926</w:t>
            </w: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C1AF7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48703</w:t>
            </w: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C1AF7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3796</w:t>
            </w:r>
          </w:p>
        </w:tc>
      </w:tr>
    </w:tbl>
    <w:p w:rsidR="00626CAA" w:rsidRDefault="00626CA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26CAA" w:rsidRDefault="00626CA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26CAA" w:rsidRDefault="00FD46B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0" w:type="auto"/>
        <w:tblInd w:w="-22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left w:w="24" w:type="dxa"/>
          <w:right w:w="70" w:type="dxa"/>
        </w:tblCellMar>
        <w:tblLook w:val="04A0"/>
      </w:tblPr>
      <w:tblGrid>
        <w:gridCol w:w="3896"/>
        <w:gridCol w:w="2765"/>
        <w:gridCol w:w="2695"/>
      </w:tblGrid>
      <w:tr w:rsidR="00626CAA">
        <w:trPr>
          <w:trHeight w:val="694"/>
        </w:trPr>
        <w:tc>
          <w:tcPr>
            <w:tcW w:w="3896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FD46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FD46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1.Náklad</w:t>
            </w:r>
            <w:r w:rsidR="006C1AF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y na </w:t>
            </w:r>
            <w:proofErr w:type="spellStart"/>
            <w:r w:rsidR="006C1AF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hosp.činnosť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C1AF7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43943,00</w:t>
            </w:r>
          </w:p>
        </w:tc>
        <w:tc>
          <w:tcPr>
            <w:tcW w:w="269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C1AF7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37692,00</w:t>
            </w: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  Spotreba materiálu a energie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C1AF7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41491,00</w:t>
            </w:r>
          </w:p>
        </w:tc>
        <w:tc>
          <w:tcPr>
            <w:tcW w:w="269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C1AF7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8375,00</w:t>
            </w: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C1AF7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29317,00</w:t>
            </w: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C77EB8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2452,00</w:t>
            </w: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26CAA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626CAA" w:rsidRDefault="00FD46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626CAA" w:rsidRDefault="00626CA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26CAA" w:rsidRDefault="00FD46B9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/>
          <w:szCs w:val="24"/>
        </w:rPr>
      </w:pPr>
      <w:r>
        <w:rPr>
          <w:rFonts w:ascii="Times New Roman" w:hAnsi="Times New Roman" w:cs="Times New Roman"/>
          <w:b/>
          <w:color w:val="5B9BD5"/>
          <w:szCs w:val="24"/>
        </w:rPr>
        <w:lastRenderedPageBreak/>
        <w:t>Čl. V</w:t>
      </w:r>
      <w:r>
        <w:rPr>
          <w:rFonts w:ascii="Times New Roman" w:hAnsi="Times New Roman" w:cs="Times New Roman"/>
          <w:b/>
          <w:color w:val="5B9BD5"/>
          <w:szCs w:val="24"/>
        </w:rPr>
        <w:tab/>
        <w:t>Informácie o iných aktívach a iných pasívach</w:t>
      </w:r>
    </w:p>
    <w:p w:rsidR="00626CAA" w:rsidRDefault="00626CAA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26CAA" w:rsidRDefault="00FD46B9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V. 1 a)</w:t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 xml:space="preserve">Informácie o podmienenom majetku: </w:t>
      </w:r>
      <w:r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626CAA" w:rsidRDefault="00626CA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626CAA" w:rsidRDefault="00FD46B9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V. 1 b)</w:t>
      </w:r>
      <w:r>
        <w:rPr>
          <w:rFonts w:ascii="Times New Roman" w:eastAsia="MS Gothic" w:hAnsi="Times New Roman" w:cs="Times New Roman"/>
          <w:b/>
        </w:rPr>
        <w:tab/>
        <w:t xml:space="preserve">Informácie o podmienených záväzkoch: </w:t>
      </w:r>
      <w:r>
        <w:rPr>
          <w:rFonts w:ascii="Times New Roman" w:eastAsia="MS Gothic" w:hAnsi="Times New Roman" w:cs="Times New Roman"/>
        </w:rPr>
        <w:t xml:space="preserve">spoločnosť nevykazuje žiadne iné finančné povinnosti okrem tých, ktoré sú vykázané </w:t>
      </w:r>
      <w:r>
        <w:rPr>
          <w:rFonts w:ascii="Times New Roman" w:eastAsia="MS Gothic" w:hAnsi="Times New Roman" w:cs="Times New Roman"/>
        </w:rPr>
        <w:t>v súvahe.</w:t>
      </w:r>
    </w:p>
    <w:p w:rsidR="00626CAA" w:rsidRDefault="00626CA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626CAA" w:rsidRDefault="00FD46B9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V. 2</w:t>
      </w:r>
      <w:r>
        <w:rPr>
          <w:rFonts w:ascii="Times New Roman" w:eastAsia="MS Gothic" w:hAnsi="Times New Roman" w:cs="Times New Roman"/>
          <w:b/>
        </w:rPr>
        <w:tab/>
        <w:t>Informácie o údajoch na podsúvahových účtoch</w:t>
      </w:r>
    </w:p>
    <w:tbl>
      <w:tblPr>
        <w:tblW w:w="0" w:type="auto"/>
        <w:tblInd w:w="-22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left w:w="46" w:type="dxa"/>
          <w:right w:w="70" w:type="dxa"/>
        </w:tblCellMar>
        <w:tblLook w:val="04A0"/>
      </w:tblPr>
      <w:tblGrid>
        <w:gridCol w:w="4138"/>
        <w:gridCol w:w="2650"/>
        <w:gridCol w:w="2553"/>
      </w:tblGrid>
      <w:tr w:rsidR="00626CAA">
        <w:trPr>
          <w:trHeight w:val="330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46" w:type="dxa"/>
            </w:tcMar>
            <w:vAlign w:val="center"/>
          </w:tcPr>
          <w:p w:rsidR="00626CAA" w:rsidRDefault="00FD46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5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626CAA" w:rsidRDefault="00FD46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626CAA" w:rsidRDefault="00FD46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626CAA">
        <w:trPr>
          <w:trHeight w:val="144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FFFFFF"/>
            <w:tcMar>
              <w:left w:w="46" w:type="dxa"/>
            </w:tcMar>
            <w:vAlign w:val="center"/>
          </w:tcPr>
          <w:p w:rsidR="00626CAA" w:rsidRDefault="00FD46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50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3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626CAA">
        <w:trPr>
          <w:trHeight w:val="154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FFFFFF"/>
            <w:tcMar>
              <w:left w:w="46" w:type="dxa"/>
            </w:tcMar>
            <w:vAlign w:val="center"/>
          </w:tcPr>
          <w:p w:rsidR="00626CAA" w:rsidRDefault="00FD46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akcie</w:t>
            </w:r>
          </w:p>
        </w:tc>
        <w:tc>
          <w:tcPr>
            <w:tcW w:w="265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3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626CAA">
        <w:trPr>
          <w:trHeight w:val="186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FFFFFF"/>
            <w:tcMar>
              <w:left w:w="46" w:type="dxa"/>
            </w:tcMar>
            <w:vAlign w:val="center"/>
          </w:tcPr>
          <w:p w:rsidR="00626CAA" w:rsidRDefault="00FD46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5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3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626CAA">
        <w:trPr>
          <w:trHeight w:val="138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46" w:type="dxa"/>
            </w:tcMar>
            <w:vAlign w:val="center"/>
          </w:tcPr>
          <w:p w:rsidR="00626CAA" w:rsidRDefault="00626C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50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3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626CAA" w:rsidRDefault="00626CA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626CAA" w:rsidRDefault="00626CA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/>
          <w:sz w:val="24"/>
          <w:szCs w:val="24"/>
        </w:rPr>
      </w:pPr>
    </w:p>
    <w:p w:rsidR="00626CAA" w:rsidRDefault="00FD46B9">
      <w:pPr>
        <w:spacing w:line="240" w:lineRule="auto"/>
        <w:ind w:left="993" w:hanging="993"/>
        <w:rPr>
          <w:rFonts w:ascii="Times New Roman" w:hAnsi="Times New Roman" w:cs="Times New Roman"/>
          <w:b/>
          <w:color w:val="5B9BD5"/>
          <w:szCs w:val="24"/>
        </w:rPr>
      </w:pPr>
      <w:r>
        <w:rPr>
          <w:rFonts w:ascii="Times New Roman" w:hAnsi="Times New Roman" w:cs="Times New Roman"/>
          <w:b/>
          <w:color w:val="5B9BD5"/>
          <w:szCs w:val="24"/>
        </w:rPr>
        <w:t>Čl. VI</w:t>
      </w:r>
      <w:r>
        <w:rPr>
          <w:rFonts w:ascii="Times New Roman" w:hAnsi="Times New Roman" w:cs="Times New Roman"/>
          <w:b/>
          <w:color w:val="5B9BD5"/>
          <w:szCs w:val="24"/>
        </w:rPr>
        <w:tab/>
        <w:t> Udalosti, ktoré nastali po dni, ku ktorému sa zostavuje účtovná závierka</w:t>
      </w:r>
    </w:p>
    <w:p w:rsidR="00626CAA" w:rsidRDefault="00FD46B9">
      <w:pPr>
        <w:pStyle w:val="Bezriadkovania"/>
        <w:rPr>
          <w:rFonts w:ascii="Times New Roman" w:hAnsi="Times New Roman" w:cs="Times New Roman"/>
        </w:rPr>
      </w:pPr>
      <w:r>
        <w:rPr>
          <w:b/>
        </w:rPr>
        <w:t xml:space="preserve">VI.              </w:t>
      </w:r>
      <w:bookmarkStart w:id="0" w:name="_GoBack"/>
      <w:bookmarkEnd w:id="0"/>
      <w:r>
        <w:rPr>
          <w:rFonts w:ascii="Times New Roman" w:hAnsi="Times New Roman" w:cs="Times New Roman"/>
        </w:rPr>
        <w:t>Napr. zmena spoločníkov účtovnej jednotky, rozhodnutie o predaji podniku,.....</w:t>
      </w:r>
    </w:p>
    <w:p w:rsidR="00626CAA" w:rsidRDefault="00626CAA">
      <w:pPr>
        <w:pStyle w:val="Bezriadkovania"/>
        <w:rPr>
          <w:b/>
        </w:rPr>
      </w:pPr>
    </w:p>
    <w:p w:rsidR="00626CAA" w:rsidRDefault="00FD46B9">
      <w:pPr>
        <w:spacing w:line="240" w:lineRule="auto"/>
        <w:ind w:left="993" w:hanging="993"/>
        <w:rPr>
          <w:rFonts w:ascii="Times New Roman" w:hAnsi="Times New Roman" w:cs="Times New Roman"/>
          <w:b/>
          <w:color w:val="5B9BD5"/>
          <w:szCs w:val="24"/>
        </w:rPr>
      </w:pPr>
      <w:r>
        <w:rPr>
          <w:rFonts w:ascii="Times New Roman" w:hAnsi="Times New Roman" w:cs="Times New Roman"/>
          <w:b/>
          <w:color w:val="5B9BD5"/>
          <w:szCs w:val="24"/>
        </w:rPr>
        <w:t>Čl. VII</w:t>
      </w:r>
      <w:r>
        <w:rPr>
          <w:rFonts w:ascii="Times New Roman" w:hAnsi="Times New Roman" w:cs="Times New Roman"/>
          <w:b/>
          <w:color w:val="5B9BD5"/>
          <w:szCs w:val="24"/>
        </w:rPr>
        <w:tab/>
        <w:t> Ostatné informácie</w:t>
      </w:r>
    </w:p>
    <w:p w:rsidR="00626CAA" w:rsidRDefault="00FD46B9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626CAA" w:rsidRDefault="00626CA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626CAA" w:rsidRDefault="00626CA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626CAA" w:rsidRDefault="00626CA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26CAA" w:rsidRDefault="00626CA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26CAA" w:rsidRDefault="00626CA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26CAA" w:rsidRDefault="00626CA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26CAA" w:rsidRDefault="00626CA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26CAA" w:rsidRDefault="00626CA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26CAA" w:rsidRDefault="00626CAA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26CAA" w:rsidRDefault="00626CAA">
      <w:pPr>
        <w:tabs>
          <w:tab w:val="left" w:pos="3150"/>
        </w:tabs>
      </w:pPr>
    </w:p>
    <w:sectPr w:rsidR="00626CAA" w:rsidSect="00626CAA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46B9" w:rsidRDefault="00FD46B9" w:rsidP="00626CAA">
      <w:pPr>
        <w:spacing w:after="0" w:line="240" w:lineRule="auto"/>
      </w:pPr>
      <w:r>
        <w:separator/>
      </w:r>
    </w:p>
  </w:endnote>
  <w:endnote w:type="continuationSeparator" w:id="0">
    <w:p w:rsidR="00FD46B9" w:rsidRDefault="00FD46B9" w:rsidP="00626C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Segoe UI">
    <w:panose1 w:val="020B0502040204020203"/>
    <w:charset w:val="EE"/>
    <w:family w:val="roman"/>
    <w:pitch w:val="variable"/>
    <w:sig w:usb0="00000000" w:usb1="00000000" w:usb2="00000000" w:usb3="00000000" w:csb0="00000000" w:csb1="00000000"/>
  </w:font>
  <w:font w:name="Liberation Sans">
    <w:altName w:val="Arial"/>
    <w:panose1 w:val="020B0604020202020204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6CAA" w:rsidRDefault="00FD46B9">
    <w:pPr>
      <w:pStyle w:val="Pta"/>
      <w:jc w:val="center"/>
      <w:rPr>
        <w:b/>
        <w:bCs/>
      </w:rPr>
    </w:pPr>
    <w:r>
      <w:rPr>
        <w:b/>
      </w:rPr>
      <w:t xml:space="preserve">Strana </w:t>
    </w:r>
    <w:r w:rsidR="00626CAA" w:rsidRPr="00626CAA">
      <w:rPr>
        <w:b/>
      </w:rPr>
      <w:fldChar w:fldCharType="begin"/>
    </w:r>
    <w:r>
      <w:instrText>PAGE</w:instrText>
    </w:r>
    <w:r w:rsidR="00626CAA">
      <w:fldChar w:fldCharType="separate"/>
    </w:r>
    <w:r w:rsidR="00C77EB8">
      <w:rPr>
        <w:noProof/>
      </w:rPr>
      <w:t>6</w:t>
    </w:r>
    <w:r w:rsidR="00626CAA">
      <w:fldChar w:fldCharType="end"/>
    </w:r>
    <w:r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46B9" w:rsidRDefault="00FD46B9" w:rsidP="00626CAA">
      <w:pPr>
        <w:spacing w:after="0" w:line="240" w:lineRule="auto"/>
      </w:pPr>
      <w:r>
        <w:separator/>
      </w:r>
    </w:p>
  </w:footnote>
  <w:footnote w:type="continuationSeparator" w:id="0">
    <w:p w:rsidR="00FD46B9" w:rsidRDefault="00FD46B9" w:rsidP="00626C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nil"/>
        <w:left w:val="nil"/>
        <w:bottom w:val="nil"/>
        <w:right w:val="nil"/>
        <w:insideH w:val="nil"/>
        <w:insideV w:val="nil"/>
      </w:tblBorders>
      <w:tblCellMar>
        <w:left w:w="113" w:type="dxa"/>
      </w:tblCellMar>
      <w:tblLook w:val="04A0"/>
    </w:tblPr>
    <w:tblGrid>
      <w:gridCol w:w="2565"/>
      <w:gridCol w:w="704"/>
      <w:gridCol w:w="321"/>
      <w:gridCol w:w="321"/>
      <w:gridCol w:w="321"/>
      <w:gridCol w:w="321"/>
      <w:gridCol w:w="321"/>
      <w:gridCol w:w="321"/>
      <w:gridCol w:w="321"/>
      <w:gridCol w:w="851"/>
      <w:gridCol w:w="321"/>
      <w:gridCol w:w="321"/>
      <w:gridCol w:w="321"/>
      <w:gridCol w:w="321"/>
      <w:gridCol w:w="321"/>
      <w:gridCol w:w="321"/>
      <w:gridCol w:w="321"/>
      <w:gridCol w:w="321"/>
      <w:gridCol w:w="321"/>
      <w:gridCol w:w="321"/>
    </w:tblGrid>
    <w:tr w:rsidR="00626CAA">
      <w:trPr>
        <w:trHeight w:val="138"/>
      </w:trPr>
      <w:tc>
        <w:tcPr>
          <w:tcW w:w="2692" w:type="dxa"/>
          <w:tcBorders>
            <w:top w:val="nil"/>
            <w:left w:val="nil"/>
            <w:bottom w:val="nil"/>
            <w:right w:val="nil"/>
          </w:tcBorders>
          <w:shd w:val="clear" w:color="auto" w:fill="FFFFFF"/>
        </w:tcPr>
        <w:p w:rsidR="00626CAA" w:rsidRDefault="00FD46B9">
          <w:pPr>
            <w:pStyle w:val="Hlavika"/>
            <w:tabs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7" w:type="dxa"/>
          <w:tcBorders>
            <w:top w:val="nil"/>
            <w:left w:val="nil"/>
            <w:bottom w:val="nil"/>
            <w:right w:val="single" w:sz="4" w:space="0" w:color="00000A"/>
          </w:tcBorders>
          <w:shd w:val="clear" w:color="auto" w:fill="FFFFFF"/>
        </w:tcPr>
        <w:p w:rsidR="00626CAA" w:rsidRDefault="00FD46B9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626CAA" w:rsidRDefault="00FD46B9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626CAA" w:rsidRDefault="00FD46B9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626CAA" w:rsidRDefault="00FD46B9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626CAA" w:rsidRDefault="00FD46B9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626CAA" w:rsidRDefault="00FD46B9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626CAA" w:rsidRDefault="00FD46B9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626CAA" w:rsidRDefault="00FD46B9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00000A"/>
            <w:bottom w:val="nil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626CAA" w:rsidRDefault="00FD46B9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  DIČ: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626CAA" w:rsidRDefault="00FD46B9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626CAA" w:rsidRDefault="00FD46B9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626CAA" w:rsidRDefault="00FD46B9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626CAA" w:rsidRDefault="00FD46B9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626CAA" w:rsidRDefault="00FD46B9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626CAA" w:rsidRDefault="00FD46B9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626CAA" w:rsidRDefault="00FD46B9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626CAA" w:rsidRDefault="00FD46B9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626CAA" w:rsidRDefault="00FD46B9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1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626CAA" w:rsidRDefault="00FD46B9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</w:tr>
  </w:tbl>
  <w:p w:rsidR="00626CAA" w:rsidRDefault="00626CAA">
    <w:pPr>
      <w:pStyle w:val="Hlavika"/>
      <w:tabs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8E61FE"/>
    <w:multiLevelType w:val="multilevel"/>
    <w:tmpl w:val="20967250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7FF816F8"/>
    <w:multiLevelType w:val="multilevel"/>
    <w:tmpl w:val="C7CC985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626CAA"/>
    <w:rsid w:val="00626CAA"/>
    <w:rsid w:val="006C1AF7"/>
    <w:rsid w:val="00C77EB8"/>
    <w:rsid w:val="00FD46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SimSun" w:hAnsi="Calibri" w:cs="Calibri"/>
        <w:sz w:val="22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6CAA"/>
    <w:pPr>
      <w:suppressAutoHyphens/>
      <w:spacing w:after="160"/>
    </w:pPr>
    <w:rPr>
      <w:color w:val="00000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ZkladntextChar">
    <w:name w:val="Základný text Char"/>
    <w:basedOn w:val="Predvolenpsmoodseku"/>
    <w:link w:val="Telotextu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ListLabel1">
    <w:name w:val="ListLabel 1"/>
    <w:rsid w:val="00626CAA"/>
    <w:rPr>
      <w:rFonts w:cs="Calibri"/>
      <w:sz w:val="24"/>
    </w:rPr>
  </w:style>
  <w:style w:type="character" w:customStyle="1" w:styleId="ListLabel2">
    <w:name w:val="ListLabel 2"/>
    <w:rsid w:val="00626CAA"/>
    <w:rPr>
      <w:rFonts w:cs="Courier New"/>
    </w:rPr>
  </w:style>
  <w:style w:type="character" w:customStyle="1" w:styleId="ListLabel3">
    <w:name w:val="ListLabel 3"/>
    <w:rsid w:val="00626CAA"/>
    <w:rPr>
      <w:rFonts w:cs="Symbol"/>
    </w:rPr>
  </w:style>
  <w:style w:type="character" w:customStyle="1" w:styleId="ListLabel4">
    <w:name w:val="ListLabel 4"/>
    <w:rsid w:val="00626CAA"/>
    <w:rPr>
      <w:rFonts w:cs="Courier New"/>
    </w:rPr>
  </w:style>
  <w:style w:type="character" w:customStyle="1" w:styleId="ListLabel5">
    <w:name w:val="ListLabel 5"/>
    <w:rsid w:val="00626CAA"/>
    <w:rPr>
      <w:rFonts w:cs="Wingdings"/>
    </w:rPr>
  </w:style>
  <w:style w:type="paragraph" w:customStyle="1" w:styleId="Nadpis">
    <w:name w:val="Nadpis"/>
    <w:basedOn w:val="Normlny"/>
    <w:next w:val="Telotextu"/>
    <w:rsid w:val="00626CA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lotextu">
    <w:name w:val="Telo textu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opis">
    <w:name w:val="caption"/>
    <w:basedOn w:val="Normlny"/>
    <w:rsid w:val="00626CA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626CAA"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DF38AE"/>
    <w:pPr>
      <w:suppressAutoHyphens/>
      <w:spacing w:line="240" w:lineRule="auto"/>
    </w:pPr>
    <w:rPr>
      <w:color w:val="00000A"/>
    </w:rPr>
  </w:style>
  <w:style w:type="paragraph" w:customStyle="1" w:styleId="Obsahrmca">
    <w:name w:val="Obsah rámca"/>
    <w:basedOn w:val="Normlny"/>
    <w:rsid w:val="00626CAA"/>
  </w:style>
  <w:style w:type="table" w:styleId="Mriekatabuky">
    <w:name w:val="Table Grid"/>
    <w:basedOn w:val="Normlnatabuka"/>
    <w:uiPriority w:val="39"/>
    <w:rsid w:val="00090EEC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5E81D0-5293-4337-8598-6A25BCD221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1319</Words>
  <Characters>7523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2019-02-25T07:22:00Z</cp:lastPrinted>
  <dcterms:created xsi:type="dcterms:W3CDTF">2019-02-25T07:24:00Z</dcterms:created>
  <dcterms:modified xsi:type="dcterms:W3CDTF">2019-02-25T07:24:00Z</dcterms:modified>
  <dc:language>sk-SK</dc:language>
</cp:coreProperties>
</file>