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505CD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505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AB.KVAL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505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46533478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505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390/38,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505C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505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505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505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pokračovať nepretržite vo svojej činnosti.</w:t>
      </w:r>
    </w:p>
    <w:p w:rsidR="002505CD" w:rsidRPr="00A55E63" w:rsidRDefault="002505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505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účtovné a daňové odpisy sa rovnajú. Odpisy sú rovnomerné.</w:t>
      </w:r>
    </w:p>
    <w:p w:rsidR="002505CD" w:rsidRPr="00A55E63" w:rsidRDefault="002505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2505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má splnené všetky podmienky.</w:t>
      </w:r>
    </w:p>
    <w:p w:rsidR="002505CD" w:rsidRPr="00A55E63" w:rsidRDefault="002505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505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dotáciách nebolo účtované.</w:t>
      </w:r>
    </w:p>
    <w:p w:rsidR="002505CD" w:rsidRPr="00A55E63" w:rsidRDefault="002505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505C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 opravách významných chýb minulých období nebolo účtované.</w:t>
      </w:r>
    </w:p>
    <w:p w:rsidR="002505CD" w:rsidRPr="00A55E63" w:rsidRDefault="002505C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505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2018 nebolo účtované o nákladoch alebo výnosoch, ktoré by mali výnimočný výskyt alebo rozsah.</w:t>
      </w:r>
    </w:p>
    <w:p w:rsidR="002505CD" w:rsidRPr="00A55E63" w:rsidRDefault="002505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05CD">
        <w:rPr>
          <w:rFonts w:ascii="Arial" w:hAnsi="Arial" w:cs="Arial"/>
          <w:sz w:val="22"/>
          <w:szCs w:val="22"/>
        </w:rPr>
        <w:t xml:space="preserve"> Ku koncu roka 2018 neevidujeme zabezpečené záväzky ako záväzky so zostatkovou dobou splatnosti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505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vlastné akcie.</w:t>
      </w:r>
    </w:p>
    <w:p w:rsidR="002505CD" w:rsidRPr="00A55E63" w:rsidRDefault="002505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05CD">
        <w:rPr>
          <w:rFonts w:ascii="Arial" w:hAnsi="Arial" w:cs="Arial"/>
          <w:sz w:val="22"/>
          <w:szCs w:val="22"/>
        </w:rPr>
        <w:t xml:space="preserve"> </w:t>
      </w:r>
    </w:p>
    <w:p w:rsidR="002505CD" w:rsidRDefault="002505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05CD" w:rsidRDefault="002505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pre body 4., 5. a 6. nemá náplň.</w:t>
      </w:r>
    </w:p>
    <w:p w:rsidR="002505CD" w:rsidRDefault="002505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05CD" w:rsidRPr="00A55E63" w:rsidRDefault="002505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Rok 2018 bol neporovnateľne úspešnejší ako rok 2017 – dosiahnutý obra 154 819,40 Eur, celkové náklady bez dane z príjmu 129 085,76 Eur,  daň z príjmu za rok 2018 je po započítaní uhradených licencií a započítaní straty 3 447,36 Eur, celkový účtovný zisk za rok 2018 je 22286,28 Eur.</w:t>
      </w:r>
    </w:p>
    <w:sectPr w:rsidR="002505CD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EA2" w:rsidRDefault="00502EA2">
      <w:r>
        <w:separator/>
      </w:r>
    </w:p>
  </w:endnote>
  <w:endnote w:type="continuationSeparator" w:id="0">
    <w:p w:rsidR="00502EA2" w:rsidRDefault="00502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2CF7">
    <w:pPr>
      <w:spacing w:line="200" w:lineRule="exact"/>
      <w:rPr>
        <w:sz w:val="20"/>
        <w:szCs w:val="20"/>
      </w:rPr>
    </w:pPr>
    <w:r w:rsidRPr="002B2CF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B2CF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2CF7">
                  <w:fldChar w:fldCharType="separate"/>
                </w:r>
                <w:r w:rsidR="002505CD">
                  <w:rPr>
                    <w:rFonts w:cs="Times New Roman"/>
                    <w:noProof/>
                  </w:rPr>
                  <w:t>3</w:t>
                </w:r>
                <w:r w:rsidR="002B2CF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EA2" w:rsidRDefault="00502EA2">
      <w:r>
        <w:separator/>
      </w:r>
    </w:p>
  </w:footnote>
  <w:footnote w:type="continuationSeparator" w:id="0">
    <w:p w:rsidR="00502EA2" w:rsidRDefault="00502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05CD">
      <w:rPr>
        <w:rFonts w:ascii="Arial" w:hAnsi="Arial" w:cs="Arial"/>
        <w:sz w:val="22"/>
        <w:szCs w:val="22"/>
        <w:bdr w:val="single" w:sz="4" w:space="0" w:color="auto"/>
      </w:rPr>
      <w:t>46533478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505CD">
      <w:rPr>
        <w:rFonts w:ascii="Arial" w:hAnsi="Arial" w:cs="Arial"/>
        <w:sz w:val="22"/>
        <w:szCs w:val="22"/>
        <w:bdr w:val="single" w:sz="4" w:space="0" w:color="auto"/>
      </w:rPr>
      <w:t>Č: 2023444478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505CD"/>
    <w:rsid w:val="002B2CF7"/>
    <w:rsid w:val="002C12B4"/>
    <w:rsid w:val="002D7E6D"/>
    <w:rsid w:val="003657F5"/>
    <w:rsid w:val="00373635"/>
    <w:rsid w:val="003D056F"/>
    <w:rsid w:val="00401155"/>
    <w:rsid w:val="004A2BF3"/>
    <w:rsid w:val="00502EA2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1146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2019-03-09T14:40:00Z</dcterms:created>
  <dcterms:modified xsi:type="dcterms:W3CDTF">2019-03-09T14:40:00Z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