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36370754                             DIČ: 2020983580</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w:t>
      </w:r>
      <w:r>
        <w:rPr>
          <w:b w:val="false"/>
          <w:bCs w:val="false"/>
          <w:i/>
          <w:iCs/>
          <w:sz w:val="21"/>
          <w:szCs w:val="21"/>
          <w:u w:val="none"/>
        </w:rPr>
        <w:t>8</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2"/>
        <w:gridCol w:w="5101"/>
      </w:tblGrid>
      <w:tr>
        <w:trPr>
          <w:cantSplit w:val="false"/>
        </w:trPr>
        <w:tc>
          <w:tcPr>
            <w:tcW w:type="dxa" w:w="3962"/>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PRO – SPORT, spol. s r.o.. </w:t>
            </w:r>
          </w:p>
          <w:p>
            <w:pPr>
              <w:pStyle w:val="style0"/>
              <w:rPr>
                <w:b/>
                <w:bCs/>
                <w:color w:val="000000"/>
                <w:sz w:val="15"/>
                <w:szCs w:val="15"/>
              </w:rPr>
            </w:pPr>
            <w:r>
              <w:rPr>
                <w:b/>
                <w:bCs/>
                <w:color w:val="000000"/>
                <w:sz w:val="15"/>
                <w:szCs w:val="15"/>
              </w:rPr>
              <w:t>Západ 1145, 028 01 Trstená</w:t>
            </w:r>
          </w:p>
          <w:p>
            <w:pPr>
              <w:pStyle w:val="style0"/>
              <w:rPr>
                <w:b/>
                <w:bCs/>
                <w:color w:val="000000"/>
              </w:rPr>
            </w:pPr>
            <w:r>
              <w:rPr>
                <w:b/>
                <w:bCs/>
                <w:color w:val="000000"/>
              </w:rPr>
            </w:r>
          </w:p>
          <w:p>
            <w:pPr>
              <w:pStyle w:val="style0"/>
              <w:rPr>
                <w:b/>
                <w:bCs/>
                <w:color w:val="000000"/>
                <w:sz w:val="15"/>
                <w:szCs w:val="15"/>
              </w:rPr>
            </w:pPr>
            <w:r>
              <w:rPr>
                <w:b/>
                <w:bCs/>
                <w:color w:val="000000"/>
                <w:sz w:val="15"/>
                <w:szCs w:val="15"/>
              </w:rPr>
              <w:t>28.04.1998</w:t>
            </w:r>
          </w:p>
          <w:p>
            <w:pPr>
              <w:pStyle w:val="style0"/>
              <w:rPr>
                <w:b/>
                <w:bCs/>
                <w:color w:val="000000"/>
              </w:rPr>
            </w:pPr>
            <w:r>
              <w:rPr>
                <w:b/>
                <w:bCs/>
                <w:color w:val="000000"/>
              </w:rPr>
            </w:r>
          </w:p>
        </w:tc>
      </w:tr>
      <w:tr>
        <w:trPr>
          <w:cantSplit w:val="false"/>
        </w:trPr>
        <w:tc>
          <w:tcPr>
            <w:tcW w:type="dxa" w:w="3962"/>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Obchodná činnosť v rámci voľných živností, okrem jedov, drahých kovov a výrobkov z nich</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 xml:space="preserve">sprostredkovanie obchodu a služieb </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prenajímmanie plavidiel s vlastným pohonom a bez vlastného pohonu a ďalších 7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8"/>
        <w:gridCol w:w="1310"/>
        <w:gridCol w:w="1322"/>
      </w:tblGrid>
      <w:tr>
        <w:trPr>
          <w:cantSplit w:val="false"/>
        </w:trPr>
        <w:tc>
          <w:tcPr>
            <w:tcW w:type="dxa" w:w="6438"/>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2017</w:t>
            </w:r>
          </w:p>
        </w:tc>
        <w:tc>
          <w:tcPr>
            <w:tcW w:type="dxa" w:w="1322"/>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2016</w:t>
            </w:r>
          </w:p>
        </w:tc>
      </w:tr>
      <w:tr>
        <w:trPr>
          <w:cantSplit w:val="false"/>
        </w:trPr>
        <w:tc>
          <w:tcPr>
            <w:tcW w:type="dxa" w:w="6438"/>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22"/>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2017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Táto účtovná závierka je riadna individuálna účtovná závierka spoločnosti JUSKA s.r.o., bola zostavená za účtovné obdobie od 1. augusta do 31. decembra 201</w:t>
      </w:r>
      <w:r>
        <w:rPr>
          <w:lang w:eastAsia="sk-SK"/>
        </w:rPr>
        <w:t>8</w:t>
      </w:r>
      <w:r>
        <w:rPr>
          <w:lang w:eastAsia="sk-SK"/>
        </w:rPr>
        <w:t xml:space="preserve">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w:t>
      </w:r>
      <w:r>
        <w:rPr/>
        <w:t>7</w:t>
      </w:r>
    </w:p>
    <w:p>
      <w:pPr>
        <w:pStyle w:val="style0"/>
        <w:rPr>
          <w:sz w:val="14"/>
          <w:szCs w:val="14"/>
          <w:lang w:eastAsia="sk-SK"/>
        </w:rPr>
      </w:pPr>
      <w:r>
        <w:rPr>
          <w:sz w:val="14"/>
          <w:szCs w:val="14"/>
          <w:lang w:eastAsia="sk-SK"/>
        </w:rPr>
      </w:r>
    </w:p>
    <w:p>
      <w:pPr>
        <w:pStyle w:val="style0"/>
        <w:rPr>
          <w:lang w:eastAsia="sk-SK"/>
        </w:rPr>
      </w:pPr>
      <w:r>
        <w:rPr>
          <w:lang w:eastAsia="sk-SK"/>
        </w:rPr>
        <w:t>Účtovná závierka spoločnosti PRO – SPORT, spol. s r. o. bola schválená Valným zhromaždením dňa 30.04.201</w:t>
      </w:r>
      <w:r>
        <w:rPr>
          <w:lang w:eastAsia="sk-SK"/>
        </w:rPr>
        <w:t>8</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val="false"/>
          <w:bCs w:val="false"/>
          <w:iCs/>
          <w:szCs w:val="28"/>
        </w:rPr>
      </w:pPr>
      <w:r>
        <w:rPr>
          <w:rFonts w:cs="Arial"/>
          <w:b/>
          <w:bCs/>
          <w:iCs/>
          <w:szCs w:val="28"/>
        </w:rPr>
        <w:t>PRO – SPORT, spol. s r. o.</w:t>
      </w:r>
      <w:r>
        <w:rPr>
          <w:rFonts w:cs="Arial"/>
          <w:b w:val="false"/>
          <w:bCs w:val="false"/>
          <w:iCs/>
          <w:szCs w:val="28"/>
        </w:rPr>
        <w:t xml:space="preserve">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53"/>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53"/>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53"/>
        <w:rPr>
          <w:b w:val="false"/>
          <w:bCs w:val="false"/>
        </w:rPr>
      </w:pPr>
      <w:r>
        <w:rPr>
          <w:b w:val="false"/>
          <w:bCs w:val="false"/>
        </w:rPr>
      </w:r>
    </w:p>
    <w:p>
      <w:pPr>
        <w:pStyle w:val="style53"/>
        <w:rPr>
          <w:b/>
          <w:bCs/>
          <w:sz w:val="16"/>
          <w:szCs w:val="16"/>
        </w:rPr>
      </w:pPr>
      <w:r>
        <w:rPr>
          <w:b/>
          <w:bCs/>
          <w:sz w:val="16"/>
          <w:szCs w:val="16"/>
        </w:rPr>
        <w:t>2.  Pôžičky poskytnuté členom orgánov spoločnosti</w:t>
      </w:r>
    </w:p>
    <w:p>
      <w:pPr>
        <w:pStyle w:val="style53"/>
        <w:rPr>
          <w:b w:val="false"/>
          <w:bCs w:val="false"/>
          <w:sz w:val="18"/>
          <w:szCs w:val="18"/>
        </w:rPr>
      </w:pPr>
      <w:r>
        <w:rPr>
          <w:b w:val="false"/>
          <w:bCs w:val="false"/>
          <w:sz w:val="18"/>
          <w:szCs w:val="18"/>
        </w:rPr>
        <w:t>Spoločnosť v účtovnom období 201</w:t>
      </w:r>
      <w:r>
        <w:rPr>
          <w:b w:val="false"/>
          <w:bCs w:val="false"/>
          <w:sz w:val="18"/>
          <w:szCs w:val="18"/>
        </w:rPr>
        <w:t>8</w:t>
      </w:r>
      <w:r>
        <w:rPr>
          <w:b w:val="false"/>
          <w:bCs w:val="false"/>
          <w:sz w:val="18"/>
          <w:szCs w:val="18"/>
        </w:rPr>
        <w:t xml:space="preserve"> neposkytla členom orgánov spoločnosti žiadne záruky alebo iné zabezpečenie a poskytnuté pôžičky.</w:t>
      </w:r>
    </w:p>
    <w:p>
      <w:pPr>
        <w:pStyle w:val="style53"/>
        <w:rPr>
          <w:b w:val="false"/>
          <w:bCs w:val="false"/>
        </w:rPr>
      </w:pPr>
      <w:r>
        <w:rPr>
          <w:b w:val="false"/>
          <w:bCs w:val="false"/>
        </w:rPr>
      </w:r>
    </w:p>
    <w:p>
      <w:pPr>
        <w:pStyle w:val="style53"/>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53"/>
        <w:rPr>
          <w:b/>
          <w:bCs/>
        </w:rPr>
      </w:pPr>
      <w:r>
        <w:rPr>
          <w:b/>
          <w:bCs/>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w:t>
      </w:r>
      <w:r>
        <w:rPr>
          <w:b w:val="false"/>
          <w:bCs w:val="false"/>
          <w:sz w:val="18"/>
          <w:szCs w:val="18"/>
          <w:u w:val="none"/>
        </w:rPr>
        <w:t>8</w:t>
      </w:r>
      <w:r>
        <w:rPr>
          <w:b w:val="false"/>
          <w:bCs w:val="false"/>
          <w:sz w:val="18"/>
          <w:szCs w:val="18"/>
          <w:u w:val="none"/>
        </w:rPr>
        <w:t xml:space="preserve"> bola spracovaná za predpokladu nepretržitého pokračovania činnosti.</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2017 nevyplynula povinnosť tvorby rezervy.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w:t>
      </w:r>
      <w:r>
        <w:rPr>
          <w:b w:val="false"/>
          <w:bCs w:val="false"/>
          <w:sz w:val="18"/>
          <w:szCs w:val="18"/>
          <w:u w:val="none"/>
        </w:rPr>
        <w:t>8</w:t>
      </w:r>
      <w:r>
        <w:rPr>
          <w:b w:val="false"/>
          <w:bCs w:val="false"/>
          <w:sz w:val="18"/>
          <w:szCs w:val="18"/>
          <w:u w:val="none"/>
        </w:rPr>
        <w:t xml:space="preserve"> nevyplynula povinnosť tvoriť opravné položky.</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5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w:t>
      </w:r>
      <w:r>
        <w:rPr>
          <w:b w:val="false"/>
          <w:bCs w:val="false"/>
          <w:sz w:val="18"/>
          <w:szCs w:val="18"/>
          <w:u w:val="none"/>
        </w:rPr>
        <w:t>8</w:t>
      </w:r>
      <w:r>
        <w:rPr>
          <w:b w:val="false"/>
          <w:bCs w:val="false"/>
          <w:sz w:val="18"/>
          <w:szCs w:val="18"/>
          <w:u w:val="none"/>
        </w:rPr>
        <w:t xml:space="preserve"> nenastali v spoločnosti PRO – SPORT, spol. S r. o., žiadne zmeny týkajúce sa účtovných zásad a účtovných metód.</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5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PRO – SPORT, spol. S r. o., nedošlo v účtovnom období roku 201</w:t>
      </w:r>
      <w:r>
        <w:rPr>
          <w:b w:val="false"/>
          <w:bCs w:val="false"/>
          <w:sz w:val="18"/>
          <w:szCs w:val="18"/>
          <w:u w:val="none"/>
        </w:rPr>
        <w:t>8</w:t>
      </w:r>
      <w:r>
        <w:rPr>
          <w:b w:val="false"/>
          <w:bCs w:val="false"/>
          <w:sz w:val="18"/>
          <w:szCs w:val="18"/>
          <w:u w:val="none"/>
        </w:rPr>
        <w:t xml:space="preserve"> k žiadnzm opravám významných chýb minulých období., nakoľko spoločnosť počas celého hodnotiaceho obdobia nevykonávala žiadnu činnosť.</w:t>
      </w:r>
    </w:p>
    <w:p>
      <w:pPr>
        <w:pStyle w:val="style53"/>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53"/>
        <w:rPr>
          <w:b w:val="false"/>
          <w:bCs w:val="false"/>
          <w:sz w:val="18"/>
          <w:szCs w:val="18"/>
        </w:rPr>
      </w:pPr>
      <w:r>
        <w:rPr>
          <w:b w:val="false"/>
          <w:bCs w:val="false"/>
          <w:sz w:val="18"/>
          <w:szCs w:val="18"/>
        </w:rPr>
      </w:r>
    </w:p>
    <w:p>
      <w:pPr>
        <w:pStyle w:val="style53"/>
        <w:rPr>
          <w:b w:val="false"/>
          <w:bCs w:val="false"/>
        </w:rPr>
      </w:pPr>
      <w:r>
        <w:rPr>
          <w:b w:val="false"/>
          <w:bCs w:val="false"/>
        </w:rPr>
      </w:r>
    </w:p>
    <w:p>
      <w:pPr>
        <w:pStyle w:val="style53"/>
        <w:rPr>
          <w:b w:val="false"/>
          <w:bCs w:val="false"/>
        </w:rPr>
      </w:pPr>
      <w:r>
        <w:rPr>
          <w:b w:val="false"/>
          <w:bCs w:val="false"/>
        </w:rPr>
      </w:r>
    </w:p>
    <w:p>
      <w:pPr>
        <w:pStyle w:val="style53"/>
        <w:rPr>
          <w:b w:val="false"/>
          <w:bCs w:val="false"/>
        </w:rPr>
      </w:pPr>
      <w:r>
        <w:rPr>
          <w:b w:val="false"/>
          <w:bCs w:val="false"/>
        </w:rPr>
      </w:r>
    </w:p>
    <w:p>
      <w:pPr>
        <w:pStyle w:val="style53"/>
        <w:rPr>
          <w:b/>
          <w:bCs/>
          <w:sz w:val="18"/>
          <w:szCs w:val="18"/>
        </w:rPr>
      </w:pPr>
      <w:r>
        <w:rPr>
          <w:b/>
          <w:bCs/>
          <w:sz w:val="18"/>
          <w:szCs w:val="18"/>
        </w:rPr>
        <w:t>2.  Pohľadávky</w:t>
      </w:r>
    </w:p>
    <w:p>
      <w:pPr>
        <w:pStyle w:val="style5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9"/>
        <w:gridCol w:w="2391"/>
      </w:tblGrid>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bežné účtovné obdobie</w:t>
            </w:r>
          </w:p>
        </w:tc>
        <w:tc>
          <w:tcPr>
            <w:tcW w:type="dxa" w:w="2391"/>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obdobie</w:t>
            </w:r>
          </w:p>
        </w:tc>
        <w:tc>
          <w:tcPr>
            <w:tcW w:type="dxa" w:w="2391"/>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Názov položky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Pohľadávky z obchodného styku</w:t>
            </w:r>
          </w:p>
        </w:tc>
        <w:tc>
          <w:tcPr>
            <w:tcW w:type="dxa" w:w="2379"/>
            <w:tcBorders>
              <w:top w:val="nil"/>
              <w:left w:val="nil"/>
              <w:bottom w:val="nil"/>
              <w:right w:val="nil"/>
            </w:tcBorders>
            <w:shd w:fill="FFFFFF" w:val="clear"/>
            <w:vAlign w:val="center"/>
          </w:tcPr>
          <w:p>
            <w:pPr>
              <w:pStyle w:val="style68"/>
              <w:rPr/>
            </w:pPr>
            <w:r>
              <w:rPr/>
              <w:t xml:space="preserve">                   </w:t>
            </w:r>
            <w:r>
              <w:rPr/>
              <w:t>0</w:t>
            </w:r>
          </w:p>
        </w:tc>
        <w:tc>
          <w:tcPr>
            <w:tcW w:type="dxa" w:w="2391"/>
            <w:tcBorders>
              <w:top w:val="nil"/>
              <w:left w:val="nil"/>
              <w:bottom w:val="nil"/>
              <w:right w:val="nil"/>
            </w:tcBorders>
            <w:shd w:fill="FFFFFF" w:val="clear"/>
            <w:vAlign w:val="center"/>
          </w:tcPr>
          <w:p>
            <w:pPr>
              <w:pStyle w:val="style68"/>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Daňové pohľadávky</w:t>
            </w:r>
          </w:p>
        </w:tc>
        <w:tc>
          <w:tcPr>
            <w:tcW w:type="dxa" w:w="2379"/>
            <w:tcBorders>
              <w:top w:val="nil"/>
              <w:left w:val="nil"/>
              <w:bottom w:val="nil"/>
              <w:right w:val="nil"/>
            </w:tcBorders>
            <w:shd w:fill="FFFFFF" w:val="clear"/>
            <w:vAlign w:val="center"/>
          </w:tcPr>
          <w:p>
            <w:pPr>
              <w:pStyle w:val="style68"/>
              <w:rPr/>
            </w:pPr>
            <w:r>
              <w:rPr/>
              <w:t xml:space="preserve">                   </w:t>
            </w:r>
            <w:r>
              <w:rPr/>
              <w:t>0</w:t>
            </w:r>
          </w:p>
        </w:tc>
        <w:tc>
          <w:tcPr>
            <w:tcW w:type="dxa" w:w="2391"/>
            <w:tcBorders>
              <w:top w:val="nil"/>
              <w:left w:val="nil"/>
              <w:bottom w:val="nil"/>
              <w:right w:val="nil"/>
            </w:tcBorders>
            <w:shd w:fill="FFFFFF" w:val="clear"/>
            <w:vAlign w:val="center"/>
          </w:tcPr>
          <w:p>
            <w:pPr>
              <w:pStyle w:val="style68"/>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Ostatné pohľadávky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b/>
                <w:bCs/>
              </w:rPr>
            </w:pPr>
            <w:r>
              <w:rPr>
                <w:b/>
                <w:bCs/>
              </w:rPr>
              <w:t>Pohľadávky spolu:</w:t>
            </w:r>
          </w:p>
        </w:tc>
        <w:tc>
          <w:tcPr>
            <w:tcW w:type="dxa" w:w="2379"/>
            <w:tcBorders>
              <w:top w:val="nil"/>
              <w:left w:val="nil"/>
              <w:bottom w:val="nil"/>
              <w:right w:val="nil"/>
            </w:tcBorders>
            <w:shd w:fill="FFFFFF" w:val="clear"/>
            <w:vAlign w:val="center"/>
          </w:tcPr>
          <w:p>
            <w:pPr>
              <w:pStyle w:val="style68"/>
              <w:rPr>
                <w:b/>
                <w:bCs/>
              </w:rPr>
            </w:pPr>
            <w:r>
              <w:rPr>
                <w:b/>
                <w:bCs/>
              </w:rPr>
              <w:t xml:space="preserve">                   </w:t>
            </w:r>
            <w:r>
              <w:rPr>
                <w:b/>
                <w:bCs/>
              </w:rPr>
              <w:t>0</w:t>
            </w:r>
          </w:p>
        </w:tc>
        <w:tc>
          <w:tcPr>
            <w:tcW w:type="dxa" w:w="2391"/>
            <w:tcBorders>
              <w:top w:val="nil"/>
              <w:left w:val="nil"/>
              <w:bottom w:val="nil"/>
              <w:right w:val="nil"/>
            </w:tcBorders>
            <w:shd w:fill="FFFFFF" w:val="clear"/>
            <w:vAlign w:val="center"/>
          </w:tcPr>
          <w:p>
            <w:pPr>
              <w:pStyle w:val="style68"/>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t> </w:t>
            </w:r>
          </w:p>
        </w:tc>
      </w:tr>
    </w:tbl>
    <w:p>
      <w:pPr>
        <w:pStyle w:val="style53"/>
        <w:rPr>
          <w:b/>
          <w:bCs/>
          <w:sz w:val="18"/>
          <w:szCs w:val="18"/>
        </w:rPr>
      </w:pPr>
      <w:r>
        <w:rPr>
          <w:b/>
          <w:bCs/>
          <w:sz w:val="18"/>
          <w:szCs w:val="18"/>
        </w:rPr>
      </w:r>
    </w:p>
    <w:p>
      <w:pPr>
        <w:pStyle w:val="style53"/>
        <w:rPr>
          <w:b w:val="false"/>
          <w:bCs w:val="false"/>
          <w:sz w:val="18"/>
          <w:szCs w:val="18"/>
        </w:rPr>
      </w:pPr>
      <w:r>
        <w:rPr>
          <w:b w:val="false"/>
          <w:bCs w:val="false"/>
          <w:sz w:val="18"/>
          <w:szCs w:val="18"/>
        </w:rPr>
        <w:t xml:space="preserve">V časti pohľadávok spoločnosť nevykazuje žiadne pohľadávky.  </w:t>
      </w:r>
    </w:p>
    <w:p>
      <w:pPr>
        <w:pStyle w:val="style53"/>
        <w:rPr/>
      </w:pPr>
      <w:r>
        <w:rPr/>
      </w:r>
    </w:p>
    <w:p>
      <w:pPr>
        <w:pStyle w:val="style53"/>
        <w:rPr>
          <w:b w:val="false"/>
          <w:bCs w:val="false"/>
          <w:sz w:val="18"/>
          <w:szCs w:val="18"/>
        </w:rPr>
      </w:pPr>
      <w:r>
        <w:rPr>
          <w:b w:val="false"/>
          <w:bCs w:val="false"/>
          <w:sz w:val="18"/>
          <w:szCs w:val="18"/>
        </w:rPr>
        <w:t>Tým, že spoločnosť neeviduje k 31.12.201</w:t>
      </w:r>
      <w:r>
        <w:rPr>
          <w:b w:val="false"/>
          <w:bCs w:val="false"/>
          <w:sz w:val="18"/>
          <w:szCs w:val="18"/>
        </w:rPr>
        <w:t>8</w:t>
      </w:r>
      <w:r>
        <w:rPr>
          <w:b w:val="false"/>
          <w:bCs w:val="false"/>
          <w:sz w:val="18"/>
          <w:szCs w:val="18"/>
        </w:rPr>
        <w:t xml:space="preserve"> pohľadávky žiadne pohľadávky, nebolo </w:t>
      </w:r>
    </w:p>
    <w:p>
      <w:pPr>
        <w:pStyle w:val="style53"/>
        <w:rPr>
          <w:b w:val="false"/>
          <w:bCs w:val="false"/>
          <w:sz w:val="18"/>
          <w:szCs w:val="18"/>
        </w:rPr>
      </w:pPr>
      <w:r>
        <w:rPr>
          <w:b w:val="false"/>
          <w:bCs w:val="false"/>
          <w:sz w:val="18"/>
          <w:szCs w:val="18"/>
        </w:rPr>
        <w:t>potrebné tvoriť opravné položky k pohľadávkam.</w:t>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3.  Krátkodobý finančný majetok</w:t>
      </w:r>
    </w:p>
    <w:p>
      <w:pPr>
        <w:pStyle w:val="style5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9"/>
        <w:gridCol w:w="2391"/>
      </w:tblGrid>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bežné účtovné obdobie</w:t>
            </w:r>
          </w:p>
        </w:tc>
        <w:tc>
          <w:tcPr>
            <w:tcW w:type="dxa" w:w="2391"/>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obdobie</w:t>
            </w:r>
          </w:p>
        </w:tc>
        <w:tc>
          <w:tcPr>
            <w:tcW w:type="dxa" w:w="2391"/>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Názov položky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Pokladnica</w:t>
            </w:r>
          </w:p>
        </w:tc>
        <w:tc>
          <w:tcPr>
            <w:tcW w:type="dxa" w:w="2379"/>
            <w:tcBorders>
              <w:top w:val="nil"/>
              <w:left w:val="nil"/>
              <w:bottom w:val="nil"/>
              <w:right w:val="nil"/>
            </w:tcBorders>
            <w:shd w:fill="FFFFFF" w:val="clear"/>
            <w:vAlign w:val="center"/>
          </w:tcPr>
          <w:p>
            <w:pPr>
              <w:pStyle w:val="style68"/>
              <w:rPr/>
            </w:pPr>
            <w:r>
              <w:rPr/>
              <w:t xml:space="preserve">                    </w:t>
            </w:r>
            <w:r>
              <w:rPr/>
              <w:t>7</w:t>
            </w:r>
          </w:p>
        </w:tc>
        <w:tc>
          <w:tcPr>
            <w:tcW w:type="dxa" w:w="2391"/>
            <w:tcBorders>
              <w:top w:val="nil"/>
              <w:left w:val="nil"/>
              <w:bottom w:val="nil"/>
              <w:right w:val="nil"/>
            </w:tcBorders>
            <w:shd w:fill="FFFFFF" w:val="clear"/>
            <w:vAlign w:val="center"/>
          </w:tcPr>
          <w:p>
            <w:pPr>
              <w:pStyle w:val="style68"/>
              <w:jc w:val="center"/>
              <w:rPr/>
            </w:pPr>
            <w:r>
              <w:rPr/>
              <w:t>11</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Ceniny</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Bankový účet v mene EUR</w:t>
            </w:r>
          </w:p>
        </w:tc>
        <w:tc>
          <w:tcPr>
            <w:tcW w:type="dxa" w:w="2379"/>
            <w:tcBorders>
              <w:top w:val="nil"/>
              <w:left w:val="nil"/>
              <w:bottom w:val="nil"/>
              <w:right w:val="nil"/>
            </w:tcBorders>
            <w:shd w:fill="FFFFFF" w:val="clear"/>
            <w:vAlign w:val="center"/>
          </w:tcPr>
          <w:p>
            <w:pPr>
              <w:pStyle w:val="style68"/>
              <w:rPr/>
            </w:pPr>
            <w:r>
              <w:rPr/>
              <w:t xml:space="preserve">                       </w:t>
            </w:r>
            <w:r>
              <w:rPr/>
              <w:t>0</w:t>
            </w:r>
          </w:p>
        </w:tc>
        <w:tc>
          <w:tcPr>
            <w:tcW w:type="dxa" w:w="2391"/>
            <w:tcBorders>
              <w:top w:val="nil"/>
              <w:left w:val="nil"/>
              <w:bottom w:val="nil"/>
              <w:right w:val="nil"/>
            </w:tcBorders>
            <w:shd w:fill="FFFFFF" w:val="clear"/>
            <w:vAlign w:val="center"/>
          </w:tcPr>
          <w:p>
            <w:pPr>
              <w:pStyle w:val="style68"/>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Bankový účet v mene PLN</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PeyPal</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Peniaze na ceste</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b/>
                <w:bCs/>
              </w:rPr>
            </w:pPr>
            <w:r>
              <w:rPr/>
              <w:t> </w:t>
            </w:r>
            <w:r>
              <w:rPr>
                <w:b/>
                <w:bCs/>
              </w:rPr>
              <w:t>Spolu:</w:t>
            </w:r>
          </w:p>
        </w:tc>
        <w:tc>
          <w:tcPr>
            <w:tcW w:type="dxa" w:w="2379"/>
            <w:tcBorders>
              <w:top w:val="nil"/>
              <w:left w:val="nil"/>
              <w:bottom w:val="nil"/>
              <w:right w:val="nil"/>
            </w:tcBorders>
            <w:shd w:fill="FFFFFF" w:val="clear"/>
            <w:vAlign w:val="center"/>
          </w:tcPr>
          <w:p>
            <w:pPr>
              <w:pStyle w:val="style68"/>
              <w:rPr>
                <w:b/>
                <w:bCs/>
              </w:rPr>
            </w:pPr>
            <w:r>
              <w:rPr>
                <w:b/>
                <w:bCs/>
              </w:rPr>
              <w:t xml:space="preserve">                    </w:t>
            </w:r>
            <w:r>
              <w:rPr>
                <w:b/>
                <w:bCs/>
              </w:rPr>
              <w:t>7</w:t>
            </w:r>
          </w:p>
        </w:tc>
        <w:tc>
          <w:tcPr>
            <w:tcW w:type="dxa" w:w="2391"/>
            <w:tcBorders>
              <w:top w:val="nil"/>
              <w:left w:val="nil"/>
              <w:bottom w:val="nil"/>
              <w:right w:val="nil"/>
            </w:tcBorders>
            <w:shd w:fill="FFFFFF" w:val="clear"/>
            <w:vAlign w:val="center"/>
          </w:tcPr>
          <w:p>
            <w:pPr>
              <w:pStyle w:val="style68"/>
              <w:jc w:val="center"/>
              <w:rPr>
                <w:b/>
                <w:bCs/>
              </w:rPr>
            </w:pPr>
            <w:r>
              <w:rPr>
                <w:b/>
                <w:bCs/>
              </w:rPr>
              <w:t>1</w:t>
            </w:r>
            <w:r>
              <w:rPr>
                <w:b/>
                <w:bCs/>
              </w:rPr>
              <w:t>1</w:t>
            </w:r>
          </w:p>
        </w:tc>
      </w:tr>
    </w:tbl>
    <w:p>
      <w:pPr>
        <w:pStyle w:val="style53"/>
        <w:rPr>
          <w:b/>
          <w:bCs/>
          <w:sz w:val="18"/>
          <w:szCs w:val="18"/>
        </w:rPr>
      </w:pPr>
      <w:r>
        <w:rPr>
          <w:b/>
          <w:bCs/>
          <w:sz w:val="18"/>
          <w:szCs w:val="18"/>
        </w:rPr>
      </w:r>
    </w:p>
    <w:p>
      <w:pPr>
        <w:pStyle w:val="style53"/>
        <w:rPr>
          <w:b w:val="false"/>
          <w:bCs w:val="false"/>
          <w:sz w:val="18"/>
          <w:szCs w:val="18"/>
        </w:rPr>
      </w:pPr>
      <w:r>
        <w:rPr>
          <w:b w:val="false"/>
          <w:bCs w:val="false"/>
          <w:sz w:val="18"/>
          <w:szCs w:val="18"/>
        </w:rPr>
        <w:t>Spoločnosť vzhľadom k tomu, že od roku 2006 nevykazuje žiadnu činnosť, nemá</w:t>
      </w:r>
    </w:p>
    <w:p>
      <w:pPr>
        <w:pStyle w:val="style53"/>
        <w:rPr>
          <w:b w:val="false"/>
          <w:bCs w:val="false"/>
          <w:sz w:val="18"/>
          <w:szCs w:val="18"/>
        </w:rPr>
      </w:pPr>
      <w:r>
        <w:rPr>
          <w:b w:val="false"/>
          <w:bCs w:val="false"/>
          <w:sz w:val="18"/>
          <w:szCs w:val="18"/>
        </w:rPr>
        <w:t>zriadený účet v banke.</w:t>
      </w:r>
    </w:p>
    <w:p>
      <w:pPr>
        <w:pStyle w:val="style53"/>
        <w:rPr/>
      </w:pPr>
      <w:r>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4.  Informácie o rozdelení účtovného zisku alebo vysporiadanie účtovnej straty.</w:t>
      </w:r>
    </w:p>
    <w:p>
      <w:pPr>
        <w:pStyle w:val="style5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0"/>
        <w:gridCol w:w="3049"/>
      </w:tblGrid>
      <w:tr>
        <w:trPr>
          <w:trHeight w:hRule="atLeast" w:val="315"/>
          <w:cantSplit w:val="false"/>
        </w:trPr>
        <w:tc>
          <w:tcPr>
            <w:tcW w:type="dxa" w:w="4130"/>
            <w:tcBorders>
              <w:top w:val="nil"/>
              <w:left w:val="nil"/>
              <w:bottom w:val="nil"/>
              <w:right w:val="nil"/>
            </w:tcBorders>
            <w:shd w:fill="FFFFFF" w:val="clear"/>
            <w:vAlign w:val="center"/>
          </w:tcPr>
          <w:p>
            <w:pPr>
              <w:pStyle w:val="style68"/>
              <w:rPr/>
            </w:pPr>
            <w:r>
              <w:rPr/>
              <w:t>tabuľka č. 1</w:t>
            </w:r>
          </w:p>
        </w:tc>
        <w:tc>
          <w:tcPr>
            <w:tcW w:type="dxa" w:w="3049"/>
            <w:tcBorders>
              <w:top w:val="nil"/>
              <w:left w:val="nil"/>
              <w:bottom w:val="nil"/>
              <w:right w:val="nil"/>
            </w:tcBorders>
            <w:shd w:fill="FFFFFF" w:val="clear"/>
            <w:vAlign w:val="center"/>
          </w:tcPr>
          <w:p>
            <w:pPr>
              <w:pStyle w:val="style68"/>
              <w:rPr>
                <w:sz w:val="4"/>
                <w:szCs w:val="4"/>
              </w:rPr>
            </w:pPr>
            <w:r>
              <w:rPr>
                <w:sz w:val="4"/>
                <w:szCs w:val="4"/>
              </w:rPr>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b/>
                <w:bCs/>
              </w:rPr>
            </w:pPr>
            <w:r>
              <w:rPr/>
              <w:t>N</w:t>
            </w:r>
            <w:r>
              <w:rPr>
                <w:b/>
                <w:bCs/>
              </w:rPr>
              <w:t>ázov položky</w:t>
            </w:r>
          </w:p>
        </w:tc>
        <w:tc>
          <w:tcPr>
            <w:tcW w:type="dxa" w:w="3049"/>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4130"/>
            <w:tcBorders>
              <w:top w:val="nil"/>
              <w:left w:val="nil"/>
              <w:bottom w:val="nil"/>
              <w:right w:val="nil"/>
            </w:tcBorders>
            <w:shd w:fill="FFFFFF" w:val="clear"/>
            <w:vAlign w:val="center"/>
          </w:tcPr>
          <w:p>
            <w:pPr>
              <w:pStyle w:val="style68"/>
              <w:rPr/>
            </w:pPr>
            <w:r>
              <w:rPr/>
              <w:t> </w:t>
            </w:r>
          </w:p>
        </w:tc>
        <w:tc>
          <w:tcPr>
            <w:tcW w:type="dxa" w:w="3049"/>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b/>
                <w:bCs/>
              </w:rPr>
            </w:pPr>
            <w:r>
              <w:rPr>
                <w:b/>
                <w:bCs/>
              </w:rPr>
              <w:t>Účtovný zisk</w:t>
            </w:r>
          </w:p>
        </w:tc>
        <w:tc>
          <w:tcPr>
            <w:tcW w:type="dxa" w:w="3049"/>
            <w:tcBorders>
              <w:top w:val="nil"/>
              <w:left w:val="nil"/>
              <w:bottom w:val="nil"/>
              <w:right w:val="nil"/>
            </w:tcBorders>
            <w:shd w:fill="FFFFFF" w:val="clear"/>
            <w:vAlign w:val="center"/>
          </w:tcPr>
          <w:p>
            <w:pPr>
              <w:pStyle w:val="style68"/>
              <w:rPr/>
            </w:pPr>
            <w:r>
              <w:rPr/>
              <w:t xml:space="preserve">                      </w:t>
            </w:r>
            <w:r>
              <w:rPr/>
              <w:t>0</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 </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Rozdelenie účtovného zisku</w:t>
            </w:r>
          </w:p>
        </w:tc>
        <w:tc>
          <w:tcPr>
            <w:tcW w:type="dxa" w:w="3049"/>
            <w:tcBorders>
              <w:top w:val="nil"/>
              <w:left w:val="nil"/>
              <w:bottom w:val="nil"/>
              <w:right w:val="nil"/>
            </w:tcBorders>
            <w:shd w:fill="FFFFFF" w:val="clear"/>
            <w:vAlign w:val="center"/>
          </w:tcPr>
          <w:p>
            <w:pPr>
              <w:pStyle w:val="style68"/>
              <w:jc w:val="center"/>
              <w:rPr>
                <w:b/>
                <w:bCs/>
              </w:rPr>
            </w:pPr>
            <w:r>
              <w:rPr>
                <w:b/>
                <w:bCs/>
              </w:rPr>
              <w:t>Bežné účtovné obdobie</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Prídel do zákonného rezervného fondu</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Prídel do štatutárnych a ostatných fondov</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Prídel do sociálneho fondu</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Prídel na zvýšenie základného imania</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Úhrada straty minulých období</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Prevod do nerozdeleného zisku minulých rokov</w:t>
            </w:r>
          </w:p>
        </w:tc>
        <w:tc>
          <w:tcPr>
            <w:tcW w:type="dxa" w:w="3049"/>
            <w:tcBorders>
              <w:top w:val="nil"/>
              <w:left w:val="nil"/>
              <w:bottom w:val="nil"/>
              <w:right w:val="nil"/>
            </w:tcBorders>
            <w:shd w:fill="FFFFFF" w:val="clear"/>
            <w:vAlign w:val="center"/>
          </w:tcPr>
          <w:p>
            <w:pPr>
              <w:pStyle w:val="style68"/>
              <w:rPr/>
            </w:pPr>
            <w:r>
              <w:rPr/>
              <w:t xml:space="preserve">                     </w:t>
            </w:r>
            <w:r>
              <w:rPr/>
              <w:t>0</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t>Rozdelenie podielu na zisku spoločníkom</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30"/>
            <w:tcBorders>
              <w:top w:val="nil"/>
              <w:left w:val="nil"/>
              <w:bottom w:val="nil"/>
              <w:right w:val="nil"/>
            </w:tcBorders>
            <w:shd w:fill="FFFFFF" w:val="clear"/>
            <w:vAlign w:val="center"/>
          </w:tcPr>
          <w:p>
            <w:pPr>
              <w:pStyle w:val="style68"/>
              <w:rPr/>
            </w:pPr>
            <w:r>
              <w:rPr/>
            </w:r>
          </w:p>
        </w:tc>
        <w:tc>
          <w:tcPr>
            <w:tcW w:type="dxa" w:w="3049"/>
            <w:tcBorders>
              <w:top w:val="nil"/>
              <w:left w:val="nil"/>
              <w:bottom w:val="nil"/>
              <w:right w:val="nil"/>
            </w:tcBorders>
            <w:shd w:fill="FFFFFF" w:val="clear"/>
            <w:vAlign w:val="center"/>
          </w:tcPr>
          <w:p>
            <w:pPr>
              <w:pStyle w:val="style68"/>
              <w:rPr/>
            </w:pPr>
            <w:r>
              <w:rPr/>
              <w:t xml:space="preserve">                      </w:t>
            </w:r>
          </w:p>
        </w:tc>
      </w:tr>
      <w:tr>
        <w:trPr>
          <w:trHeight w:hRule="atLeast" w:val="315"/>
          <w:cantSplit w:val="false"/>
        </w:trPr>
        <w:tc>
          <w:tcPr>
            <w:tcW w:type="dxa" w:w="4130"/>
            <w:tcBorders>
              <w:top w:val="nil"/>
              <w:left w:val="nil"/>
              <w:bottom w:val="nil"/>
              <w:right w:val="nil"/>
            </w:tcBorders>
            <w:shd w:fill="FFFFFF" w:val="clear"/>
            <w:vAlign w:val="center"/>
          </w:tcPr>
          <w:p>
            <w:pPr>
              <w:pStyle w:val="style68"/>
              <w:rPr/>
            </w:pPr>
            <w:r>
              <w:rPr/>
              <w:t>iné</w:t>
            </w:r>
          </w:p>
        </w:tc>
        <w:tc>
          <w:tcPr>
            <w:tcW w:type="dxa" w:w="3049"/>
            <w:tcBorders>
              <w:top w:val="nil"/>
              <w:left w:val="nil"/>
              <w:bottom w:val="nil"/>
              <w:right w:val="nil"/>
            </w:tcBorders>
            <w:shd w:fill="FFFFFF" w:val="clear"/>
            <w:vAlign w:val="center"/>
          </w:tcPr>
          <w:p>
            <w:pPr>
              <w:pStyle w:val="style68"/>
              <w:rPr/>
            </w:pPr>
            <w:r>
              <w:rPr/>
              <w:t> </w:t>
            </w:r>
          </w:p>
        </w:tc>
      </w:tr>
      <w:tr>
        <w:trPr>
          <w:trHeight w:hRule="atLeast" w:val="315"/>
          <w:cantSplit w:val="false"/>
        </w:trPr>
        <w:tc>
          <w:tcPr>
            <w:tcW w:type="dxa" w:w="4130"/>
            <w:tcBorders>
              <w:top w:val="nil"/>
              <w:left w:val="nil"/>
              <w:bottom w:val="nil"/>
              <w:right w:val="nil"/>
            </w:tcBorders>
            <w:shd w:fill="FFFFFF" w:val="clear"/>
            <w:vAlign w:val="center"/>
          </w:tcPr>
          <w:p>
            <w:pPr>
              <w:pStyle w:val="style68"/>
              <w:rPr>
                <w:b/>
                <w:bCs/>
              </w:rPr>
            </w:pPr>
            <w:r>
              <w:rPr>
                <w:b/>
                <w:bCs/>
              </w:rPr>
              <w:t>Spolu:</w:t>
            </w:r>
          </w:p>
        </w:tc>
        <w:tc>
          <w:tcPr>
            <w:tcW w:type="dxa" w:w="3049"/>
            <w:tcBorders>
              <w:top w:val="nil"/>
              <w:left w:val="nil"/>
              <w:bottom w:val="nil"/>
              <w:right w:val="nil"/>
            </w:tcBorders>
            <w:shd w:fill="FFFFFF" w:val="clear"/>
            <w:vAlign w:val="center"/>
          </w:tcPr>
          <w:p>
            <w:pPr>
              <w:pStyle w:val="style68"/>
              <w:rPr>
                <w:b/>
                <w:bCs/>
              </w:rPr>
            </w:pPr>
            <w:r>
              <w:rPr/>
              <w:t xml:space="preserve">              </w:t>
            </w:r>
            <w:r>
              <w:rPr>
                <w:b/>
                <w:bCs/>
              </w:rPr>
              <w:t xml:space="preserve">        </w:t>
            </w:r>
            <w:r>
              <w:rPr>
                <w:b/>
                <w:bCs/>
              </w:rPr>
              <w:t>0</w:t>
            </w:r>
          </w:p>
        </w:tc>
      </w:tr>
    </w:tbl>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t>Spoločnosť v účtovnom období nevykázala zisk, účtovala iba o odloženej dani.</w:t>
      </w:r>
    </w:p>
    <w:p>
      <w:pPr>
        <w:pStyle w:val="style53"/>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5"/>
        <w:gridCol w:w="3014"/>
      </w:tblGrid>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tabuľka č. 2</w:t>
            </w:r>
          </w:p>
        </w:tc>
        <w:tc>
          <w:tcPr>
            <w:tcW w:type="dxa" w:w="3014"/>
            <w:tcBorders>
              <w:top w:val="nil"/>
              <w:left w:val="nil"/>
              <w:bottom w:val="nil"/>
              <w:right w:val="nil"/>
            </w:tcBorders>
            <w:shd w:fill="FFFFFF" w:val="clear"/>
            <w:vAlign w:val="center"/>
          </w:tcPr>
          <w:p>
            <w:pPr>
              <w:pStyle w:val="style68"/>
              <w:rPr>
                <w:sz w:val="4"/>
                <w:szCs w:val="4"/>
              </w:rPr>
            </w:pPr>
            <w:r>
              <w:rPr>
                <w:sz w:val="4"/>
                <w:szCs w:val="4"/>
              </w:rPr>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b/>
                <w:bCs/>
              </w:rPr>
            </w:pPr>
            <w:r>
              <w:rPr>
                <w:b/>
                <w:bCs/>
              </w:rPr>
              <w:t>Názov položky</w:t>
            </w:r>
          </w:p>
        </w:tc>
        <w:tc>
          <w:tcPr>
            <w:tcW w:type="dxa" w:w="3014"/>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 </w:t>
            </w:r>
          </w:p>
        </w:tc>
        <w:tc>
          <w:tcPr>
            <w:tcW w:type="dxa" w:w="3014"/>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b/>
                <w:bCs/>
              </w:rPr>
            </w:pPr>
            <w:r>
              <w:rPr>
                <w:b/>
                <w:bCs/>
              </w:rPr>
              <w:t>Účtovná strata</w:t>
            </w:r>
          </w:p>
        </w:tc>
        <w:tc>
          <w:tcPr>
            <w:tcW w:type="dxa" w:w="3014"/>
            <w:tcBorders>
              <w:top w:val="nil"/>
              <w:left w:val="nil"/>
              <w:bottom w:val="nil"/>
              <w:right w:val="nil"/>
            </w:tcBorders>
            <w:shd w:fill="FFFFFF" w:val="clear"/>
            <w:vAlign w:val="center"/>
          </w:tcPr>
          <w:p>
            <w:pPr>
              <w:pStyle w:val="style68"/>
              <w:jc w:val="center"/>
              <w:rPr/>
            </w:pPr>
            <w:r>
              <w:rPr/>
              <w:t>0</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 </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vysporiadanie účtovnej straty</w:t>
            </w:r>
          </w:p>
        </w:tc>
        <w:tc>
          <w:tcPr>
            <w:tcW w:type="dxa" w:w="3014"/>
            <w:tcBorders>
              <w:top w:val="nil"/>
              <w:left w:val="nil"/>
              <w:bottom w:val="nil"/>
              <w:right w:val="nil"/>
            </w:tcBorders>
            <w:shd w:fill="FFFFFF" w:val="clear"/>
            <w:vAlign w:val="center"/>
          </w:tcPr>
          <w:p>
            <w:pPr>
              <w:pStyle w:val="style68"/>
              <w:jc w:val="center"/>
              <w:rPr>
                <w:b/>
                <w:bCs/>
              </w:rPr>
            </w:pPr>
            <w:r>
              <w:rPr>
                <w:b/>
                <w:bCs/>
              </w:rPr>
              <w:t>Bežné 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zákonného rezervného fondu</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štatutárnych a ostatných fondov</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sociálneho fondu</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na zvýšenie základného imania</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Úhrada straty minulých období</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Prevod do nerozdeleného zisku minulých rokov</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Rozdelenie podielu na zisku spoločníkom</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Daňová licencia</w:t>
            </w:r>
          </w:p>
        </w:tc>
        <w:tc>
          <w:tcPr>
            <w:tcW w:type="dxa" w:w="3014"/>
            <w:tcBorders>
              <w:top w:val="nil"/>
              <w:left w:val="nil"/>
              <w:bottom w:val="nil"/>
              <w:right w:val="nil"/>
            </w:tcBorders>
            <w:shd w:fill="FFFFFF" w:val="clear"/>
            <w:vAlign w:val="center"/>
          </w:tcPr>
          <w:p>
            <w:pPr>
              <w:pStyle w:val="style68"/>
              <w:jc w:val="center"/>
              <w:rPr/>
            </w:pPr>
            <w:r>
              <w:rPr/>
              <w:t>0</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b/>
                <w:bCs/>
              </w:rPr>
            </w:pPr>
            <w:r>
              <w:rPr>
                <w:b/>
                <w:bCs/>
              </w:rPr>
              <w:t>Spolu:</w:t>
            </w:r>
          </w:p>
        </w:tc>
        <w:tc>
          <w:tcPr>
            <w:tcW w:type="dxa" w:w="3014"/>
            <w:tcBorders>
              <w:top w:val="nil"/>
              <w:left w:val="nil"/>
              <w:bottom w:val="nil"/>
              <w:right w:val="nil"/>
            </w:tcBorders>
            <w:shd w:fill="FFFFFF" w:val="clear"/>
            <w:vAlign w:val="center"/>
          </w:tcPr>
          <w:p>
            <w:pPr>
              <w:pStyle w:val="style68"/>
              <w:jc w:val="center"/>
              <w:rPr/>
            </w:pPr>
            <w:r>
              <w:rPr/>
              <w:t>0</w:t>
            </w:r>
          </w:p>
        </w:tc>
      </w:tr>
    </w:tbl>
    <w:p>
      <w:pPr>
        <w:pStyle w:val="style53"/>
        <w:rPr>
          <w:b w:val="false"/>
          <w:bCs w:val="false"/>
          <w:sz w:val="18"/>
          <w:szCs w:val="18"/>
        </w:rPr>
      </w:pPr>
      <w:r>
        <w:rPr>
          <w:b w:val="false"/>
          <w:bCs w:val="false"/>
          <w:sz w:val="18"/>
          <w:szCs w:val="18"/>
        </w:rPr>
      </w:r>
    </w:p>
    <w:p>
      <w:pPr>
        <w:pStyle w:val="style53"/>
        <w:rPr/>
      </w:pPr>
      <w:r>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5.  Informácie o rezervách</w:t>
      </w:r>
    </w:p>
    <w:p>
      <w:pPr>
        <w:pStyle w:val="style53"/>
        <w:rPr>
          <w:b w:val="false"/>
          <w:bCs w:val="false"/>
          <w:sz w:val="18"/>
          <w:szCs w:val="18"/>
        </w:rPr>
      </w:pPr>
      <w:r>
        <w:rPr>
          <w:b w:val="false"/>
          <w:bCs w:val="false"/>
          <w:sz w:val="18"/>
          <w:szCs w:val="18"/>
        </w:rPr>
        <w:t>Spoločnosť v bežnom účtovnom období nemala povinnosť tvoriť rezervy.</w:t>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6.  Informácie o záväzkoch</w:t>
      </w:r>
    </w:p>
    <w:p>
      <w:pPr>
        <w:pStyle w:val="style53"/>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9"/>
        <w:gridCol w:w="2484"/>
        <w:gridCol w:w="2493"/>
      </w:tblGrid>
      <w:tr>
        <w:trPr>
          <w:trHeight w:hRule="atLeast" w:val="300"/>
          <w:cantSplit w:val="false"/>
        </w:trPr>
        <w:tc>
          <w:tcPr>
            <w:tcW w:type="dxa" w:w="2899"/>
            <w:tcBorders>
              <w:top w:val="nil"/>
              <w:left w:val="nil"/>
              <w:bottom w:val="nil"/>
              <w:right w:val="nil"/>
            </w:tcBorders>
            <w:shd w:fill="FFFFFF" w:val="clear"/>
            <w:vAlign w:val="center"/>
          </w:tcPr>
          <w:p>
            <w:pPr>
              <w:pStyle w:val="style68"/>
              <w:rPr>
                <w:b/>
                <w:bCs/>
              </w:rPr>
            </w:pPr>
            <w:r>
              <w:rPr>
                <w:b/>
                <w:bCs/>
              </w:rPr>
              <w:t>Názov položky</w:t>
            </w:r>
          </w:p>
        </w:tc>
        <w:tc>
          <w:tcPr>
            <w:tcW w:type="dxa" w:w="2484"/>
            <w:tcBorders>
              <w:top w:val="nil"/>
              <w:left w:val="nil"/>
              <w:bottom w:val="nil"/>
              <w:right w:val="nil"/>
            </w:tcBorders>
            <w:shd w:fill="FFFFFF" w:val="clear"/>
            <w:vAlign w:val="center"/>
          </w:tcPr>
          <w:p>
            <w:pPr>
              <w:pStyle w:val="style68"/>
              <w:jc w:val="center"/>
              <w:rPr>
                <w:b/>
                <w:bCs/>
              </w:rPr>
            </w:pPr>
            <w:r>
              <w:rPr>
                <w:b/>
                <w:bCs/>
              </w:rPr>
              <w:t>Bežné účtovné obdobie</w:t>
            </w:r>
          </w:p>
        </w:tc>
        <w:tc>
          <w:tcPr>
            <w:tcW w:type="dxa" w:w="2493"/>
            <w:tcBorders>
              <w:top w:val="nil"/>
              <w:left w:val="nil"/>
              <w:bottom w:val="nil"/>
              <w:right w:val="nil"/>
            </w:tcBorders>
            <w:shd w:fill="FFFFFF" w:val="clear"/>
            <w:vAlign w:val="center"/>
          </w:tcPr>
          <w:p>
            <w:pPr>
              <w:pStyle w:val="style68"/>
              <w:jc w:val="center"/>
              <w:rPr>
                <w:b/>
                <w:bCs/>
              </w:rPr>
            </w:pPr>
            <w:r>
              <w:rPr>
                <w:b/>
                <w:bCs/>
              </w:rPr>
              <w:t>Bezprostredne predchádzajúce</w:t>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 </w:t>
            </w:r>
          </w:p>
        </w:tc>
        <w:tc>
          <w:tcPr>
            <w:tcW w:type="dxa" w:w="2484"/>
            <w:tcBorders>
              <w:top w:val="nil"/>
              <w:left w:val="nil"/>
              <w:bottom w:val="nil"/>
              <w:right w:val="nil"/>
            </w:tcBorders>
            <w:shd w:fill="FFFFFF" w:val="clear"/>
            <w:vAlign w:val="center"/>
          </w:tcPr>
          <w:p>
            <w:pPr>
              <w:pStyle w:val="style68"/>
              <w:jc w:val="center"/>
              <w:rPr>
                <w:b/>
                <w:bCs/>
              </w:rPr>
            </w:pPr>
            <w:r>
              <w:rPr>
                <w:b/>
                <w:bCs/>
              </w:rPr>
              <w:t>účtovné obdobie</w:t>
            </w:r>
          </w:p>
        </w:tc>
        <w:tc>
          <w:tcPr>
            <w:tcW w:type="dxa" w:w="2493"/>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z obchodného styku</w:t>
            </w:r>
          </w:p>
        </w:tc>
        <w:tc>
          <w:tcPr>
            <w:tcW w:type="dxa" w:w="2484"/>
            <w:tcBorders>
              <w:top w:val="nil"/>
              <w:left w:val="nil"/>
              <w:bottom w:val="nil"/>
              <w:right w:val="nil"/>
            </w:tcBorders>
            <w:shd w:fill="FFFFFF" w:val="clear"/>
            <w:vAlign w:val="center"/>
          </w:tcPr>
          <w:p>
            <w:pPr>
              <w:pStyle w:val="style68"/>
              <w:rPr/>
            </w:pPr>
            <w:r>
              <w:rPr/>
              <w:t xml:space="preserve">                    </w:t>
            </w:r>
            <w:r>
              <w:rPr/>
              <w:t>0</w:t>
            </w:r>
          </w:p>
        </w:tc>
        <w:tc>
          <w:tcPr>
            <w:tcW w:type="dxa" w:w="2493"/>
            <w:tcBorders>
              <w:top w:val="nil"/>
              <w:left w:val="nil"/>
              <w:bottom w:val="nil"/>
              <w:right w:val="nil"/>
            </w:tcBorders>
            <w:shd w:fill="FFFFFF" w:val="clear"/>
            <w:vAlign w:val="center"/>
          </w:tcPr>
          <w:p>
            <w:pPr>
              <w:pStyle w:val="style68"/>
              <w:rPr/>
            </w:pPr>
            <w:r>
              <w:rPr/>
              <w:t xml:space="preserve">                  </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voči daňovému úradu</w:t>
            </w:r>
          </w:p>
        </w:tc>
        <w:tc>
          <w:tcPr>
            <w:tcW w:type="dxa" w:w="2484"/>
            <w:tcBorders>
              <w:top w:val="nil"/>
              <w:left w:val="nil"/>
              <w:bottom w:val="nil"/>
              <w:right w:val="nil"/>
            </w:tcBorders>
            <w:shd w:fill="FFFFFF" w:val="clear"/>
            <w:vAlign w:val="center"/>
          </w:tcPr>
          <w:p>
            <w:pPr>
              <w:pStyle w:val="style68"/>
              <w:jc w:val="center"/>
              <w:rPr>
                <w:sz w:val="16"/>
                <w:szCs w:val="16"/>
              </w:rPr>
            </w:pPr>
            <w:r>
              <w:rPr>
                <w:sz w:val="16"/>
                <w:szCs w:val="16"/>
              </w:rPr>
              <w:t>0</w:t>
            </w:r>
          </w:p>
        </w:tc>
        <w:tc>
          <w:tcPr>
            <w:tcW w:type="dxa" w:w="2493"/>
            <w:tcBorders>
              <w:top w:val="nil"/>
              <w:left w:val="nil"/>
              <w:bottom w:val="nil"/>
              <w:right w:val="nil"/>
            </w:tcBorders>
            <w:shd w:fill="FFFFFF" w:val="clear"/>
            <w:vAlign w:val="center"/>
          </w:tcPr>
          <w:p>
            <w:pPr>
              <w:pStyle w:val="style68"/>
              <w:jc w:val="center"/>
              <w:rPr/>
            </w:pPr>
            <w:r>
              <w:rPr/>
              <w:t>480</w:t>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né záväzky</w:t>
            </w:r>
          </w:p>
        </w:tc>
        <w:tc>
          <w:tcPr>
            <w:tcW w:type="dxa" w:w="2484"/>
            <w:tcBorders>
              <w:top w:val="nil"/>
              <w:left w:val="nil"/>
              <w:bottom w:val="nil"/>
              <w:right w:val="nil"/>
            </w:tcBorders>
            <w:shd w:fill="FFFFFF" w:val="clear"/>
            <w:vAlign w:val="center"/>
          </w:tcPr>
          <w:p>
            <w:pPr>
              <w:pStyle w:val="style68"/>
              <w:rPr/>
            </w:pPr>
            <w:r>
              <w:rPr/>
            </w:r>
          </w:p>
        </w:tc>
        <w:tc>
          <w:tcPr>
            <w:tcW w:type="dxa" w:w="2493"/>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b/>
                <w:bCs/>
              </w:rPr>
            </w:pPr>
            <w:r>
              <w:rPr>
                <w:b/>
                <w:bCs/>
              </w:rPr>
              <w:t>Krátkodobé záväzky spolu:</w:t>
            </w:r>
          </w:p>
        </w:tc>
        <w:tc>
          <w:tcPr>
            <w:tcW w:type="dxa" w:w="2484"/>
            <w:tcBorders>
              <w:top w:val="nil"/>
              <w:left w:val="nil"/>
              <w:bottom w:val="nil"/>
              <w:right w:val="nil"/>
            </w:tcBorders>
            <w:shd w:fill="FFFFFF" w:val="clear"/>
            <w:vAlign w:val="center"/>
          </w:tcPr>
          <w:p>
            <w:pPr>
              <w:pStyle w:val="style68"/>
              <w:jc w:val="center"/>
              <w:rPr>
                <w:b/>
                <w:bCs/>
                <w:sz w:val="16"/>
                <w:szCs w:val="16"/>
              </w:rPr>
            </w:pPr>
            <w:r>
              <w:rPr>
                <w:b/>
                <w:bCs/>
                <w:sz w:val="16"/>
                <w:szCs w:val="16"/>
              </w:rPr>
              <w:t>0</w:t>
            </w:r>
          </w:p>
        </w:tc>
        <w:tc>
          <w:tcPr>
            <w:tcW w:type="dxa" w:w="2493"/>
            <w:tcBorders>
              <w:top w:val="nil"/>
              <w:left w:val="nil"/>
              <w:bottom w:val="nil"/>
              <w:right w:val="nil"/>
            </w:tcBorders>
            <w:shd w:fill="FFFFFF" w:val="clear"/>
            <w:vAlign w:val="center"/>
          </w:tcPr>
          <w:p>
            <w:pPr>
              <w:pStyle w:val="style68"/>
              <w:jc w:val="center"/>
              <w:rPr>
                <w:b/>
                <w:bCs/>
                <w:sz w:val="16"/>
                <w:szCs w:val="16"/>
              </w:rPr>
            </w:pPr>
            <w:r>
              <w:rPr>
                <w:b/>
                <w:bCs/>
                <w:sz w:val="16"/>
                <w:szCs w:val="16"/>
              </w:rPr>
              <w:t>480</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s dobou splatnosti 1-5</w:t>
            </w:r>
          </w:p>
        </w:tc>
        <w:tc>
          <w:tcPr>
            <w:tcW w:type="dxa" w:w="2484"/>
            <w:tcBorders>
              <w:top w:val="nil"/>
              <w:left w:val="nil"/>
              <w:bottom w:val="nil"/>
              <w:right w:val="nil"/>
            </w:tcBorders>
            <w:shd w:fill="FFFFFF" w:val="clear"/>
            <w:vAlign w:val="center"/>
          </w:tcPr>
          <w:p>
            <w:pPr>
              <w:pStyle w:val="style68"/>
              <w:rPr/>
            </w:pPr>
            <w:r>
              <w:rPr/>
            </w:r>
          </w:p>
        </w:tc>
        <w:tc>
          <w:tcPr>
            <w:tcW w:type="dxa" w:w="2493"/>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Záväzky s dobou splatnosti nad 5</w:t>
            </w:r>
          </w:p>
        </w:tc>
        <w:tc>
          <w:tcPr>
            <w:tcW w:type="dxa" w:w="2484"/>
            <w:tcBorders>
              <w:top w:val="nil"/>
              <w:left w:val="nil"/>
              <w:bottom w:val="nil"/>
              <w:right w:val="nil"/>
            </w:tcBorders>
            <w:shd w:fill="FFFFFF" w:val="clear"/>
            <w:vAlign w:val="center"/>
          </w:tcPr>
          <w:p>
            <w:pPr>
              <w:pStyle w:val="style68"/>
              <w:rPr/>
            </w:pPr>
            <w:r>
              <w:rPr/>
            </w:r>
          </w:p>
        </w:tc>
        <w:tc>
          <w:tcPr>
            <w:tcW w:type="dxa" w:w="2493"/>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b/>
                <w:bCs/>
              </w:rPr>
            </w:pPr>
            <w:r>
              <w:rPr>
                <w:b/>
                <w:bCs/>
              </w:rPr>
              <w:t>Záväzky spolu:</w:t>
            </w:r>
          </w:p>
        </w:tc>
        <w:tc>
          <w:tcPr>
            <w:tcW w:type="dxa" w:w="2484"/>
            <w:tcBorders>
              <w:top w:val="nil"/>
              <w:left w:val="nil"/>
              <w:bottom w:val="nil"/>
              <w:right w:val="nil"/>
            </w:tcBorders>
            <w:shd w:fill="FFFFFF" w:val="clear"/>
            <w:vAlign w:val="center"/>
          </w:tcPr>
          <w:p>
            <w:pPr>
              <w:pStyle w:val="style68"/>
              <w:jc w:val="center"/>
              <w:rPr>
                <w:b/>
                <w:bCs/>
                <w:sz w:val="16"/>
                <w:szCs w:val="16"/>
              </w:rPr>
            </w:pPr>
            <w:r>
              <w:rPr>
                <w:b/>
                <w:bCs/>
                <w:sz w:val="16"/>
                <w:szCs w:val="16"/>
              </w:rPr>
              <w:t>0</w:t>
            </w:r>
          </w:p>
        </w:tc>
        <w:tc>
          <w:tcPr>
            <w:tcW w:type="dxa" w:w="2493"/>
            <w:tcBorders>
              <w:top w:val="nil"/>
              <w:left w:val="nil"/>
              <w:bottom w:val="nil"/>
              <w:right w:val="nil"/>
            </w:tcBorders>
            <w:shd w:fill="FFFFFF" w:val="clear"/>
            <w:vAlign w:val="center"/>
          </w:tcPr>
          <w:p>
            <w:pPr>
              <w:pStyle w:val="style68"/>
              <w:jc w:val="center"/>
              <w:rPr>
                <w:b/>
                <w:bCs/>
                <w:sz w:val="16"/>
                <w:szCs w:val="16"/>
              </w:rPr>
            </w:pPr>
            <w:r>
              <w:rPr>
                <w:b/>
                <w:bCs/>
                <w:sz w:val="16"/>
                <w:szCs w:val="16"/>
              </w:rPr>
              <w:t>480</w:t>
            </w:r>
          </w:p>
        </w:tc>
      </w:tr>
    </w:tbl>
    <w:p>
      <w:pPr>
        <w:pStyle w:val="style53"/>
        <w:rPr>
          <w:b w:val="false"/>
          <w:bCs w:val="false"/>
          <w:sz w:val="18"/>
          <w:szCs w:val="18"/>
        </w:rPr>
      </w:pPr>
      <w:r>
        <w:rPr>
          <w:b w:val="false"/>
          <w:bCs w:val="false"/>
          <w:sz w:val="18"/>
          <w:szCs w:val="18"/>
        </w:rPr>
      </w:r>
    </w:p>
    <w:p>
      <w:pPr>
        <w:pStyle w:val="style53"/>
        <w:rPr>
          <w:b w:val="false"/>
          <w:bCs w:val="false"/>
          <w:sz w:val="16"/>
          <w:szCs w:val="16"/>
        </w:rPr>
      </w:pPr>
      <w:r>
        <w:rPr>
          <w:b w:val="false"/>
          <w:bCs w:val="false"/>
          <w:sz w:val="16"/>
          <w:szCs w:val="16"/>
        </w:rPr>
        <w:t>Spoločnosť vykazuje za hodnotiace obdobie iba krátkodobé záväzky v lehote splatnosti</w:t>
      </w:r>
    </w:p>
    <w:p>
      <w:pPr>
        <w:pStyle w:val="style53"/>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4"/>
        <w:gridCol w:w="2487"/>
        <w:gridCol w:w="2498"/>
      </w:tblGrid>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8"/>
              <w:jc w:val="center"/>
              <w:rPr>
                <w:b/>
                <w:bCs/>
                <w:sz w:val="16"/>
                <w:szCs w:val="16"/>
              </w:rPr>
            </w:pPr>
            <w:r>
              <w:rPr>
                <w:b/>
                <w:bCs/>
                <w:sz w:val="16"/>
                <w:szCs w:val="16"/>
              </w:rPr>
              <w:t>Bežné účtovné obdobie</w:t>
            </w:r>
          </w:p>
        </w:tc>
        <w:tc>
          <w:tcPr>
            <w:tcW w:type="dxa" w:w="2498"/>
            <w:tcBorders>
              <w:top w:val="nil"/>
              <w:left w:val="nil"/>
              <w:bottom w:val="nil"/>
              <w:right w:val="nil"/>
            </w:tcBorders>
            <w:shd w:fill="FFFFFF" w:val="clear"/>
            <w:vAlign w:val="center"/>
          </w:tcPr>
          <w:p>
            <w:pPr>
              <w:pStyle w:val="style68"/>
              <w:jc w:val="center"/>
              <w:rPr>
                <w:b/>
                <w:bCs/>
                <w:sz w:val="16"/>
                <w:szCs w:val="16"/>
              </w:rPr>
            </w:pPr>
            <w:r>
              <w:rPr>
                <w:b/>
                <w:bCs/>
                <w:sz w:val="16"/>
                <w:szCs w:val="16"/>
              </w:rPr>
              <w:t>Bezprostredne predchádzajúce</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jc w:val="center"/>
              <w:rPr>
                <w:b/>
                <w:bCs/>
                <w:sz w:val="16"/>
                <w:szCs w:val="16"/>
              </w:rPr>
            </w:pPr>
            <w:r>
              <w:rPr>
                <w:b/>
                <w:bCs/>
                <w:sz w:val="16"/>
                <w:szCs w:val="16"/>
              </w:rPr>
              <w:t>účtovné obdobie</w:t>
            </w:r>
          </w:p>
        </w:tc>
        <w:tc>
          <w:tcPr>
            <w:tcW w:type="dxa" w:w="2498"/>
            <w:tcBorders>
              <w:top w:val="nil"/>
              <w:left w:val="nil"/>
              <w:bottom w:val="nil"/>
              <w:right w:val="nil"/>
            </w:tcBorders>
            <w:shd w:fill="FFFFFF" w:val="clear"/>
            <w:vAlign w:val="center"/>
          </w:tcPr>
          <w:p>
            <w:pPr>
              <w:pStyle w:val="style68"/>
              <w:jc w:val="center"/>
              <w:rPr>
                <w:b/>
                <w:bCs/>
                <w:sz w:val="16"/>
                <w:szCs w:val="16"/>
              </w:rPr>
            </w:pPr>
            <w:r>
              <w:rPr>
                <w:b/>
                <w:bCs/>
                <w:sz w:val="16"/>
                <w:szCs w:val="16"/>
              </w:rPr>
              <w:t>účtovné obdobie</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bl>
    <w:p>
      <w:pPr>
        <w:pStyle w:val="style53"/>
        <w:rPr>
          <w:b w:val="false"/>
          <w:bCs w:val="false"/>
          <w:sz w:val="18"/>
          <w:szCs w:val="18"/>
        </w:rPr>
      </w:pPr>
      <w:r>
        <w:rPr>
          <w:b w:val="false"/>
          <w:bCs w:val="false"/>
          <w:sz w:val="18"/>
          <w:szCs w:val="18"/>
        </w:rPr>
      </w:r>
    </w:p>
    <w:p>
      <w:pPr>
        <w:pStyle w:val="style53"/>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53"/>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Za rok 201</w:t>
      </w:r>
      <w:r>
        <w:rPr>
          <w:sz w:val="16"/>
          <w:szCs w:val="16"/>
        </w:rPr>
        <w:t>8</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09"/>
        <w:gridCol w:w="2488"/>
        <w:gridCol w:w="2498"/>
      </w:tblGrid>
      <w:tr>
        <w:trPr>
          <w:trHeight w:hRule="atLeast" w:val="300"/>
          <w:cantSplit w:val="false"/>
        </w:trPr>
        <w:tc>
          <w:tcPr>
            <w:tcW w:type="dxa" w:w="3309"/>
            <w:tcBorders>
              <w:top w:val="nil"/>
              <w:left w:val="nil"/>
              <w:bottom w:val="nil"/>
              <w:right w:val="nil"/>
            </w:tcBorders>
            <w:shd w:fill="FFFFFF" w:val="clear"/>
            <w:vAlign w:val="center"/>
          </w:tcPr>
          <w:p>
            <w:pPr>
              <w:pStyle w:val="style68"/>
              <w:rPr>
                <w:b/>
                <w:bCs/>
              </w:rPr>
            </w:pPr>
            <w:r>
              <w:rPr>
                <w:b/>
                <w:bCs/>
              </w:rPr>
              <w:t>Oblasť odbytu</w:t>
            </w:r>
          </w:p>
        </w:tc>
        <w:tc>
          <w:tcPr>
            <w:tcW w:type="dxa" w:w="2488"/>
            <w:tcBorders>
              <w:top w:val="nil"/>
              <w:left w:val="nil"/>
              <w:bottom w:val="nil"/>
              <w:right w:val="nil"/>
            </w:tcBorders>
            <w:shd w:fill="FFFFFF" w:val="clear"/>
            <w:vAlign w:val="center"/>
          </w:tcPr>
          <w:p>
            <w:pPr>
              <w:pStyle w:val="style68"/>
              <w:rPr>
                <w:b/>
                <w:bCs/>
              </w:rPr>
            </w:pPr>
            <w:r>
              <w:rPr>
                <w:b/>
                <w:bCs/>
              </w:rPr>
              <w:t>Bežné účtovné obdobie</w:t>
            </w:r>
          </w:p>
        </w:tc>
        <w:tc>
          <w:tcPr>
            <w:tcW w:type="dxa" w:w="2498"/>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b/>
                <w:bCs/>
              </w:rPr>
            </w:pPr>
            <w:r>
              <w:rPr>
                <w:b/>
                <w:bCs/>
              </w:rPr>
              <w:t> </w:t>
            </w:r>
          </w:p>
        </w:tc>
        <w:tc>
          <w:tcPr>
            <w:tcW w:type="dxa" w:w="2488"/>
            <w:tcBorders>
              <w:top w:val="nil"/>
              <w:left w:val="nil"/>
              <w:bottom w:val="nil"/>
              <w:right w:val="nil"/>
            </w:tcBorders>
            <w:shd w:fill="FFFFFF" w:val="clear"/>
            <w:vAlign w:val="center"/>
          </w:tcPr>
          <w:p>
            <w:pPr>
              <w:pStyle w:val="style68"/>
              <w:rPr>
                <w:b/>
                <w:bCs/>
              </w:rPr>
            </w:pPr>
            <w:r>
              <w:rPr>
                <w:b/>
                <w:bCs/>
              </w:rPr>
              <w:t>účtovné obdobie</w:t>
            </w:r>
          </w:p>
        </w:tc>
        <w:tc>
          <w:tcPr>
            <w:tcW w:type="dxa" w:w="2498"/>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pPr>
            <w:r>
              <w:rPr/>
              <w:t>Predaj služieb:</w:t>
            </w:r>
          </w:p>
        </w:tc>
        <w:tc>
          <w:tcPr>
            <w:tcW w:type="dxa" w:w="2488"/>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Predaj služieb – z toho:</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 Obchodné zastúpenie</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 Hostingové služby</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Tržby z predaja IM</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Bankové úrokx</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Úroky z omeškania</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pPr>
            <w:r>
              <w:rPr/>
              <w:t> </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8"/>
              <w:jc w:val="center"/>
              <w:rPr>
                <w:b/>
                <w:bCs/>
                <w:sz w:val="18"/>
                <w:szCs w:val="18"/>
              </w:rPr>
            </w:pPr>
            <w:r>
              <w:rPr>
                <w:b/>
                <w:bCs/>
                <w:sz w:val="18"/>
                <w:szCs w:val="18"/>
              </w:rPr>
              <w:t>0</w:t>
            </w:r>
          </w:p>
        </w:tc>
        <w:tc>
          <w:tcPr>
            <w:tcW w:type="dxa" w:w="2498"/>
            <w:tcBorders>
              <w:top w:val="nil"/>
              <w:left w:val="nil"/>
              <w:bottom w:val="nil"/>
              <w:right w:val="nil"/>
            </w:tcBorders>
            <w:shd w:fill="FFFFFF" w:val="clear"/>
            <w:vAlign w:val="center"/>
          </w:tcPr>
          <w:p>
            <w:pPr>
              <w:pStyle w:val="style68"/>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2017 spoločnosť dosiahla celkové náklady vo výške   </w:t>
      </w:r>
      <w:r>
        <w:rPr>
          <w:b/>
          <w:bCs/>
          <w:sz w:val="16"/>
          <w:szCs w:val="16"/>
        </w:rPr>
        <w:t>0</w:t>
      </w:r>
      <w:r>
        <w:rPr>
          <w:b/>
          <w:bCs/>
          <w:sz w:val="16"/>
          <w:szCs w:val="16"/>
        </w:rPr>
        <w:t xml:space="preserve">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5"/>
        <w:gridCol w:w="2496"/>
        <w:gridCol w:w="2498"/>
      </w:tblGrid>
      <w:tr>
        <w:trPr>
          <w:trHeight w:hRule="atLeast" w:val="300"/>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8"/>
              <w:rPr>
                <w:b/>
                <w:bCs/>
                <w:sz w:val="16"/>
                <w:szCs w:val="16"/>
              </w:rPr>
            </w:pPr>
            <w:r>
              <w:rPr>
                <w:b/>
                <w:bCs/>
                <w:sz w:val="16"/>
                <w:szCs w:val="16"/>
              </w:rPr>
              <w:t>Bežné účtovné obdobie</w:t>
            </w:r>
          </w:p>
        </w:tc>
        <w:tc>
          <w:tcPr>
            <w:tcW w:type="dxa" w:w="2498"/>
            <w:tcBorders>
              <w:top w:val="nil"/>
              <w:left w:val="nil"/>
              <w:bottom w:val="nil"/>
              <w:right w:val="nil"/>
            </w:tcBorders>
            <w:shd w:fill="FFFFFF" w:val="clear"/>
            <w:vAlign w:val="center"/>
          </w:tcPr>
          <w:p>
            <w:pPr>
              <w:pStyle w:val="style68"/>
              <w:rPr>
                <w:b/>
                <w:bCs/>
                <w:sz w:val="16"/>
                <w:szCs w:val="16"/>
              </w:rPr>
            </w:pPr>
            <w:r>
              <w:rPr>
                <w:b/>
                <w:bCs/>
                <w:sz w:val="16"/>
                <w:szCs w:val="16"/>
              </w:rPr>
              <w:t>Bezprostredne predchádzajúce</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8"/>
              <w:rPr>
                <w:b/>
                <w:bCs/>
                <w:sz w:val="16"/>
                <w:szCs w:val="16"/>
              </w:rPr>
            </w:pPr>
            <w:r>
              <w:rPr>
                <w:b/>
                <w:bCs/>
                <w:sz w:val="16"/>
                <w:szCs w:val="16"/>
              </w:rPr>
              <w:t>účtovné obdobie</w:t>
            </w:r>
          </w:p>
        </w:tc>
        <w:tc>
          <w:tcPr>
            <w:tcW w:type="dxa" w:w="2498"/>
            <w:tcBorders>
              <w:top w:val="nil"/>
              <w:left w:val="nil"/>
              <w:bottom w:val="nil"/>
              <w:right w:val="nil"/>
            </w:tcBorders>
            <w:shd w:fill="FFFFFF" w:val="clear"/>
            <w:vAlign w:val="center"/>
          </w:tcPr>
          <w:p>
            <w:pPr>
              <w:pStyle w:val="style68"/>
              <w:rPr>
                <w:b/>
                <w:bCs/>
                <w:sz w:val="16"/>
                <w:szCs w:val="16"/>
              </w:rPr>
            </w:pPr>
            <w:r>
              <w:rPr>
                <w:b/>
                <w:bCs/>
                <w:sz w:val="16"/>
                <w:szCs w:val="16"/>
              </w:rPr>
              <w:t>účtovné obdobie</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t>4</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pPr>
            <w:r>
              <w:rPr/>
              <w:t> </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8"/>
              <w:jc w:val="center"/>
              <w:rPr>
                <w:b/>
                <w:bCs/>
                <w:sz w:val="18"/>
                <w:szCs w:val="18"/>
              </w:rPr>
            </w:pPr>
            <w:r>
              <w:rPr>
                <w:b/>
                <w:bCs/>
                <w:sz w:val="18"/>
                <w:szCs w:val="18"/>
              </w:rPr>
              <w:t>0</w:t>
            </w:r>
          </w:p>
        </w:tc>
        <w:tc>
          <w:tcPr>
            <w:tcW w:type="dxa" w:w="2498"/>
            <w:tcBorders>
              <w:top w:val="nil"/>
              <w:left w:val="nil"/>
              <w:bottom w:val="nil"/>
              <w:right w:val="nil"/>
            </w:tcBorders>
            <w:shd w:fill="FFFFFF" w:val="clear"/>
            <w:vAlign w:val="center"/>
          </w:tcPr>
          <w:p>
            <w:pPr>
              <w:pStyle w:val="style68"/>
              <w:jc w:val="center"/>
              <w:rPr>
                <w:b/>
                <w:bCs/>
                <w:sz w:val="18"/>
                <w:szCs w:val="18"/>
              </w:rPr>
            </w:pPr>
            <w:r>
              <w:rPr>
                <w:b/>
                <w:bCs/>
                <w:sz w:val="18"/>
                <w:szCs w:val="18"/>
              </w:rPr>
              <w:t>4</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2017 účtovaná iba daňová licencia v celkovej čiastke </w:t>
      </w:r>
      <w:r>
        <w:rPr>
          <w:rFonts w:ascii="Calibri" w:cs="Arial" w:eastAsia="Times New Roman" w:hAnsi="Calibri"/>
          <w:b/>
          <w:bCs/>
          <w:iCs/>
          <w:color w:val="000000"/>
          <w:sz w:val="20"/>
          <w:szCs w:val="20"/>
        </w:rPr>
        <w:t>200,00</w:t>
      </w:r>
      <w:r>
        <w:rPr>
          <w:rFonts w:ascii="Calibri" w:cs="Arial" w:eastAsia="Times New Roman" w:hAnsi="Calibri"/>
          <w:b w:val="false"/>
          <w:bCs w:val="false"/>
          <w:iCs/>
          <w:color w:val="000000"/>
          <w:sz w:val="20"/>
          <w:szCs w:val="20"/>
        </w:rPr>
        <w:t xml:space="preserve"> €</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3"/>
        <w:gridCol w:w="884"/>
        <w:gridCol w:w="1032"/>
        <w:gridCol w:w="796"/>
        <w:gridCol w:w="923"/>
        <w:gridCol w:w="1143"/>
      </w:tblGrid>
      <w:tr>
        <w:trPr>
          <w:cantSplit w:val="false"/>
        </w:trPr>
        <w:tc>
          <w:tcPr>
            <w:tcW w:type="dxa" w:w="4293"/>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2"/>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6"/>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3"/>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2016</w:t>
            </w:r>
          </w:p>
        </w:tc>
        <w:tc>
          <w:tcPr>
            <w:tcW w:type="dxa" w:w="1032"/>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3"/>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2017</w:t>
            </w:r>
          </w:p>
        </w:tc>
      </w:tr>
      <w:tr>
        <w:trPr>
          <w:cantSplit w:val="false"/>
        </w:trPr>
        <w:tc>
          <w:tcPr>
            <w:tcW w:type="dxa" w:w="4293"/>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6139</w:t>
            </w:r>
          </w:p>
        </w:tc>
        <w:tc>
          <w:tcPr>
            <w:tcW w:type="dxa" w:w="1032"/>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 xml:space="preserve"> 6139</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t>-</w:t>
            </w:r>
            <w:r>
              <w:rPr/>
              <w:t>7588</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t>949</w:t>
            </w:r>
          </w:p>
        </w:tc>
        <w:tc>
          <w:tcPr>
            <w:tcW w:type="dxa" w:w="923"/>
            <w:tcBorders>
              <w:top w:val="nil"/>
              <w:left w:val="nil"/>
              <w:bottom w:val="nil"/>
              <w:right w:val="nil"/>
            </w:tcBorders>
            <w:shd w:fill="FFFFFF" w:val="clear"/>
            <w:vAlign w:val="bottom"/>
          </w:tcPr>
          <w:p>
            <w:pPr>
              <w:pStyle w:val="style0"/>
              <w:spacing w:after="119" w:before="28"/>
              <w:contextualSpacing w:val="false"/>
              <w:jc w:val="center"/>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center"/>
              <w:rPr/>
            </w:pPr>
            <w:r>
              <w:rPr/>
              <w:t>-</w:t>
            </w:r>
            <w:r>
              <w:rPr/>
              <w:t>6639</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t>480</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center"/>
              <w:rPr/>
            </w:pPr>
            <w:r>
              <w:rPr/>
              <w:t>0</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 xml:space="preserve">V Nižnej, dňa </w:t>
      </w:r>
      <w:r>
        <w:rPr>
          <w:rFonts w:cs="Arial"/>
          <w:bCs/>
          <w:sz w:val="20"/>
          <w:szCs w:val="20"/>
          <w:u w:val="none"/>
        </w:rPr>
        <w:t>14</w:t>
      </w:r>
      <w:r>
        <w:rPr>
          <w:rFonts w:cs="Arial"/>
          <w:bCs/>
          <w:sz w:val="20"/>
          <w:szCs w:val="20"/>
          <w:u w:val="none"/>
        </w:rPr>
        <w:t>.</w:t>
      </w:r>
      <w:r>
        <w:rPr>
          <w:rFonts w:cs="Arial"/>
          <w:bCs/>
          <w:sz w:val="20"/>
          <w:szCs w:val="20"/>
          <w:u w:val="none"/>
        </w:rPr>
        <w:t>3</w:t>
      </w:r>
      <w:r>
        <w:rPr>
          <w:rFonts w:cs="Arial"/>
          <w:bCs/>
          <w:sz w:val="20"/>
          <w:szCs w:val="20"/>
          <w:u w:val="none"/>
        </w:rPr>
        <w:t>201</w:t>
      </w:r>
      <w:r>
        <w:rPr>
          <w:rFonts w:cs="Arial"/>
          <w:bCs/>
          <w:sz w:val="20"/>
          <w:szCs w:val="20"/>
          <w:u w:val="none"/>
        </w:rPr>
        <w:t>9</w:t>
      </w:r>
    </w:p>
    <w:p>
      <w:pPr>
        <w:pStyle w:val="style0"/>
        <w:rPr>
          <w:rFonts w:cs="Arial"/>
          <w:bCs/>
          <w:sz w:val="20"/>
          <w:szCs w:val="20"/>
          <w:u w:val="none"/>
        </w:rPr>
      </w:pPr>
      <w:r>
        <w:rPr>
          <w:rFonts w:cs="Arial"/>
          <w:bCs/>
          <w:sz w:val="20"/>
          <w:szCs w:val="20"/>
          <w:u w:val="none"/>
        </w:rPr>
        <w:t>Mgr. Róbert Martauz</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113663" w:linePitch="725"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57"/>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character">
    <w:name w:val="ListLabel 28"/>
    <w:next w:val="style48"/>
    <w:rPr>
      <w:rFonts w:cs="Symbol"/>
      <w:color w:val="00000A"/>
    </w:rPr>
  </w:style>
  <w:style w:styleId="style49" w:type="character">
    <w:name w:val="ListLabel 29"/>
    <w:next w:val="style49"/>
    <w:rPr>
      <w:rFonts w:cs="Courier New"/>
    </w:rPr>
  </w:style>
  <w:style w:styleId="style50" w:type="character">
    <w:name w:val="ListLabel 30"/>
    <w:next w:val="style50"/>
    <w:rPr>
      <w:rFonts w:cs="Wingdings"/>
    </w:rPr>
  </w:style>
  <w:style w:styleId="style51" w:type="character">
    <w:name w:val="ListLabel 31"/>
    <w:next w:val="style51"/>
    <w:rPr>
      <w:rFonts w:cs="Symbol"/>
    </w:rPr>
  </w:style>
  <w:style w:styleId="style52" w:type="paragraph">
    <w:name w:val="Nadpis"/>
    <w:basedOn w:val="style0"/>
    <w:next w:val="style53"/>
    <w:pPr>
      <w:keepNext/>
      <w:spacing w:after="120" w:before="240"/>
      <w:contextualSpacing w:val="false"/>
    </w:pPr>
    <w:rPr>
      <w:rFonts w:ascii="Arial" w:cs="Mangal" w:eastAsia="Microsoft YaHei" w:hAnsi="Arial"/>
      <w:sz w:val="28"/>
      <w:szCs w:val="28"/>
    </w:rPr>
  </w:style>
  <w:style w:styleId="style53" w:type="paragraph">
    <w:name w:val="Telo textu"/>
    <w:basedOn w:val="style0"/>
    <w:next w:val="style53"/>
    <w:pPr>
      <w:spacing w:after="120" w:before="0"/>
      <w:contextualSpacing w:val="false"/>
    </w:pPr>
    <w:rPr>
      <w:sz w:val="24"/>
      <w:lang w:eastAsia="sk-SK" w:val="cs-CZ"/>
    </w:rPr>
  </w:style>
  <w:style w:styleId="style54" w:type="paragraph">
    <w:name w:val="Zoznam"/>
    <w:basedOn w:val="style53"/>
    <w:next w:val="style54"/>
    <w:pPr/>
    <w:rPr>
      <w:rFonts w:cs="Mangal"/>
    </w:rPr>
  </w:style>
  <w:style w:styleId="style55" w:type="paragraph">
    <w:name w:val="Popis"/>
    <w:basedOn w:val="style0"/>
    <w:next w:val="style55"/>
    <w:pPr>
      <w:suppressLineNumbers/>
      <w:spacing w:after="120" w:before="120"/>
      <w:contextualSpacing w:val="false"/>
    </w:pPr>
    <w:rPr>
      <w:rFonts w:cs="Mangal"/>
      <w:i/>
      <w:iCs/>
      <w:sz w:val="24"/>
      <w:szCs w:val="24"/>
    </w:rPr>
  </w:style>
  <w:style w:styleId="style56" w:type="paragraph">
    <w:name w:val="Index"/>
    <w:basedOn w:val="style0"/>
    <w:next w:val="style56"/>
    <w:pPr>
      <w:suppressLineNumbers/>
    </w:pPr>
    <w:rPr>
      <w:rFonts w:cs="Mangal"/>
    </w:rPr>
  </w:style>
  <w:style w:styleId="style57" w:type="paragraph">
    <w:name w:val="Hlavička"/>
    <w:basedOn w:val="style0"/>
    <w:next w:val="style57"/>
    <w:pPr>
      <w:tabs>
        <w:tab w:leader="none" w:pos="4536" w:val="center"/>
        <w:tab w:leader="none" w:pos="9072" w:val="right"/>
      </w:tabs>
    </w:pPr>
    <w:rPr>
      <w:b/>
    </w:rPr>
  </w:style>
  <w:style w:styleId="style58" w:type="paragraph">
    <w:name w:val="Päta"/>
    <w:basedOn w:val="style0"/>
    <w:next w:val="style58"/>
    <w:pPr>
      <w:tabs>
        <w:tab w:leader="none" w:pos="4703" w:val="center"/>
        <w:tab w:leader="none" w:pos="9406" w:val="right"/>
      </w:tabs>
    </w:pPr>
    <w:rPr/>
  </w:style>
  <w:style w:styleId="style59" w:type="paragraph">
    <w:name w:val="Balloon Text"/>
    <w:basedOn w:val="style0"/>
    <w:next w:val="style59"/>
    <w:pPr/>
    <w:rPr>
      <w:rFonts w:ascii="Tahoma" w:cs="Tahoma" w:hAnsi="Tahoma"/>
      <w:sz w:val="16"/>
      <w:szCs w:val="16"/>
    </w:rPr>
  </w:style>
  <w:style w:styleId="style60" w:type="paragraph">
    <w:name w:val="annotation text"/>
    <w:basedOn w:val="style0"/>
    <w:next w:val="style60"/>
    <w:pPr/>
    <w:rPr>
      <w:sz w:val="20"/>
    </w:rPr>
  </w:style>
  <w:style w:styleId="style61" w:type="paragraph">
    <w:name w:val="annotation subject"/>
    <w:basedOn w:val="style60"/>
    <w:next w:val="style61"/>
    <w:pPr/>
    <w:rPr>
      <w:b/>
      <w:bCs/>
    </w:rPr>
  </w:style>
  <w:style w:styleId="style62" w:type="paragraph">
    <w:name w:val="table header"/>
    <w:basedOn w:val="style0"/>
    <w:next w:val="style62"/>
    <w:pPr>
      <w:jc w:val="center"/>
    </w:pPr>
    <w:rPr>
      <w:rFonts w:ascii="Times New Roman Bold" w:hAnsi="Times New Roman Bold"/>
      <w:b/>
      <w:i/>
      <w:sz w:val="20"/>
      <w:lang w:eastAsia="sk-SK"/>
    </w:rPr>
  </w:style>
  <w:style w:styleId="style63" w:type="paragraph">
    <w:name w:val="Revision"/>
    <w:next w:val="style63"/>
    <w:pPr>
      <w:widowControl/>
      <w:suppressAutoHyphens w:val="true"/>
    </w:pPr>
    <w:rPr>
      <w:rFonts w:ascii="Verdana" w:cs="Times New Roman" w:eastAsia="Times New Roman" w:hAnsi="Verdana"/>
      <w:color w:val="00000A"/>
      <w:sz w:val="17"/>
      <w:szCs w:val="20"/>
      <w:lang w:bidi="ar-SA" w:eastAsia="en-US" w:val="sk-SK"/>
    </w:rPr>
  </w:style>
  <w:style w:styleId="style64" w:type="paragraph">
    <w:name w:val="List Paragraph"/>
    <w:basedOn w:val="style0"/>
    <w:next w:val="style64"/>
    <w:pPr>
      <w:ind w:hanging="0" w:left="708" w:right="0"/>
    </w:pPr>
    <w:rPr/>
  </w:style>
  <w:style w:styleId="style65" w:type="paragraph">
    <w:name w:val="Citácie"/>
    <w:basedOn w:val="style0"/>
    <w:next w:val="style65"/>
    <w:pPr/>
    <w:rPr/>
  </w:style>
  <w:style w:styleId="style66" w:type="paragraph">
    <w:name w:val="Názov"/>
    <w:basedOn w:val="style52"/>
    <w:next w:val="style66"/>
    <w:pPr/>
    <w:rPr/>
  </w:style>
  <w:style w:styleId="style67" w:type="paragraph">
    <w:name w:val="Podnázov"/>
    <w:basedOn w:val="style52"/>
    <w:next w:val="style67"/>
    <w:pPr/>
    <w:rPr/>
  </w:style>
  <w:style w:styleId="style68" w:type="paragraph">
    <w:name w:val="Obsah tabuľky"/>
    <w:basedOn w:val="style0"/>
    <w:next w:val="style68"/>
    <w:pPr/>
    <w:rPr/>
  </w:style>
  <w:style w:styleId="style69" w:type="paragraph">
    <w:name w:val="Nadpis tabuľky"/>
    <w:basedOn w:val="style68"/>
    <w:next w:val="style69"/>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