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18DE098" w14:textId="77777777" w:rsidR="00E62512" w:rsidRPr="00173611" w:rsidRDefault="00A54777" w:rsidP="00173611">
      <w:pPr>
        <w:jc w:val="center"/>
        <w:rPr>
          <w:b/>
        </w:rPr>
      </w:pPr>
      <w:r w:rsidRPr="00173611">
        <w:rPr>
          <w:b/>
        </w:rPr>
        <w:t>Čl. I</w:t>
      </w:r>
    </w:p>
    <w:p w14:paraId="1AEE00FC" w14:textId="77777777" w:rsidR="00A54777" w:rsidRPr="00173611" w:rsidRDefault="00A54777" w:rsidP="00173611">
      <w:pPr>
        <w:jc w:val="center"/>
        <w:rPr>
          <w:b/>
        </w:rPr>
      </w:pPr>
      <w:r w:rsidRPr="00173611">
        <w:rPr>
          <w:b/>
        </w:rPr>
        <w:t>Všeobecné údaje</w:t>
      </w:r>
    </w:p>
    <w:tbl>
      <w:tblPr>
        <w:tblW w:w="5000" w:type="pct"/>
        <w:jc w:val="center"/>
        <w:tblCellSpacing w:w="15" w:type="dxa"/>
        <w:tblCellMar>
          <w:top w:w="15" w:type="dxa"/>
          <w:left w:w="15" w:type="dxa"/>
          <w:bottom w:w="15" w:type="dxa"/>
          <w:right w:w="15" w:type="dxa"/>
        </w:tblCellMar>
        <w:tblLook w:val="04A0" w:firstRow="1" w:lastRow="0" w:firstColumn="1" w:lastColumn="0" w:noHBand="0" w:noVBand="1"/>
      </w:tblPr>
      <w:tblGrid>
        <w:gridCol w:w="9162"/>
      </w:tblGrid>
      <w:tr w:rsidR="00173611" w:rsidRPr="00173611" w14:paraId="58660AC2" w14:textId="77777777" w:rsidTr="00173611">
        <w:trPr>
          <w:tblCellSpacing w:w="15" w:type="dxa"/>
          <w:jc w:val="center"/>
        </w:trPr>
        <w:tc>
          <w:tcPr>
            <w:tcW w:w="4967" w:type="pct"/>
            <w:vAlign w:val="center"/>
            <w:hideMark/>
          </w:tcPr>
          <w:p w14:paraId="37A88E40" w14:textId="7253F62C" w:rsidR="00173611" w:rsidRPr="00173611" w:rsidRDefault="00173611" w:rsidP="006B057F">
            <w:pPr>
              <w:pStyle w:val="Odsekzoznamu"/>
              <w:numPr>
                <w:ilvl w:val="0"/>
                <w:numId w:val="1"/>
              </w:numPr>
              <w:spacing w:before="150" w:after="0" w:line="240" w:lineRule="auto"/>
              <w:jc w:val="center"/>
              <w:rPr>
                <w:rFonts w:ascii="Arial CE" w:eastAsia="Times New Roman" w:hAnsi="Arial CE" w:cs="Arial CE"/>
                <w:b/>
                <w:bCs/>
                <w:sz w:val="24"/>
                <w:szCs w:val="24"/>
                <w:lang w:eastAsia="sk-SK"/>
              </w:rPr>
            </w:pPr>
            <w:r w:rsidRPr="00173611">
              <w:rPr>
                <w:rFonts w:ascii="Arial CE" w:eastAsia="Times New Roman" w:hAnsi="Arial CE" w:cs="Arial CE"/>
                <w:b/>
                <w:bCs/>
                <w:sz w:val="24"/>
                <w:szCs w:val="24"/>
                <w:lang w:eastAsia="sk-SK"/>
              </w:rPr>
              <w:t xml:space="preserve">Výpis z </w:t>
            </w:r>
            <w:r w:rsidR="006B057F">
              <w:rPr>
                <w:rFonts w:ascii="Arial CE" w:eastAsia="Times New Roman" w:hAnsi="Arial CE" w:cs="Arial CE"/>
                <w:b/>
                <w:bCs/>
                <w:sz w:val="24"/>
                <w:szCs w:val="24"/>
                <w:lang w:eastAsia="sk-SK"/>
              </w:rPr>
              <w:t>registra</w:t>
            </w:r>
          </w:p>
        </w:tc>
      </w:tr>
    </w:tbl>
    <w:p w14:paraId="4FA2B1A8" w14:textId="77777777" w:rsidR="00525FAE" w:rsidRPr="00525FAE" w:rsidRDefault="00AE7B18" w:rsidP="00A368A2">
      <w:pPr>
        <w:numPr>
          <w:ilvl w:val="0"/>
          <w:numId w:val="5"/>
        </w:numPr>
        <w:spacing w:before="100" w:beforeAutospacing="1" w:after="100" w:afterAutospacing="1" w:line="240" w:lineRule="auto"/>
        <w:ind w:left="120"/>
        <w:rPr>
          <w:rFonts w:ascii="Times New Roman" w:eastAsia="Times New Roman" w:hAnsi="Times New Roman" w:cs="Times New Roman"/>
          <w:color w:val="000000"/>
          <w:sz w:val="24"/>
          <w:szCs w:val="24"/>
          <w:lang w:eastAsia="sk-SK"/>
        </w:rPr>
      </w:pPr>
      <w:r>
        <w:t>Súkromná ZUŠ</w:t>
      </w:r>
      <w:r>
        <w:br/>
        <w:t>Vajnorská 19</w:t>
      </w:r>
      <w:r>
        <w:br/>
        <w:t>831 03 Bratislava</w:t>
      </w:r>
    </w:p>
    <w:p w14:paraId="4E4C8F31" w14:textId="77777777" w:rsidR="00525FAE" w:rsidRPr="00525FAE" w:rsidRDefault="00525FAE" w:rsidP="00525FAE">
      <w:pPr>
        <w:spacing w:before="100" w:beforeAutospacing="1" w:after="100" w:afterAutospacing="1" w:line="240" w:lineRule="auto"/>
        <w:ind w:left="120"/>
        <w:rPr>
          <w:rFonts w:ascii="Times New Roman" w:eastAsia="Times New Roman" w:hAnsi="Times New Roman" w:cs="Times New Roman"/>
          <w:color w:val="000000"/>
          <w:sz w:val="24"/>
          <w:szCs w:val="24"/>
          <w:lang w:eastAsia="sk-SK"/>
        </w:rPr>
      </w:pPr>
      <w:bookmarkStart w:id="0" w:name="_GoBack"/>
      <w:bookmarkEnd w:id="0"/>
    </w:p>
    <w:p w14:paraId="4CC9423C" w14:textId="2F864D34" w:rsidR="00A368A2" w:rsidRPr="00A368A2" w:rsidRDefault="00A368A2" w:rsidP="00A368A2">
      <w:pPr>
        <w:numPr>
          <w:ilvl w:val="0"/>
          <w:numId w:val="5"/>
        </w:numPr>
        <w:spacing w:before="100" w:beforeAutospacing="1" w:after="100" w:afterAutospacing="1" w:line="240" w:lineRule="auto"/>
        <w:ind w:left="120"/>
        <w:rPr>
          <w:rFonts w:ascii="Times New Roman" w:eastAsia="Times New Roman" w:hAnsi="Times New Roman" w:cs="Times New Roman"/>
          <w:color w:val="000000"/>
          <w:sz w:val="24"/>
          <w:szCs w:val="24"/>
          <w:lang w:eastAsia="sk-SK"/>
        </w:rPr>
      </w:pPr>
      <w:r w:rsidRPr="00A368A2">
        <w:rPr>
          <w:rFonts w:ascii="Times New Roman" w:eastAsia="Times New Roman" w:hAnsi="Times New Roman" w:cs="Times New Roman"/>
          <w:color w:val="000000"/>
          <w:sz w:val="24"/>
          <w:szCs w:val="24"/>
          <w:lang w:eastAsia="sk-SK"/>
        </w:rPr>
        <w:t>vzdelávacie</w:t>
      </w:r>
    </w:p>
    <w:p w14:paraId="25EC127E" w14:textId="77777777" w:rsidR="00A54777" w:rsidRDefault="00A54777" w:rsidP="00173611">
      <w:pPr>
        <w:pStyle w:val="Odsekzoznamu"/>
      </w:pPr>
    </w:p>
    <w:p w14:paraId="6C8E228B" w14:textId="77777777" w:rsidR="00A54777" w:rsidRDefault="00A54777" w:rsidP="00A54777">
      <w:pPr>
        <w:pStyle w:val="Odsekzoznamu"/>
        <w:numPr>
          <w:ilvl w:val="0"/>
          <w:numId w:val="1"/>
        </w:numPr>
      </w:pPr>
      <w:r>
        <w:t>Údaje o konsolidovanom celku</w:t>
      </w:r>
      <w:r w:rsidR="00C822D6">
        <w:t>: Účtovná jednotka nie je súčasťou konsolidovaného celku.</w:t>
      </w:r>
    </w:p>
    <w:p w14:paraId="23D0263C" w14:textId="77777777" w:rsidR="00C822D6" w:rsidRDefault="00C822D6" w:rsidP="00A54777">
      <w:pPr>
        <w:pStyle w:val="Odsekzoznamu"/>
        <w:numPr>
          <w:ilvl w:val="0"/>
          <w:numId w:val="1"/>
        </w:numPr>
      </w:pPr>
      <w:r>
        <w:t>Priemerný prepočítaný počet zamestnancov</w:t>
      </w:r>
    </w:p>
    <w:tbl>
      <w:tblPr>
        <w:tblStyle w:val="Mriekatabuky"/>
        <w:tblW w:w="0" w:type="auto"/>
        <w:jc w:val="center"/>
        <w:tblLook w:val="04A0" w:firstRow="1" w:lastRow="0" w:firstColumn="1" w:lastColumn="0" w:noHBand="0" w:noVBand="1"/>
      </w:tblPr>
      <w:tblGrid>
        <w:gridCol w:w="4235"/>
        <w:gridCol w:w="1744"/>
        <w:gridCol w:w="3309"/>
      </w:tblGrid>
      <w:tr w:rsidR="00C822D6" w14:paraId="318E038B" w14:textId="77777777" w:rsidTr="00173611">
        <w:trPr>
          <w:jc w:val="center"/>
        </w:trPr>
        <w:tc>
          <w:tcPr>
            <w:tcW w:w="0" w:type="auto"/>
          </w:tcPr>
          <w:p w14:paraId="03578978" w14:textId="77777777" w:rsidR="00C822D6" w:rsidRPr="00173611" w:rsidRDefault="00C822D6" w:rsidP="00C822D6">
            <w:pPr>
              <w:rPr>
                <w:b/>
              </w:rPr>
            </w:pPr>
            <w:r w:rsidRPr="00173611">
              <w:rPr>
                <w:b/>
              </w:rPr>
              <w:t>Názov položky</w:t>
            </w:r>
          </w:p>
        </w:tc>
        <w:tc>
          <w:tcPr>
            <w:tcW w:w="0" w:type="auto"/>
          </w:tcPr>
          <w:p w14:paraId="50416083" w14:textId="77777777" w:rsidR="00C822D6" w:rsidRPr="00173611" w:rsidRDefault="00C822D6" w:rsidP="00C822D6">
            <w:pPr>
              <w:rPr>
                <w:b/>
              </w:rPr>
            </w:pPr>
            <w:r w:rsidRPr="00173611">
              <w:rPr>
                <w:b/>
              </w:rPr>
              <w:t>Bežné účtovné obdobie</w:t>
            </w:r>
          </w:p>
        </w:tc>
        <w:tc>
          <w:tcPr>
            <w:tcW w:w="0" w:type="auto"/>
          </w:tcPr>
          <w:p w14:paraId="772069F6" w14:textId="77777777" w:rsidR="00C822D6" w:rsidRPr="00173611" w:rsidRDefault="00C822D6" w:rsidP="00C822D6">
            <w:pPr>
              <w:rPr>
                <w:b/>
              </w:rPr>
            </w:pPr>
            <w:r w:rsidRPr="00173611">
              <w:rPr>
                <w:b/>
              </w:rPr>
              <w:t>Bezprostredne predchádzajúce účtovné obdobie</w:t>
            </w:r>
          </w:p>
        </w:tc>
      </w:tr>
      <w:tr w:rsidR="00C822D6" w14:paraId="59B815C4" w14:textId="77777777" w:rsidTr="00173611">
        <w:trPr>
          <w:jc w:val="center"/>
        </w:trPr>
        <w:tc>
          <w:tcPr>
            <w:tcW w:w="0" w:type="auto"/>
          </w:tcPr>
          <w:p w14:paraId="302ACB08" w14:textId="77777777" w:rsidR="00C822D6" w:rsidRDefault="00C822D6" w:rsidP="00C822D6">
            <w:r>
              <w:t>Priemerný prepočítaný počet zamestnancov</w:t>
            </w:r>
          </w:p>
        </w:tc>
        <w:tc>
          <w:tcPr>
            <w:tcW w:w="0" w:type="auto"/>
          </w:tcPr>
          <w:p w14:paraId="74BBBC15" w14:textId="77777777" w:rsidR="00C822D6" w:rsidRDefault="00C822D6" w:rsidP="00C822D6">
            <w:r>
              <w:t>0</w:t>
            </w:r>
          </w:p>
        </w:tc>
        <w:tc>
          <w:tcPr>
            <w:tcW w:w="0" w:type="auto"/>
          </w:tcPr>
          <w:p w14:paraId="612B6B16" w14:textId="77777777" w:rsidR="00C822D6" w:rsidRDefault="00C822D6" w:rsidP="00C822D6">
            <w:r>
              <w:t>0</w:t>
            </w:r>
          </w:p>
        </w:tc>
      </w:tr>
      <w:tr w:rsidR="00C822D6" w14:paraId="40A014FC" w14:textId="77777777" w:rsidTr="00173611">
        <w:trPr>
          <w:jc w:val="center"/>
        </w:trPr>
        <w:tc>
          <w:tcPr>
            <w:tcW w:w="0" w:type="auto"/>
          </w:tcPr>
          <w:p w14:paraId="0627D3D4" w14:textId="77777777" w:rsidR="00C822D6" w:rsidRDefault="00C822D6" w:rsidP="00C822D6">
            <w:r>
              <w:t>Stav zamestnancov ku dňu, ku ktorému sa zostavuje účtovná závierka</w:t>
            </w:r>
          </w:p>
        </w:tc>
        <w:tc>
          <w:tcPr>
            <w:tcW w:w="0" w:type="auto"/>
          </w:tcPr>
          <w:p w14:paraId="40F61467" w14:textId="77777777" w:rsidR="00C822D6" w:rsidRDefault="00C822D6" w:rsidP="00C822D6">
            <w:r>
              <w:t>0</w:t>
            </w:r>
          </w:p>
        </w:tc>
        <w:tc>
          <w:tcPr>
            <w:tcW w:w="0" w:type="auto"/>
          </w:tcPr>
          <w:p w14:paraId="3B798996" w14:textId="77777777" w:rsidR="00C822D6" w:rsidRDefault="00C822D6" w:rsidP="00C822D6">
            <w:r>
              <w:t>0</w:t>
            </w:r>
          </w:p>
        </w:tc>
      </w:tr>
      <w:tr w:rsidR="00C822D6" w14:paraId="19E964B1" w14:textId="77777777" w:rsidTr="00173611">
        <w:trPr>
          <w:jc w:val="center"/>
        </w:trPr>
        <w:tc>
          <w:tcPr>
            <w:tcW w:w="0" w:type="auto"/>
          </w:tcPr>
          <w:p w14:paraId="5851EB0D" w14:textId="77777777" w:rsidR="00C822D6" w:rsidRDefault="00C822D6" w:rsidP="00C822D6">
            <w:r>
              <w:t>Počet vedúcich zamestnancov</w:t>
            </w:r>
          </w:p>
        </w:tc>
        <w:tc>
          <w:tcPr>
            <w:tcW w:w="0" w:type="auto"/>
          </w:tcPr>
          <w:p w14:paraId="59B333F4" w14:textId="77777777" w:rsidR="00C822D6" w:rsidRDefault="00C822D6" w:rsidP="00C822D6">
            <w:r>
              <w:t>0</w:t>
            </w:r>
          </w:p>
        </w:tc>
        <w:tc>
          <w:tcPr>
            <w:tcW w:w="0" w:type="auto"/>
          </w:tcPr>
          <w:p w14:paraId="4ADCF680" w14:textId="77777777" w:rsidR="00C822D6" w:rsidRDefault="00C822D6" w:rsidP="00C822D6">
            <w:r>
              <w:t>0</w:t>
            </w:r>
          </w:p>
        </w:tc>
      </w:tr>
    </w:tbl>
    <w:p w14:paraId="29C8AC20" w14:textId="77777777" w:rsidR="00C822D6" w:rsidRDefault="00C822D6" w:rsidP="00C822D6"/>
    <w:p w14:paraId="12800897" w14:textId="77777777" w:rsidR="00C822D6" w:rsidRPr="00173611" w:rsidRDefault="00C822D6" w:rsidP="00173611">
      <w:pPr>
        <w:jc w:val="center"/>
        <w:rPr>
          <w:b/>
        </w:rPr>
      </w:pPr>
      <w:r w:rsidRPr="00173611">
        <w:rPr>
          <w:b/>
        </w:rPr>
        <w:t>Čl. II</w:t>
      </w:r>
    </w:p>
    <w:p w14:paraId="54D64ED6" w14:textId="77777777" w:rsidR="00C822D6" w:rsidRPr="00173611" w:rsidRDefault="00C822D6" w:rsidP="00173611">
      <w:pPr>
        <w:jc w:val="center"/>
        <w:rPr>
          <w:b/>
        </w:rPr>
      </w:pPr>
      <w:r w:rsidRPr="00173611">
        <w:rPr>
          <w:b/>
        </w:rPr>
        <w:t>Informácie o prijatých postupoch</w:t>
      </w:r>
    </w:p>
    <w:p w14:paraId="3C9B5A9C" w14:textId="5812FEFC" w:rsidR="00C822D6" w:rsidRDefault="00C822D6" w:rsidP="002153F7">
      <w:pPr>
        <w:pStyle w:val="Odsekzoznamu"/>
        <w:numPr>
          <w:ilvl w:val="0"/>
          <w:numId w:val="2"/>
        </w:numPr>
        <w:jc w:val="both"/>
      </w:pPr>
      <w:r>
        <w:t xml:space="preserve">Informácia, či je účtovná jednotka zostavená za splnenia predpokladu, že účtovná jednotka bude nepretržite pokračovať vo svojej činnosti: </w:t>
      </w:r>
    </w:p>
    <w:p w14:paraId="5C12C54B" w14:textId="77777777" w:rsidR="0080341C" w:rsidRPr="00E63C40" w:rsidRDefault="0080341C" w:rsidP="002153F7">
      <w:pPr>
        <w:pStyle w:val="Odsekzoznamu"/>
        <w:jc w:val="both"/>
      </w:pPr>
      <w:r w:rsidRPr="00E63C40">
        <w:t>Účtovná závierka Spoločnosti bola zostavená za predpokladu nepretržitého trvania jej činnosti v súlade so zákonom o účtovníctve platným v Slovenskej republike a nadväzujúcimi postupmi účtovania.</w:t>
      </w:r>
    </w:p>
    <w:p w14:paraId="5727AF6D" w14:textId="77777777" w:rsidR="0080341C" w:rsidRPr="00E63C40" w:rsidRDefault="0080341C" w:rsidP="002153F7">
      <w:pPr>
        <w:pStyle w:val="Odsekzoznamu"/>
        <w:jc w:val="both"/>
      </w:pPr>
    </w:p>
    <w:p w14:paraId="2881D8FE" w14:textId="77777777" w:rsidR="0080341C" w:rsidRPr="00E63C40" w:rsidRDefault="0080341C" w:rsidP="002153F7">
      <w:pPr>
        <w:pStyle w:val="Odsekzoznamu"/>
        <w:jc w:val="both"/>
      </w:pPr>
      <w:r w:rsidRPr="00E63C40">
        <w:t>Účtovníctvo Spoločnosť vedie na základe dodržania časovej a vecnej súvislosti nákladov a výnosov. Za základ sa berú všetky náklady a výnosy, ktoré sa vzťahujú na účtovné obdobie bez ohľadu na dátum ich platenia.</w:t>
      </w:r>
    </w:p>
    <w:p w14:paraId="186E4D6F" w14:textId="77777777" w:rsidR="0080341C" w:rsidRPr="00E63C40" w:rsidRDefault="0080341C" w:rsidP="002153F7">
      <w:pPr>
        <w:pStyle w:val="Odsekzoznamu"/>
        <w:jc w:val="both"/>
      </w:pPr>
    </w:p>
    <w:p w14:paraId="5A9D67E6" w14:textId="77777777" w:rsidR="0080341C" w:rsidRPr="00E63C40" w:rsidRDefault="0080341C" w:rsidP="002153F7">
      <w:pPr>
        <w:pStyle w:val="Odsekzoznamu"/>
        <w:jc w:val="both"/>
      </w:pPr>
      <w:r w:rsidRPr="00E63C40">
        <w:t>Peňažné údaje v účtovnej závierke sú uvedené v celých EUR, pokiaľ nie je určené inak.</w:t>
      </w:r>
    </w:p>
    <w:p w14:paraId="63A7D4D2" w14:textId="77777777" w:rsidR="0080341C" w:rsidRPr="00E63C40" w:rsidRDefault="0080341C" w:rsidP="002153F7">
      <w:pPr>
        <w:pStyle w:val="Odsekzoznamu"/>
        <w:jc w:val="both"/>
      </w:pPr>
    </w:p>
    <w:p w14:paraId="389C5634" w14:textId="77777777" w:rsidR="0080341C" w:rsidRPr="00E63C40" w:rsidRDefault="0080341C" w:rsidP="002153F7">
      <w:pPr>
        <w:pStyle w:val="Odsekzoznamu"/>
        <w:jc w:val="both"/>
      </w:pPr>
      <w:r w:rsidRPr="00E63C40">
        <w:t xml:space="preserve">Účtovné metódy a všeobecné účtovné zásady Spoločnosť aplikovala konzistentne s predchádzajúcim účtovným obdobím. </w:t>
      </w:r>
    </w:p>
    <w:p w14:paraId="60A3E187" w14:textId="77777777" w:rsidR="0080341C" w:rsidRPr="00E63C40" w:rsidRDefault="0080341C" w:rsidP="002153F7">
      <w:pPr>
        <w:pStyle w:val="Odsekzoznamu"/>
        <w:jc w:val="both"/>
      </w:pPr>
    </w:p>
    <w:p w14:paraId="0A0FF3AE" w14:textId="77777777" w:rsidR="0080341C" w:rsidRPr="00E63C40" w:rsidRDefault="0080341C" w:rsidP="002153F7">
      <w:pPr>
        <w:pStyle w:val="Odsekzoznamu"/>
        <w:jc w:val="both"/>
      </w:pPr>
      <w:r w:rsidRPr="00E63C40">
        <w:t xml:space="preserve">Zmeny metódy, dôvod zmeny a ich vplyv na vlastné imanie, hospodársky výsledok, celkovú výšku majetku a záväzkov sú podrobne popísané </w:t>
      </w:r>
      <w:r>
        <w:t>vyššie</w:t>
      </w:r>
      <w:r w:rsidRPr="00E63C40">
        <w:t xml:space="preserve"> (v relevantných častiach).</w:t>
      </w:r>
    </w:p>
    <w:p w14:paraId="6BCD0028" w14:textId="77777777" w:rsidR="0080341C" w:rsidRDefault="0080341C" w:rsidP="002153F7">
      <w:pPr>
        <w:pStyle w:val="Odsekzoznamu"/>
        <w:jc w:val="both"/>
      </w:pPr>
    </w:p>
    <w:p w14:paraId="2EEFD79B" w14:textId="535674E7" w:rsidR="00C822D6" w:rsidRDefault="00C822D6" w:rsidP="002153F7">
      <w:pPr>
        <w:pStyle w:val="Odsekzoznamu"/>
        <w:numPr>
          <w:ilvl w:val="0"/>
          <w:numId w:val="2"/>
        </w:numPr>
        <w:jc w:val="both"/>
      </w:pPr>
      <w:r>
        <w:t xml:space="preserve">Spôsob oceňovania jednotlivých položiek majetku a záväzkov, a to: </w:t>
      </w:r>
    </w:p>
    <w:p w14:paraId="48DA040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Dlhodobý nehmotný a dlhodobý hmotný majetok</w:t>
      </w:r>
    </w:p>
    <w:p w14:paraId="3CF09264" w14:textId="7F99149D"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 xml:space="preserve">Dlhodobý majetok nakupovaný sa oceňuje obstarávacou cenou, ktorá zahrňuje cenu, za ktorú sa majetok obstaral, a náklady súvisiace s obstaraním (clo, prepravu, montáž, poistné a pod.). </w:t>
      </w:r>
      <w:r w:rsidRPr="0080341C">
        <w:rPr>
          <w:rFonts w:asciiTheme="minorHAnsi" w:hAnsiTheme="minorHAnsi" w:cstheme="minorHAnsi"/>
          <w:color w:val="00B0F0"/>
          <w:sz w:val="22"/>
          <w:szCs w:val="22"/>
        </w:rPr>
        <w:br/>
      </w:r>
      <w:r w:rsidRPr="0080341C">
        <w:rPr>
          <w:rFonts w:asciiTheme="minorHAnsi" w:hAnsiTheme="minorHAnsi" w:cstheme="minorHAnsi"/>
          <w:sz w:val="22"/>
          <w:szCs w:val="22"/>
        </w:rPr>
        <w:t>Hodnota obstarávaného dlhodobého hmotného majetku, ktorý sa používa, sa zníži o opravnú položku vo výške zodpovedajúcej opotrebeniu.</w:t>
      </w:r>
    </w:p>
    <w:p w14:paraId="787E24D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vytvorený vlastnou činnosťou sa oceňuje vlastnými nákladmi. Vlastnými nákladmi sú všetky priame náklady vynaložené na výrobu alebo inú činnosť a všetky nepriame náklady vzťahujúce sa na výrobu alebo inú činnosť.</w:t>
      </w:r>
    </w:p>
    <w:p w14:paraId="4A1231D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sa oceňuje reprodukčnou obstarávacou cenou, čo je cena, za ktorú by sa majetok obstaral v čase, keď sa o ňom účtuje.</w:t>
      </w:r>
    </w:p>
    <w:p w14:paraId="370E3A07" w14:textId="77777777" w:rsidR="0080341C" w:rsidRPr="0080341C" w:rsidRDefault="0080341C" w:rsidP="002153F7">
      <w:pPr>
        <w:pStyle w:val="odstavec"/>
        <w:rPr>
          <w:rFonts w:asciiTheme="minorHAnsi" w:hAnsiTheme="minorHAnsi" w:cstheme="minorHAnsi"/>
          <w:sz w:val="22"/>
          <w:szCs w:val="22"/>
        </w:rPr>
      </w:pPr>
    </w:p>
    <w:p w14:paraId="37D4F8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5FD180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bezodplatne od spoločníkov alebo členov, ktorým sa nezvyšuje základné imanie, sa účtuje bez vplyvu na výsledok hospodárenia priamo do vlastného imania na účet Ostatné kapitálové fondy.</w:t>
      </w:r>
    </w:p>
    <w:p w14:paraId="4520E45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na výskum sa neaktivujú, ale sa účtujú do nákladov účtovného obdobia, v ktorom vznikli. Náklady na vývoj sa účtujú do obdobia, v ktorom vznikli, ale tie, ktoré sa vzťahujú na jasne definovaný výrobok alebo proces, pri ktorých možno preukázať technickú realizovateľnosť a možnosť predaja a Spoločnosť má dostatočné zdroje na dokončenie projektu, jeho predaj alebo na vnútorné využitie jeho výsledkov, sa aktivujú, a to vo výške, ktorá sa pravdepodobne získa späť z budúcich ekonomických úžitkov.</w:t>
      </w:r>
    </w:p>
    <w:p w14:paraId="0AFED48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Aktivované náklady na vývoj sa odpisujú počas obdobia maximálne päť rokov, a to v tých účtovných obdobiach, v ktorých sa očakáva predaj produktu alebo využívanie procesu. Ak sa zníži ich hodnota, odpisujú sa na sumu, ktorá sa pravdepodobne získa späť z budúcich ekonomických úžitkov.</w:t>
      </w:r>
    </w:p>
    <w:p w14:paraId="3C87654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2C1793C7" w14:textId="34C5995B"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1F8D04F9" w14:textId="5D2BF7DC"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sidR="005A3F43">
        <w:rPr>
          <w:rFonts w:asciiTheme="minorHAnsi" w:hAnsiTheme="minorHAnsi" w:cstheme="minorHAnsi"/>
          <w:sz w:val="22"/>
          <w:szCs w:val="22"/>
        </w:rPr>
        <w:t>.</w:t>
      </w:r>
    </w:p>
    <w:p w14:paraId="491A7F3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65B4A89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Cenné papiere a podiely</w:t>
      </w:r>
    </w:p>
    <w:p w14:paraId="5EB406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Cenné papiere a podiely sa oceňujú pri nadobudnutí obstarávacími cenami, t.j. vrátane nákladov súvisiacich s obstaraním.</w:t>
      </w:r>
    </w:p>
    <w:p w14:paraId="73FD883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Ku dňu, ku ktorému sa zostavuje účtovná závierka, sa cenné papiere a podiely oceňujú takto:</w:t>
      </w:r>
    </w:p>
    <w:p w14:paraId="6060784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Ďalej je nutné opísať spôsob ocenenia jednotlivých druhov cenných papierov a podielov, ktoré Spoločnosť eviduje:</w:t>
      </w:r>
    </w:p>
    <w:p w14:paraId="1499CB8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Zmeny reálnej hodnoty cenných papierov a podielov, ktoré tvoria podiel na základnom imaní inej spoločnosti a nie sú cennými papiermi a podielmi v dcérskej spoločnosti alebo v spoločnosti s podstatným vplyvom, sa účtujú bez vplyvu na výsledok hospodárenia priamo do vlastného imania na účet Oceňovacie rozdiely z precenenia majetku a záväzkov.</w:t>
      </w:r>
    </w:p>
    <w:p w14:paraId="17C56CC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Zásoby</w:t>
      </w:r>
    </w:p>
    <w:p w14:paraId="0BEB1CB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B.</w:t>
      </w:r>
    </w:p>
    <w:p w14:paraId="5F1A48D0"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50D0157D"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9D3E63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Pohľadávky</w:t>
      </w:r>
    </w:p>
    <w:p w14:paraId="413397E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Pohľadávky sa pri ich vzniku oceňujú ich menovitou hodnotou (postúpené pohľadávky a pohľadávky nadobudnuté vkladom do základného imania sa oceňujú obstarávacou cenou, t.j. vrátane nákladov súvisiacich s obstaraním). Opravná položka sa vytvára k pochybným a nedobytným pohľadávkam, kde existuje riziko nevymožiteľnosti pohľadávok.</w:t>
      </w:r>
    </w:p>
    <w:p w14:paraId="5B52D91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259C9262"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Finančné účty</w:t>
      </w:r>
    </w:p>
    <w:p w14:paraId="02A87DB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Finančné účty tvorí peňažná hotovosť a zostatky na bankových, pričom riziko zmeny hodnoty tohto majetku je zanedbateľne nízke. </w:t>
      </w:r>
    </w:p>
    <w:p w14:paraId="2B95C94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w:t>
      </w:r>
    </w:p>
    <w:p w14:paraId="2C58A102"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Náklady budúcich období a príjmy budúcich období sú vykázané vo výške, ktorá je potrebná na dodržanie zásady vecnej a časovej súvislosti s účtovným obdobím.</w:t>
      </w:r>
    </w:p>
    <w:p w14:paraId="421AA22F"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Opravné položky</w:t>
      </w:r>
    </w:p>
    <w:p w14:paraId="12CCBFB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0125C167"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Rezervy</w:t>
      </w:r>
    </w:p>
    <w:p w14:paraId="20793867"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A8D771C"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Tvorba rezervy sa účtuje na vecne príslušný nákladový alebo majetkový účet, ku ktorému záväzok prislúcha. Použitie rezervy sa účtuje na ťarchu vecne príslušného účtu rezerv so súvzťažným </w:t>
      </w:r>
      <w:r w:rsidRPr="0080341C">
        <w:rPr>
          <w:rFonts w:asciiTheme="minorHAnsi" w:hAnsiTheme="minorHAnsi" w:cstheme="minorHAnsi"/>
          <w:sz w:val="22"/>
          <w:szCs w:val="22"/>
        </w:rPr>
        <w:lastRenderedPageBreak/>
        <w:t>zápisom v prospech vecne príslušného účtu záväzkov. Rozpustenie nepotrebnej rezervy alebo jej časti sa účtuje opačným účtovným zápisom ako sa účtovala tvorba rezervy.</w:t>
      </w:r>
    </w:p>
    <w:p w14:paraId="5B8C68E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Rezerva na bonusy, rabaty, skontá a vrátenie kúpnej ceny pri reklamácii sa tvorí ako zníženie pôvodne dosiahnutých výnosov so súvzťažným zápisom v prospech účtu rezerv.</w:t>
      </w:r>
    </w:p>
    <w:p w14:paraId="06ACC0D4"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Záväzky</w:t>
      </w:r>
    </w:p>
    <w:p w14:paraId="2C6E2FB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DE78898"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Zamestnanecké požitky</w:t>
      </w:r>
    </w:p>
    <w:p w14:paraId="46701E56" w14:textId="77777777" w:rsidR="0080341C" w:rsidRPr="0080341C" w:rsidRDefault="0080341C" w:rsidP="002153F7">
      <w:pPr>
        <w:pStyle w:val="ABC-paragrahinNotes"/>
        <w:suppressAutoHyphens/>
        <w:spacing w:after="0"/>
        <w:ind w:left="425"/>
        <w:rPr>
          <w:rFonts w:asciiTheme="minorHAnsi" w:hAnsiTheme="minorHAnsi" w:cstheme="minorHAnsi"/>
          <w:sz w:val="22"/>
          <w:szCs w:val="22"/>
          <w:lang w:val="sk-SK"/>
        </w:rPr>
      </w:pPr>
      <w:r w:rsidRPr="0080341C">
        <w:rPr>
          <w:rFonts w:asciiTheme="minorHAnsi" w:hAnsiTheme="minorHAnsi" w:cstheme="minorHAnsi"/>
          <w:sz w:val="22"/>
          <w:szCs w:val="22"/>
          <w:lang w:val="sk-SK"/>
        </w:rPr>
        <w:t>Platy, mzdy, príspevky do štátnych dôchodkových a poistných fondov, platená ročná dovolenka a platená zdravotná dovolenka, bonusy a ostatné nepeňažné požitky (napr. zdravotná starostlivosť) sa účtujú v účtovnom období, v ktorom ich zamestnanci Spoločnosti využili.</w:t>
      </w:r>
    </w:p>
    <w:p w14:paraId="3DCA359A"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Splatná daň z príjmu</w:t>
      </w:r>
    </w:p>
    <w:p w14:paraId="11771A7B"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225F9553"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w:t>
      </w:r>
    </w:p>
    <w:p w14:paraId="47F0469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Výdavky budúcich období a výnosy budúcich období sú vykázané vo výške, ktorá je potrebná na dodržanie zásady vecnej a časovej súvislosti s účtovným obdobím.</w:t>
      </w:r>
    </w:p>
    <w:p w14:paraId="406B0D71"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Leasing</w:t>
      </w:r>
    </w:p>
    <w:p w14:paraId="65EF8004"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Finančný leasing. </w:t>
      </w:r>
      <w:r w:rsidRPr="0080341C">
        <w:rPr>
          <w:rFonts w:asciiTheme="minorHAnsi" w:hAnsiTheme="minorHAnsi" w:cstheme="minorHAnsi"/>
          <w:sz w:val="22"/>
          <w:szCs w:val="22"/>
        </w:rPr>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14:paraId="4A02859F"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1EEB0D9E"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b/>
          <w:i/>
          <w:sz w:val="22"/>
          <w:szCs w:val="22"/>
        </w:rPr>
        <w:t xml:space="preserve">Operatívny leasing. </w:t>
      </w:r>
      <w:r w:rsidRPr="0080341C">
        <w:rPr>
          <w:rFonts w:asciiTheme="minorHAnsi" w:hAnsiTheme="minorHAnsi" w:cstheme="minorHAnsi"/>
          <w:sz w:val="22"/>
          <w:szCs w:val="22"/>
        </w:rPr>
        <w:t>Majetok obstaraný formou operatívneho leasingu sa účtuje do nákladov rovnomerne počas doby trvania leasingovej zmluvy.</w:t>
      </w:r>
    </w:p>
    <w:p w14:paraId="602D33A6"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Cudzia mena</w:t>
      </w:r>
    </w:p>
    <w:p w14:paraId="41234E08"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80341C" w:rsidDel="004C71AC">
        <w:rPr>
          <w:rFonts w:asciiTheme="minorHAnsi" w:hAnsiTheme="minorHAnsi" w:cstheme="minorHAnsi"/>
          <w:sz w:val="22"/>
          <w:szCs w:val="22"/>
        </w:rPr>
        <w:t xml:space="preserve"> </w:t>
      </w:r>
    </w:p>
    <w:p w14:paraId="6C85291E"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Vykazovanie výnosov</w:t>
      </w:r>
    </w:p>
    <w:p w14:paraId="4B874C33"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lastRenderedPageBreak/>
        <w:t>Výnosy z predaja výrobkov sa vykazujú v momente prenosu rizika a vlastníctva výrobku, obvykle po dodávke. Ak sa Spoločnosť zaviaže dopraviť výrobky na určité miesto, výnosy sa vykazujú v momente doručenia výrobku do cieľového miesta.</w:t>
      </w:r>
    </w:p>
    <w:p w14:paraId="6326BC55"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78C79DAA" w14:textId="77777777" w:rsidR="0080341C" w:rsidRP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sa vykazujú po odpočítaní dane z pridanej hodnoty, zliav a zrážok (rabaty, bonusy, skontá, dobropisy a pod.). Výnosové úroky sa účtujú v súlade s postupmi účtovania na účty finančných výnosov v skupine 66. Výnosy z dividend sa zaúčtujú v čase vzniku práva Spoločnosti na prijatie platby.</w:t>
      </w:r>
    </w:p>
    <w:p w14:paraId="1CF87793" w14:textId="77777777" w:rsidR="0080341C" w:rsidRPr="0080341C" w:rsidRDefault="0080341C" w:rsidP="002153F7">
      <w:pPr>
        <w:pStyle w:val="odstavec"/>
        <w:rPr>
          <w:rFonts w:asciiTheme="minorHAnsi" w:hAnsiTheme="minorHAnsi" w:cstheme="minorHAnsi"/>
          <w:sz w:val="22"/>
          <w:szCs w:val="22"/>
        </w:rPr>
      </w:pPr>
    </w:p>
    <w:p w14:paraId="030FFCC7" w14:textId="4DA734F4"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Výnosy Spoločnosti tvoria najmä tržby z predaja uvedené v príslušnej tabuľke vyššie.</w:t>
      </w:r>
    </w:p>
    <w:p w14:paraId="7F10C579" w14:textId="77777777" w:rsidR="0080341C" w:rsidRPr="0080341C" w:rsidRDefault="0080341C" w:rsidP="002153F7">
      <w:pPr>
        <w:pStyle w:val="abc"/>
        <w:tabs>
          <w:tab w:val="clear" w:pos="360"/>
        </w:tabs>
        <w:suppressAutoHyphens/>
        <w:ind w:left="720"/>
        <w:rPr>
          <w:rFonts w:asciiTheme="minorHAnsi" w:hAnsiTheme="minorHAnsi" w:cstheme="minorHAnsi"/>
          <w:sz w:val="22"/>
          <w:szCs w:val="22"/>
        </w:rPr>
      </w:pPr>
      <w:r w:rsidRPr="0080341C">
        <w:rPr>
          <w:rFonts w:asciiTheme="minorHAnsi" w:hAnsiTheme="minorHAnsi" w:cstheme="minorHAnsi"/>
          <w:sz w:val="22"/>
          <w:szCs w:val="22"/>
        </w:rPr>
        <w:t>Porovnateľné údaje</w:t>
      </w:r>
    </w:p>
    <w:p w14:paraId="4174BAA7" w14:textId="196C6A68" w:rsidR="0080341C" w:rsidRDefault="0080341C" w:rsidP="002153F7">
      <w:pPr>
        <w:pStyle w:val="odstavec"/>
        <w:rPr>
          <w:rFonts w:asciiTheme="minorHAnsi" w:hAnsiTheme="minorHAnsi" w:cstheme="minorHAnsi"/>
          <w:sz w:val="22"/>
          <w:szCs w:val="22"/>
        </w:rPr>
      </w:pPr>
      <w:r w:rsidRPr="0080341C">
        <w:rPr>
          <w:rFonts w:asciiTheme="minorHAnsi" w:hAnsiTheme="minorHAnsi" w:cstheme="minorHAnsi"/>
          <w:sz w:val="22"/>
          <w:szCs w:val="22"/>
        </w:rPr>
        <w:t xml:space="preserve">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 </w:t>
      </w:r>
    </w:p>
    <w:p w14:paraId="6F3AE5EE" w14:textId="77777777" w:rsidR="002153F7" w:rsidRPr="0080341C" w:rsidRDefault="002153F7" w:rsidP="002153F7">
      <w:pPr>
        <w:pStyle w:val="odstavec"/>
        <w:rPr>
          <w:rFonts w:asciiTheme="minorHAnsi" w:hAnsiTheme="minorHAnsi" w:cstheme="minorHAnsi"/>
          <w:sz w:val="22"/>
          <w:szCs w:val="22"/>
        </w:rPr>
      </w:pPr>
    </w:p>
    <w:p w14:paraId="422F3358" w14:textId="781CA876" w:rsidR="00C822D6" w:rsidRDefault="00C822D6" w:rsidP="002153F7">
      <w:pPr>
        <w:pStyle w:val="Odsekzoznamu"/>
        <w:numPr>
          <w:ilvl w:val="0"/>
          <w:numId w:val="2"/>
        </w:numPr>
        <w:jc w:val="both"/>
      </w:pPr>
      <w:r>
        <w:t>Spôsob zostavenia odpisovaného plánu pre jednotlivé druhy dlhodobého hmotného majetku a dlhodobého nehmotného majetku, pričom sa uvádza doba odpisovania, použité sadzby a odpisové metód</w:t>
      </w:r>
      <w:r w:rsidR="002153F7">
        <w:t>y pri určení odpisov:</w:t>
      </w:r>
    </w:p>
    <w:p w14:paraId="07F020F8"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nezaraďuje na účty dlhodobého majetku a odpisuje sa jednorazovo pri uvedení do používania</w:t>
      </w:r>
      <w:r w:rsidRPr="0080341C">
        <w:rPr>
          <w:rFonts w:asciiTheme="minorHAnsi" w:hAnsiTheme="minorHAnsi" w:cstheme="minorHAnsi"/>
          <w:color w:val="00B0F0"/>
          <w:sz w:val="22"/>
          <w:szCs w:val="22"/>
        </w:rPr>
        <w:t xml:space="preserve"> </w:t>
      </w:r>
    </w:p>
    <w:p w14:paraId="222D85AA" w14:textId="77777777" w:rsidR="002153F7" w:rsidRPr="0080341C" w:rsidRDefault="002153F7" w:rsidP="002153F7">
      <w:pPr>
        <w:pStyle w:val="odstavec"/>
        <w:ind w:left="720"/>
        <w:rPr>
          <w:rFonts w:asciiTheme="minorHAnsi" w:hAnsiTheme="minorHAnsi" w:cstheme="minorHAnsi"/>
          <w:sz w:val="22"/>
          <w:szCs w:val="22"/>
        </w:rPr>
      </w:pPr>
      <w:r w:rsidRPr="0080341C">
        <w:rPr>
          <w:rFonts w:asciiTheme="minorHAnsi" w:hAnsiTheme="minorHAnsi" w:cstheme="minorHAnsi"/>
          <w:sz w:val="22"/>
          <w:szCs w:val="22"/>
        </w:rPr>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r>
        <w:rPr>
          <w:rFonts w:asciiTheme="minorHAnsi" w:hAnsiTheme="minorHAnsi" w:cstheme="minorHAnsi"/>
          <w:sz w:val="22"/>
          <w:szCs w:val="22"/>
        </w:rPr>
        <w:t>.</w:t>
      </w:r>
    </w:p>
    <w:p w14:paraId="7E77A6E2" w14:textId="77777777" w:rsidR="002153F7" w:rsidRDefault="002153F7" w:rsidP="002153F7">
      <w:pPr>
        <w:pStyle w:val="Odsekzoznamu"/>
        <w:jc w:val="both"/>
      </w:pPr>
    </w:p>
    <w:p w14:paraId="0A64DF34" w14:textId="77777777" w:rsidR="002153F7" w:rsidRDefault="00C822D6" w:rsidP="002153F7">
      <w:pPr>
        <w:pStyle w:val="Odsekzoznamu"/>
        <w:numPr>
          <w:ilvl w:val="0"/>
          <w:numId w:val="2"/>
        </w:numPr>
        <w:jc w:val="both"/>
      </w:pPr>
      <w:r>
        <w:t>Zmeny účtovných zásad a zmeny účtovných metód s uvedením dôvodu týchto zmien a vyčíslením ich vplyvu na finančnú hodnotu majetku, záväzkov, základného imania a výsledku hospodárenia účtovnej jednotky</w:t>
      </w:r>
      <w:r w:rsidR="002153F7">
        <w:t>:</w:t>
      </w:r>
    </w:p>
    <w:p w14:paraId="27D18F3C" w14:textId="03BBD152" w:rsidR="00C822D6" w:rsidRDefault="002153F7" w:rsidP="002153F7">
      <w:pPr>
        <w:pStyle w:val="Odsekzoznamu"/>
        <w:jc w:val="both"/>
      </w:pPr>
      <w:r w:rsidRPr="00E63C40">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p w14:paraId="2D70C997" w14:textId="77777777" w:rsidR="00C822D6" w:rsidRDefault="00C822D6" w:rsidP="002153F7">
      <w:pPr>
        <w:pStyle w:val="Odsekzoznamu"/>
        <w:numPr>
          <w:ilvl w:val="0"/>
          <w:numId w:val="2"/>
        </w:numPr>
        <w:jc w:val="both"/>
      </w:pPr>
      <w:r>
        <w:t xml:space="preserve">Informácie o dotáciách a ich oceňovanie v účtovníctve. </w:t>
      </w:r>
    </w:p>
    <w:p w14:paraId="5AF262B2" w14:textId="09C4DC41" w:rsidR="00C822D6" w:rsidRDefault="00C822D6" w:rsidP="002153F7">
      <w:pPr>
        <w:pStyle w:val="Odsekzoznamu"/>
        <w:numPr>
          <w:ilvl w:val="0"/>
          <w:numId w:val="2"/>
        </w:numPr>
        <w:jc w:val="both"/>
      </w:pPr>
      <w:r>
        <w:t>Informácie o účtovaní významných opráv chýb minulých účtovných období v bežnom účtovnom období s uvedením vplyvu na nerozdelený zisk minulých rokov alebo neuhradenú stratu minulých rokov, súčasne sa môže uviesť aj účtovanie nevýznamných chýb minulých účtovných období v bežnom účtovnom období s uvedením vplyvu na výsledok hospodár</w:t>
      </w:r>
      <w:r w:rsidR="002153F7">
        <w:t>enia bežného účtovného obdobia:</w:t>
      </w:r>
    </w:p>
    <w:p w14:paraId="60425DC3" w14:textId="74D4C2CB" w:rsidR="002153F7" w:rsidRDefault="002153F7" w:rsidP="002153F7">
      <w:pPr>
        <w:pStyle w:val="Odsekzoznamu"/>
        <w:jc w:val="both"/>
      </w:pPr>
      <w:r w:rsidRPr="00E63C40">
        <w:lastRenderedPageBreak/>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p>
    <w:sectPr w:rsidR="002153F7" w:rsidSect="00C822D6">
      <w:headerReference w:type="default" r:id="rId8"/>
      <w:footerReference w:type="default" r:id="rId9"/>
      <w:pgSz w:w="11906" w:h="16838"/>
      <w:pgMar w:top="1417" w:right="1417" w:bottom="1417" w:left="1417" w:header="708" w:footer="708" w:gutter="0"/>
      <w:pgNumType w:start="7"/>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EA08B42" w14:textId="77777777" w:rsidR="00B941E6" w:rsidRDefault="00B941E6" w:rsidP="00A54777">
      <w:pPr>
        <w:spacing w:after="0" w:line="240" w:lineRule="auto"/>
      </w:pPr>
      <w:r>
        <w:separator/>
      </w:r>
    </w:p>
  </w:endnote>
  <w:endnote w:type="continuationSeparator" w:id="0">
    <w:p w14:paraId="4A374EF3" w14:textId="77777777" w:rsidR="00B941E6" w:rsidRDefault="00B941E6" w:rsidP="00A54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Arial CE">
    <w:panose1 w:val="020B0604020202020204"/>
    <w:charset w:val="EE"/>
    <w:family w:val="swiss"/>
    <w:pitch w:val="variable"/>
    <w:sig w:usb0="20002A87" w:usb1="00000000" w:usb2="00000000"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95115192"/>
      <w:docPartObj>
        <w:docPartGallery w:val="Page Numbers (Bottom of Page)"/>
        <w:docPartUnique/>
      </w:docPartObj>
    </w:sdtPr>
    <w:sdtEndPr/>
    <w:sdtContent>
      <w:p w14:paraId="0E6468FC" w14:textId="4769B18E" w:rsidR="00C822D6" w:rsidRDefault="00C822D6">
        <w:pPr>
          <w:pStyle w:val="Pta"/>
          <w:jc w:val="right"/>
        </w:pPr>
        <w:r>
          <w:fldChar w:fldCharType="begin"/>
        </w:r>
        <w:r>
          <w:instrText>PAGE   \* MERGEFORMAT</w:instrText>
        </w:r>
        <w:r>
          <w:fldChar w:fldCharType="separate"/>
        </w:r>
        <w:r w:rsidR="00525FAE">
          <w:rPr>
            <w:noProof/>
          </w:rPr>
          <w:t>12</w:t>
        </w:r>
        <w:r>
          <w:fldChar w:fldCharType="end"/>
        </w:r>
      </w:p>
    </w:sdtContent>
  </w:sdt>
  <w:p w14:paraId="3D1C361B" w14:textId="77777777" w:rsidR="00C822D6" w:rsidRDefault="00C822D6">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7CE1180" w14:textId="77777777" w:rsidR="00B941E6" w:rsidRDefault="00B941E6" w:rsidP="00A54777">
      <w:pPr>
        <w:spacing w:after="0" w:line="240" w:lineRule="auto"/>
      </w:pPr>
      <w:r>
        <w:separator/>
      </w:r>
    </w:p>
  </w:footnote>
  <w:footnote w:type="continuationSeparator" w:id="0">
    <w:p w14:paraId="6919FE37" w14:textId="77777777" w:rsidR="00B941E6" w:rsidRDefault="00B941E6" w:rsidP="00A5477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11387" w:type="dxa"/>
      <w:tblInd w:w="-1139" w:type="dxa"/>
      <w:tblLayout w:type="fixed"/>
      <w:tblLook w:val="04A0" w:firstRow="1" w:lastRow="0" w:firstColumn="1" w:lastColumn="0" w:noHBand="0" w:noVBand="1"/>
    </w:tblPr>
    <w:tblGrid>
      <w:gridCol w:w="2661"/>
      <w:gridCol w:w="3009"/>
      <w:gridCol w:w="284"/>
      <w:gridCol w:w="283"/>
      <w:gridCol w:w="284"/>
      <w:gridCol w:w="283"/>
      <w:gridCol w:w="284"/>
      <w:gridCol w:w="283"/>
      <w:gridCol w:w="284"/>
      <w:gridCol w:w="283"/>
      <w:gridCol w:w="709"/>
      <w:gridCol w:w="284"/>
      <w:gridCol w:w="283"/>
      <w:gridCol w:w="284"/>
      <w:gridCol w:w="283"/>
      <w:gridCol w:w="284"/>
      <w:gridCol w:w="283"/>
      <w:gridCol w:w="284"/>
      <w:gridCol w:w="283"/>
      <w:gridCol w:w="236"/>
      <w:gridCol w:w="236"/>
    </w:tblGrid>
    <w:tr w:rsidR="00A54777" w14:paraId="15BD77B3" w14:textId="77777777" w:rsidTr="00A54777">
      <w:tc>
        <w:tcPr>
          <w:tcW w:w="2661" w:type="dxa"/>
          <w:tcBorders>
            <w:right w:val="single" w:sz="4" w:space="0" w:color="auto"/>
          </w:tcBorders>
        </w:tcPr>
        <w:p w14:paraId="3CD37EE3" w14:textId="75538AE4" w:rsidR="00A54777" w:rsidRDefault="00A54777" w:rsidP="006B057F">
          <w:pPr>
            <w:pStyle w:val="Hlavika"/>
          </w:pPr>
          <w:r>
            <w:t xml:space="preserve">Poznámky </w:t>
          </w:r>
          <w:proofErr w:type="spellStart"/>
          <w:r>
            <w:t>Úč</w:t>
          </w:r>
          <w:proofErr w:type="spellEnd"/>
          <w:r>
            <w:t xml:space="preserve"> </w:t>
          </w:r>
          <w:r w:rsidR="006B057F">
            <w:t>N</w:t>
          </w:r>
          <w:r>
            <w:t>ÚJ 3 - 01</w:t>
          </w:r>
        </w:p>
      </w:tc>
      <w:tc>
        <w:tcPr>
          <w:tcW w:w="3009" w:type="dxa"/>
          <w:tcBorders>
            <w:top w:val="nil"/>
            <w:left w:val="single" w:sz="4" w:space="0" w:color="auto"/>
            <w:bottom w:val="nil"/>
            <w:right w:val="single" w:sz="4" w:space="0" w:color="auto"/>
          </w:tcBorders>
        </w:tcPr>
        <w:p w14:paraId="18B7A940" w14:textId="77777777" w:rsidR="00A54777" w:rsidRDefault="00A54777" w:rsidP="00A54777">
          <w:pPr>
            <w:pStyle w:val="Hlavika"/>
          </w:pPr>
          <w:r>
            <w:t xml:space="preserve">                                                IČO:</w:t>
          </w:r>
        </w:p>
      </w:tc>
      <w:tc>
        <w:tcPr>
          <w:tcW w:w="284" w:type="dxa"/>
          <w:tcBorders>
            <w:left w:val="single" w:sz="4" w:space="0" w:color="auto"/>
          </w:tcBorders>
        </w:tcPr>
        <w:p w14:paraId="58E4CD79" w14:textId="53E17E86" w:rsidR="00A54777" w:rsidRDefault="00AE7B18" w:rsidP="00A54777">
          <w:pPr>
            <w:pStyle w:val="Hlavika"/>
          </w:pPr>
          <w:r>
            <w:t>3</w:t>
          </w:r>
        </w:p>
      </w:tc>
      <w:tc>
        <w:tcPr>
          <w:tcW w:w="283" w:type="dxa"/>
        </w:tcPr>
        <w:p w14:paraId="5CAB70E6" w14:textId="3534992F" w:rsidR="00A54777" w:rsidRDefault="00AE7B18" w:rsidP="00A54777">
          <w:pPr>
            <w:pStyle w:val="Hlavika"/>
          </w:pPr>
          <w:r>
            <w:t>6</w:t>
          </w:r>
        </w:p>
      </w:tc>
      <w:tc>
        <w:tcPr>
          <w:tcW w:w="284" w:type="dxa"/>
        </w:tcPr>
        <w:p w14:paraId="38170E82" w14:textId="243E5D51" w:rsidR="00A54777" w:rsidRDefault="00AE7B18" w:rsidP="00A54777">
          <w:pPr>
            <w:pStyle w:val="Hlavika"/>
          </w:pPr>
          <w:r>
            <w:t>0</w:t>
          </w:r>
        </w:p>
      </w:tc>
      <w:tc>
        <w:tcPr>
          <w:tcW w:w="283" w:type="dxa"/>
        </w:tcPr>
        <w:p w14:paraId="67945ABB" w14:textId="0706422B" w:rsidR="00A54777" w:rsidRDefault="00AE7B18" w:rsidP="00A54777">
          <w:pPr>
            <w:pStyle w:val="Hlavika"/>
          </w:pPr>
          <w:r>
            <w:t>7</w:t>
          </w:r>
        </w:p>
      </w:tc>
      <w:tc>
        <w:tcPr>
          <w:tcW w:w="284" w:type="dxa"/>
        </w:tcPr>
        <w:p w14:paraId="4169990A" w14:textId="2B239CDD" w:rsidR="00A54777" w:rsidRDefault="00AE7B18" w:rsidP="00A54777">
          <w:pPr>
            <w:pStyle w:val="Hlavika"/>
          </w:pPr>
          <w:r>
            <w:t>1</w:t>
          </w:r>
        </w:p>
      </w:tc>
      <w:tc>
        <w:tcPr>
          <w:tcW w:w="283" w:type="dxa"/>
        </w:tcPr>
        <w:p w14:paraId="0B20FE0F" w14:textId="5A90D2FA" w:rsidR="00A54777" w:rsidRDefault="00AE7B18" w:rsidP="00A54777">
          <w:pPr>
            <w:pStyle w:val="Hlavika"/>
          </w:pPr>
          <w:r>
            <w:t>9</w:t>
          </w:r>
        </w:p>
      </w:tc>
      <w:tc>
        <w:tcPr>
          <w:tcW w:w="284" w:type="dxa"/>
        </w:tcPr>
        <w:p w14:paraId="0BBF4EBC" w14:textId="2B425D97" w:rsidR="00A54777" w:rsidRDefault="00AE7B18" w:rsidP="00A54777">
          <w:pPr>
            <w:pStyle w:val="Hlavika"/>
          </w:pPr>
          <w:r>
            <w:t>4</w:t>
          </w:r>
        </w:p>
      </w:tc>
      <w:tc>
        <w:tcPr>
          <w:tcW w:w="283" w:type="dxa"/>
          <w:tcBorders>
            <w:right w:val="single" w:sz="4" w:space="0" w:color="auto"/>
          </w:tcBorders>
        </w:tcPr>
        <w:p w14:paraId="453C2823" w14:textId="12EB0C5A" w:rsidR="00A54777" w:rsidRDefault="00AE7B18" w:rsidP="00A54777">
          <w:pPr>
            <w:pStyle w:val="Hlavika"/>
          </w:pPr>
          <w:r>
            <w:t>3</w:t>
          </w:r>
        </w:p>
      </w:tc>
      <w:tc>
        <w:tcPr>
          <w:tcW w:w="709" w:type="dxa"/>
          <w:tcBorders>
            <w:top w:val="nil"/>
            <w:left w:val="single" w:sz="4" w:space="0" w:color="auto"/>
            <w:bottom w:val="nil"/>
            <w:right w:val="single" w:sz="4" w:space="0" w:color="auto"/>
          </w:tcBorders>
        </w:tcPr>
        <w:p w14:paraId="2FDC9624" w14:textId="77777777" w:rsidR="00A54777" w:rsidRDefault="00A54777" w:rsidP="00A54777">
          <w:pPr>
            <w:pStyle w:val="Hlavika"/>
          </w:pPr>
          <w:r>
            <w:t>DIČ:</w:t>
          </w:r>
        </w:p>
      </w:tc>
      <w:tc>
        <w:tcPr>
          <w:tcW w:w="284" w:type="dxa"/>
          <w:tcBorders>
            <w:left w:val="single" w:sz="4" w:space="0" w:color="auto"/>
          </w:tcBorders>
        </w:tcPr>
        <w:p w14:paraId="3C78AB3C" w14:textId="2CB93A40" w:rsidR="00A54777" w:rsidRDefault="00AE7B18" w:rsidP="00A54777">
          <w:pPr>
            <w:pStyle w:val="Hlavika"/>
          </w:pPr>
          <w:r>
            <w:t>2</w:t>
          </w:r>
        </w:p>
      </w:tc>
      <w:tc>
        <w:tcPr>
          <w:tcW w:w="283" w:type="dxa"/>
        </w:tcPr>
        <w:p w14:paraId="7C4DF38F" w14:textId="663BA932" w:rsidR="00A54777" w:rsidRDefault="00AE7B18" w:rsidP="00A54777">
          <w:pPr>
            <w:pStyle w:val="Hlavika"/>
          </w:pPr>
          <w:r>
            <w:t>0</w:t>
          </w:r>
        </w:p>
      </w:tc>
      <w:tc>
        <w:tcPr>
          <w:tcW w:w="284" w:type="dxa"/>
        </w:tcPr>
        <w:p w14:paraId="5585C230" w14:textId="600EEAA9" w:rsidR="00A54777" w:rsidRDefault="00AE7B18" w:rsidP="00A54777">
          <w:pPr>
            <w:pStyle w:val="Hlavika"/>
          </w:pPr>
          <w:r>
            <w:t>2</w:t>
          </w:r>
        </w:p>
      </w:tc>
      <w:tc>
        <w:tcPr>
          <w:tcW w:w="283" w:type="dxa"/>
        </w:tcPr>
        <w:p w14:paraId="0777946A" w14:textId="296CE7B3" w:rsidR="00A54777" w:rsidRDefault="00AE7B18" w:rsidP="00A54777">
          <w:pPr>
            <w:pStyle w:val="Hlavika"/>
          </w:pPr>
          <w:r>
            <w:t>1</w:t>
          </w:r>
        </w:p>
      </w:tc>
      <w:tc>
        <w:tcPr>
          <w:tcW w:w="284" w:type="dxa"/>
        </w:tcPr>
        <w:p w14:paraId="11856C58" w14:textId="20BEE1BF" w:rsidR="00A54777" w:rsidRDefault="00AE7B18" w:rsidP="00A54777">
          <w:pPr>
            <w:pStyle w:val="Hlavika"/>
          </w:pPr>
          <w:r>
            <w:t>6</w:t>
          </w:r>
        </w:p>
      </w:tc>
      <w:tc>
        <w:tcPr>
          <w:tcW w:w="283" w:type="dxa"/>
        </w:tcPr>
        <w:p w14:paraId="469A2A89" w14:textId="1FF8D930" w:rsidR="00A54777" w:rsidRDefault="00AE7B18" w:rsidP="00A54777">
          <w:pPr>
            <w:pStyle w:val="Hlavika"/>
          </w:pPr>
          <w:r>
            <w:t>3</w:t>
          </w:r>
        </w:p>
      </w:tc>
      <w:tc>
        <w:tcPr>
          <w:tcW w:w="284" w:type="dxa"/>
        </w:tcPr>
        <w:p w14:paraId="235E96F3" w14:textId="2085646A" w:rsidR="00A54777" w:rsidRDefault="00AE7B18" w:rsidP="00A54777">
          <w:pPr>
            <w:pStyle w:val="Hlavika"/>
          </w:pPr>
          <w:r>
            <w:t>2</w:t>
          </w:r>
        </w:p>
      </w:tc>
      <w:tc>
        <w:tcPr>
          <w:tcW w:w="283" w:type="dxa"/>
        </w:tcPr>
        <w:p w14:paraId="7ED19F32" w14:textId="52285B62" w:rsidR="00A54777" w:rsidRDefault="00AE7B18" w:rsidP="00A54777">
          <w:pPr>
            <w:pStyle w:val="Hlavika"/>
          </w:pPr>
          <w:r>
            <w:t>0</w:t>
          </w:r>
        </w:p>
      </w:tc>
      <w:tc>
        <w:tcPr>
          <w:tcW w:w="236" w:type="dxa"/>
        </w:tcPr>
        <w:p w14:paraId="4AD546D6" w14:textId="3C10DBB3" w:rsidR="00A54777" w:rsidRDefault="00AE7B18" w:rsidP="00A54777">
          <w:pPr>
            <w:pStyle w:val="Hlavika"/>
          </w:pPr>
          <w:r>
            <w:t>6</w:t>
          </w:r>
        </w:p>
      </w:tc>
      <w:tc>
        <w:tcPr>
          <w:tcW w:w="236" w:type="dxa"/>
        </w:tcPr>
        <w:p w14:paraId="730B5B60" w14:textId="58F12903" w:rsidR="00A54777" w:rsidRDefault="00AE7B18" w:rsidP="00A54777">
          <w:pPr>
            <w:pStyle w:val="Hlavika"/>
          </w:pPr>
          <w:r>
            <w:t>3</w:t>
          </w:r>
        </w:p>
      </w:tc>
    </w:tr>
  </w:tbl>
  <w:p w14:paraId="20A5D164" w14:textId="77777777" w:rsidR="00A54777" w:rsidRPr="00A54777" w:rsidRDefault="00A54777" w:rsidP="00A54777">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BB57F5"/>
    <w:multiLevelType w:val="hybridMultilevel"/>
    <w:tmpl w:val="AE08E5D0"/>
    <w:lvl w:ilvl="0" w:tplc="16D4341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20FF025C"/>
    <w:multiLevelType w:val="multilevel"/>
    <w:tmpl w:val="4A8EAD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2D1D6EB2"/>
    <w:multiLevelType w:val="hybridMultilevel"/>
    <w:tmpl w:val="D9AC4D2A"/>
    <w:lvl w:ilvl="0" w:tplc="691CAF6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3AB567E1"/>
    <w:multiLevelType w:val="hybridMultilevel"/>
    <w:tmpl w:val="C87AA2CC"/>
    <w:lvl w:ilvl="0" w:tplc="F7620860">
      <w:start w:val="1"/>
      <w:numFmt w:val="lowerLetter"/>
      <w:lvlText w:val="%1)"/>
      <w:lvlJc w:val="left"/>
      <w:pPr>
        <w:tabs>
          <w:tab w:val="num" w:pos="425"/>
        </w:tabs>
        <w:ind w:left="425" w:hanging="425"/>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4">
    <w:nsid w:val="5EC57A57"/>
    <w:multiLevelType w:val="multilevel"/>
    <w:tmpl w:val="411051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3"/>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4777"/>
    <w:rsid w:val="00042E77"/>
    <w:rsid w:val="00173611"/>
    <w:rsid w:val="002153F7"/>
    <w:rsid w:val="004F526C"/>
    <w:rsid w:val="00525FAE"/>
    <w:rsid w:val="005A3F43"/>
    <w:rsid w:val="006B057F"/>
    <w:rsid w:val="007D1884"/>
    <w:rsid w:val="0080341C"/>
    <w:rsid w:val="009F4CBB"/>
    <w:rsid w:val="00A368A2"/>
    <w:rsid w:val="00A54777"/>
    <w:rsid w:val="00AE7B18"/>
    <w:rsid w:val="00B941E6"/>
    <w:rsid w:val="00C822D6"/>
    <w:rsid w:val="00E6251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CBF2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A54777"/>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54777"/>
  </w:style>
  <w:style w:type="paragraph" w:styleId="Pta">
    <w:name w:val="footer"/>
    <w:basedOn w:val="Normlny"/>
    <w:link w:val="PtaChar"/>
    <w:uiPriority w:val="99"/>
    <w:unhideWhenUsed/>
    <w:rsid w:val="00A54777"/>
    <w:pPr>
      <w:tabs>
        <w:tab w:val="center" w:pos="4536"/>
        <w:tab w:val="right" w:pos="9072"/>
      </w:tabs>
      <w:spacing w:after="0" w:line="240" w:lineRule="auto"/>
    </w:pPr>
  </w:style>
  <w:style w:type="character" w:customStyle="1" w:styleId="PtaChar">
    <w:name w:val="Päta Char"/>
    <w:basedOn w:val="Predvolenpsmoodseku"/>
    <w:link w:val="Pta"/>
    <w:uiPriority w:val="99"/>
    <w:rsid w:val="00A54777"/>
  </w:style>
  <w:style w:type="table" w:styleId="Mriekatabuky">
    <w:name w:val="Table Grid"/>
    <w:basedOn w:val="Normlnatabuka"/>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A54777"/>
    <w:pPr>
      <w:ind w:left="720"/>
      <w:contextualSpacing/>
    </w:pPr>
  </w:style>
  <w:style w:type="character" w:customStyle="1" w:styleId="tl">
    <w:name w:val="tl"/>
    <w:basedOn w:val="Predvolenpsmoodseku"/>
    <w:rsid w:val="00173611"/>
  </w:style>
  <w:style w:type="character" w:customStyle="1" w:styleId="apple-converted-space">
    <w:name w:val="apple-converted-space"/>
    <w:basedOn w:val="Predvolenpsmoodseku"/>
    <w:rsid w:val="00173611"/>
  </w:style>
  <w:style w:type="character" w:customStyle="1" w:styleId="ra">
    <w:name w:val="ra"/>
    <w:basedOn w:val="Predvolenpsmoodseku"/>
    <w:rsid w:val="00173611"/>
  </w:style>
  <w:style w:type="paragraph" w:customStyle="1" w:styleId="odstavec">
    <w:name w:val="odstavec"/>
    <w:basedOn w:val="Normlny"/>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lny"/>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cell">
    <w:name w:val="cell"/>
    <w:basedOn w:val="Predvolenpsmoodseku"/>
    <w:rsid w:val="006B057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3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A54777"/>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54777"/>
  </w:style>
  <w:style w:type="paragraph" w:styleId="Pta">
    <w:name w:val="footer"/>
    <w:basedOn w:val="Normlny"/>
    <w:link w:val="PtaChar"/>
    <w:uiPriority w:val="99"/>
    <w:unhideWhenUsed/>
    <w:rsid w:val="00A54777"/>
    <w:pPr>
      <w:tabs>
        <w:tab w:val="center" w:pos="4536"/>
        <w:tab w:val="right" w:pos="9072"/>
      </w:tabs>
      <w:spacing w:after="0" w:line="240" w:lineRule="auto"/>
    </w:pPr>
  </w:style>
  <w:style w:type="character" w:customStyle="1" w:styleId="PtaChar">
    <w:name w:val="Päta Char"/>
    <w:basedOn w:val="Predvolenpsmoodseku"/>
    <w:link w:val="Pta"/>
    <w:uiPriority w:val="99"/>
    <w:rsid w:val="00A54777"/>
  </w:style>
  <w:style w:type="table" w:styleId="Mriekatabuky">
    <w:name w:val="Table Grid"/>
    <w:basedOn w:val="Normlnatabuka"/>
    <w:uiPriority w:val="39"/>
    <w:rsid w:val="00A5477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A54777"/>
    <w:pPr>
      <w:ind w:left="720"/>
      <w:contextualSpacing/>
    </w:pPr>
  </w:style>
  <w:style w:type="character" w:customStyle="1" w:styleId="tl">
    <w:name w:val="tl"/>
    <w:basedOn w:val="Predvolenpsmoodseku"/>
    <w:rsid w:val="00173611"/>
  </w:style>
  <w:style w:type="character" w:customStyle="1" w:styleId="apple-converted-space">
    <w:name w:val="apple-converted-space"/>
    <w:basedOn w:val="Predvolenpsmoodseku"/>
    <w:rsid w:val="00173611"/>
  </w:style>
  <w:style w:type="character" w:customStyle="1" w:styleId="ra">
    <w:name w:val="ra"/>
    <w:basedOn w:val="Predvolenpsmoodseku"/>
    <w:rsid w:val="00173611"/>
  </w:style>
  <w:style w:type="paragraph" w:customStyle="1" w:styleId="odstavec">
    <w:name w:val="odstavec"/>
    <w:basedOn w:val="Normlny"/>
    <w:link w:val="odstavecChar"/>
    <w:autoRedefine/>
    <w:rsid w:val="0080341C"/>
    <w:pPr>
      <w:tabs>
        <w:tab w:val="left" w:pos="426"/>
        <w:tab w:val="left" w:pos="709"/>
      </w:tabs>
      <w:suppressAutoHyphens/>
      <w:spacing w:after="0" w:line="240" w:lineRule="auto"/>
      <w:ind w:left="426" w:right="-79"/>
      <w:jc w:val="both"/>
    </w:pPr>
    <w:rPr>
      <w:rFonts w:ascii="Arial" w:eastAsia="Times New Roman" w:hAnsi="Arial" w:cs="Arial"/>
      <w:bCs/>
      <w:iCs/>
      <w:sz w:val="20"/>
      <w:szCs w:val="20"/>
      <w:lang w:eastAsia="sk-SK"/>
    </w:rPr>
  </w:style>
  <w:style w:type="character" w:customStyle="1" w:styleId="odstavecChar">
    <w:name w:val="odstavec Char"/>
    <w:link w:val="odstavec"/>
    <w:locked/>
    <w:rsid w:val="0080341C"/>
    <w:rPr>
      <w:rFonts w:ascii="Arial" w:eastAsia="Times New Roman" w:hAnsi="Arial" w:cs="Arial"/>
      <w:bCs/>
      <w:iCs/>
      <w:sz w:val="20"/>
      <w:szCs w:val="20"/>
      <w:lang w:eastAsia="sk-SK"/>
    </w:rPr>
  </w:style>
  <w:style w:type="paragraph" w:customStyle="1" w:styleId="abc">
    <w:name w:val="abc"/>
    <w:basedOn w:val="Normlny"/>
    <w:autoRedefine/>
    <w:rsid w:val="0080341C"/>
    <w:pPr>
      <w:tabs>
        <w:tab w:val="num" w:pos="360"/>
      </w:tabs>
      <w:spacing w:before="60" w:after="120" w:line="240" w:lineRule="auto"/>
      <w:jc w:val="both"/>
    </w:pPr>
    <w:rPr>
      <w:rFonts w:ascii="Arial" w:eastAsia="Times New Roman" w:hAnsi="Arial" w:cs="Arial"/>
      <w:b/>
      <w:sz w:val="20"/>
      <w:szCs w:val="20"/>
      <w:lang w:eastAsia="sk-SK"/>
    </w:rPr>
  </w:style>
  <w:style w:type="paragraph" w:customStyle="1" w:styleId="ABC-paragrahinNotes">
    <w:name w:val="ABC - paragrah in Notes"/>
    <w:link w:val="ABC-paragrahinNotesChar"/>
    <w:rsid w:val="0080341C"/>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link w:val="ABC-paragrahinNotes"/>
    <w:locked/>
    <w:rsid w:val="0080341C"/>
    <w:rPr>
      <w:rFonts w:ascii="Arial" w:eastAsia="Times New Roman" w:hAnsi="Arial" w:cs="Times New Roman"/>
      <w:sz w:val="18"/>
      <w:szCs w:val="20"/>
      <w:lang w:val="en-GB"/>
    </w:rPr>
  </w:style>
  <w:style w:type="character" w:customStyle="1" w:styleId="cell">
    <w:name w:val="cell"/>
    <w:basedOn w:val="Predvolenpsmoodseku"/>
    <w:rsid w:val="006B05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0638539">
      <w:bodyDiv w:val="1"/>
      <w:marLeft w:val="0"/>
      <w:marRight w:val="0"/>
      <w:marTop w:val="0"/>
      <w:marBottom w:val="0"/>
      <w:divBdr>
        <w:top w:val="none" w:sz="0" w:space="0" w:color="auto"/>
        <w:left w:val="none" w:sz="0" w:space="0" w:color="auto"/>
        <w:bottom w:val="none" w:sz="0" w:space="0" w:color="auto"/>
        <w:right w:val="none" w:sz="0" w:space="0" w:color="auto"/>
      </w:divBdr>
      <w:divsChild>
        <w:div w:id="13768555">
          <w:marLeft w:val="0"/>
          <w:marRight w:val="0"/>
          <w:marTop w:val="0"/>
          <w:marBottom w:val="0"/>
          <w:divBdr>
            <w:top w:val="none" w:sz="0" w:space="0" w:color="auto"/>
            <w:left w:val="none" w:sz="0" w:space="0" w:color="auto"/>
            <w:bottom w:val="none" w:sz="0" w:space="0" w:color="auto"/>
            <w:right w:val="none" w:sz="0" w:space="0" w:color="auto"/>
          </w:divBdr>
        </w:div>
        <w:div w:id="1652294103">
          <w:marLeft w:val="0"/>
          <w:marRight w:val="0"/>
          <w:marTop w:val="0"/>
          <w:marBottom w:val="0"/>
          <w:divBdr>
            <w:top w:val="none" w:sz="0" w:space="0" w:color="auto"/>
            <w:left w:val="none" w:sz="0" w:space="0" w:color="auto"/>
            <w:bottom w:val="none" w:sz="0" w:space="0" w:color="auto"/>
            <w:right w:val="none" w:sz="0" w:space="0" w:color="auto"/>
          </w:divBdr>
        </w:div>
        <w:div w:id="499546171">
          <w:marLeft w:val="0"/>
          <w:marRight w:val="0"/>
          <w:marTop w:val="0"/>
          <w:marBottom w:val="0"/>
          <w:divBdr>
            <w:top w:val="none" w:sz="0" w:space="0" w:color="auto"/>
            <w:left w:val="none" w:sz="0" w:space="0" w:color="auto"/>
            <w:bottom w:val="none" w:sz="0" w:space="0" w:color="auto"/>
            <w:right w:val="none" w:sz="0" w:space="0" w:color="auto"/>
          </w:divBdr>
        </w:div>
        <w:div w:id="633406578">
          <w:marLeft w:val="0"/>
          <w:marRight w:val="0"/>
          <w:marTop w:val="0"/>
          <w:marBottom w:val="0"/>
          <w:divBdr>
            <w:top w:val="none" w:sz="0" w:space="0" w:color="auto"/>
            <w:left w:val="none" w:sz="0" w:space="0" w:color="auto"/>
            <w:bottom w:val="none" w:sz="0" w:space="0" w:color="auto"/>
            <w:right w:val="none" w:sz="0" w:space="0" w:color="auto"/>
          </w:divBdr>
        </w:div>
        <w:div w:id="378363669">
          <w:marLeft w:val="0"/>
          <w:marRight w:val="0"/>
          <w:marTop w:val="0"/>
          <w:marBottom w:val="0"/>
          <w:divBdr>
            <w:top w:val="none" w:sz="0" w:space="0" w:color="auto"/>
            <w:left w:val="none" w:sz="0" w:space="0" w:color="auto"/>
            <w:bottom w:val="none" w:sz="0" w:space="0" w:color="auto"/>
            <w:right w:val="none" w:sz="0" w:space="0" w:color="auto"/>
          </w:divBdr>
        </w:div>
        <w:div w:id="1024209229">
          <w:marLeft w:val="0"/>
          <w:marRight w:val="0"/>
          <w:marTop w:val="0"/>
          <w:marBottom w:val="0"/>
          <w:divBdr>
            <w:top w:val="none" w:sz="0" w:space="0" w:color="auto"/>
            <w:left w:val="none" w:sz="0" w:space="0" w:color="auto"/>
            <w:bottom w:val="none" w:sz="0" w:space="0" w:color="auto"/>
            <w:right w:val="none" w:sz="0" w:space="0" w:color="auto"/>
          </w:divBdr>
        </w:div>
        <w:div w:id="1843542758">
          <w:marLeft w:val="0"/>
          <w:marRight w:val="0"/>
          <w:marTop w:val="0"/>
          <w:marBottom w:val="0"/>
          <w:divBdr>
            <w:top w:val="none" w:sz="0" w:space="0" w:color="auto"/>
            <w:left w:val="none" w:sz="0" w:space="0" w:color="auto"/>
            <w:bottom w:val="none" w:sz="0" w:space="0" w:color="auto"/>
            <w:right w:val="none" w:sz="0" w:space="0" w:color="auto"/>
          </w:divBdr>
        </w:div>
      </w:divsChild>
    </w:div>
    <w:div w:id="939801662">
      <w:bodyDiv w:val="1"/>
      <w:marLeft w:val="0"/>
      <w:marRight w:val="0"/>
      <w:marTop w:val="0"/>
      <w:marBottom w:val="0"/>
      <w:divBdr>
        <w:top w:val="none" w:sz="0" w:space="0" w:color="auto"/>
        <w:left w:val="none" w:sz="0" w:space="0" w:color="auto"/>
        <w:bottom w:val="none" w:sz="0" w:space="0" w:color="auto"/>
        <w:right w:val="none" w:sz="0" w:space="0" w:color="auto"/>
      </w:divBdr>
    </w:div>
    <w:div w:id="16650143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2369</Words>
  <Characters>13509</Characters>
  <Application>Microsoft Office Word</Application>
  <DocSecurity>0</DocSecurity>
  <Lines>112</Lines>
  <Paragraphs>31</Paragraphs>
  <ScaleCrop>false</ScaleCrop>
  <HeadingPairs>
    <vt:vector size="2" baseType="variant">
      <vt:variant>
        <vt:lpstr>Názov</vt:lpstr>
      </vt:variant>
      <vt:variant>
        <vt:i4>1</vt:i4>
      </vt:variant>
    </vt:vector>
  </HeadingPairs>
  <TitlesOfParts>
    <vt:vector size="1" baseType="lpstr">
      <vt:lpstr/>
    </vt:vector>
  </TitlesOfParts>
  <Company>Microsoft</Company>
  <LinksUpToDate>false</LinksUpToDate>
  <CharactersWithSpaces>15847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Anton Marci</dc:creator>
  <cp:lastModifiedBy>Niven</cp:lastModifiedBy>
  <cp:revision>3</cp:revision>
  <cp:lastPrinted>2017-03-30T23:33:00Z</cp:lastPrinted>
  <dcterms:created xsi:type="dcterms:W3CDTF">2019-03-14T19:57:00Z</dcterms:created>
  <dcterms:modified xsi:type="dcterms:W3CDTF">2019-03-14T19:57:00Z</dcterms:modified>
</cp:coreProperties>
</file>