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outlineLvl w:val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Čl. I Všeobecné informácie o účtovnej jednotke</w:t>
      </w:r>
    </w:p>
    <w:p>
      <w:pPr>
        <w:pStyle w:val="Normal"/>
        <w:numPr>
          <w:ilvl w:val="0"/>
          <w:numId w:val="0"/>
        </w:numPr>
        <w:outlineLvl w:val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Čl. I (1) (5) Všeobecné informácie</w:t>
      </w:r>
    </w:p>
    <w:p>
      <w:pPr>
        <w:pStyle w:val="Nadpis4"/>
        <w:rPr/>
      </w:pPr>
      <w:r>
        <w:rPr>
          <w:rFonts w:cs="Times New Roman" w:ascii="Times New Roman" w:hAnsi="Times New Roman"/>
          <w:sz w:val="20"/>
          <w:szCs w:val="20"/>
        </w:rPr>
        <w:t xml:space="preserve">Čl . I (1) </w:t>
      </w:r>
    </w:p>
    <w:p>
      <w:pPr>
        <w:pStyle w:val="Normal"/>
        <w:rPr/>
      </w:pPr>
      <w:r>
        <w:rPr>
          <w:rFonts w:cs="Times New Roman" w:ascii="Times New Roman" w:hAnsi="Times New Roman"/>
          <w:bCs/>
          <w:sz w:val="20"/>
          <w:szCs w:val="20"/>
        </w:rPr>
        <w:t>Obchodné meno účtovnej jednotky</w:t>
      </w:r>
      <w:r>
        <w:rPr>
          <w:rFonts w:cs="Times New Roman" w:ascii="Times New Roman" w:hAnsi="Times New Roman"/>
          <w:bCs/>
          <w:i/>
          <w:iCs/>
          <w:sz w:val="20"/>
          <w:szCs w:val="20"/>
        </w:rPr>
        <w:t>:</w:t>
        <w:tab/>
      </w:r>
      <w:r>
        <w:rPr>
          <w:rFonts w:cs="Times New Roman" w:ascii="Times New Roman" w:hAnsi="Times New Roman"/>
          <w:bCs/>
          <w:i/>
          <w:iCs/>
          <w:sz w:val="20"/>
          <w:szCs w:val="20"/>
        </w:rPr>
        <w:t xml:space="preserve">STAVBY </w:t>
      </w:r>
      <w:r>
        <w:rPr>
          <w:rFonts w:cs="Times New Roman" w:ascii="Times New Roman" w:hAnsi="Times New Roman"/>
          <w:bCs/>
          <w:i/>
          <w:iCs/>
          <w:sz w:val="20"/>
          <w:szCs w:val="20"/>
        </w:rPr>
        <w:t>BARTOŠ s.r.o.</w:t>
      </w:r>
    </w:p>
    <w:p>
      <w:pPr>
        <w:pStyle w:val="Normal"/>
        <w:rPr>
          <w:rFonts w:ascii="Times New Roman" w:hAnsi="Times New Roman" w:cs="Times New Roman"/>
          <w:sz w:val="20"/>
          <w:szCs w:val="20"/>
          <w:lang w:eastAsia="sk-SK"/>
        </w:rPr>
      </w:pPr>
      <w:r>
        <w:rPr>
          <w:rFonts w:cs="Times New Roman" w:ascii="Times New Roman" w:hAnsi="Times New Roman"/>
          <w:bCs/>
          <w:sz w:val="20"/>
          <w:szCs w:val="20"/>
        </w:rPr>
        <w:t>Sídlo účtovnej jednotky</w:t>
        <w:tab/>
        <w:t xml:space="preserve">  </w:t>
        <w:tab/>
        <w:t>:</w:t>
      </w:r>
      <w:r>
        <w:rPr>
          <w:rFonts w:cs="Times New Roman" w:ascii="Times New Roman" w:hAnsi="Times New Roman"/>
          <w:b/>
          <w:bCs/>
          <w:sz w:val="20"/>
          <w:szCs w:val="20"/>
        </w:rPr>
        <w:t xml:space="preserve">  </w:t>
        <w:tab/>
      </w:r>
      <w:r>
        <w:rPr>
          <w:rFonts w:cs="Times New Roman" w:ascii="Times New Roman" w:hAnsi="Times New Roman"/>
          <w:bCs/>
          <w:sz w:val="20"/>
          <w:szCs w:val="20"/>
        </w:rPr>
        <w:t>Švermova 489/66</w:t>
      </w:r>
      <w:r>
        <w:rPr>
          <w:rFonts w:cs="Times New Roman" w:ascii="Times New Roman" w:hAnsi="Times New Roman"/>
          <w:sz w:val="20"/>
          <w:szCs w:val="20"/>
          <w:lang w:eastAsia="sk-SK"/>
        </w:rPr>
        <w:t>,97652, Čierny Balog</w:t>
      </w:r>
    </w:p>
    <w:p>
      <w:pPr>
        <w:pStyle w:val="Normal"/>
        <w:rPr/>
      </w:pPr>
      <w:r>
        <w:rPr>
          <w:rFonts w:cs="Times New Roman" w:ascii="Times New Roman" w:hAnsi="Times New Roman"/>
          <w:bCs/>
          <w:sz w:val="20"/>
          <w:szCs w:val="20"/>
        </w:rPr>
        <w:t>Opis hospodárskej činnosti v nadväznosti na predmet podnikania:</w:t>
      </w:r>
      <w:r>
        <w:rPr>
          <w:rFonts w:cs="Arial" w:ascii="Arial" w:hAnsi="Arial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sz w:val="20"/>
          <w:szCs w:val="20"/>
          <w:lang w:eastAsia="sk-SK"/>
        </w:rPr>
        <w:t>vypracovanie projektovej dokumentácie v stavebníctve</w:t>
      </w:r>
    </w:p>
    <w:p>
      <w:pPr>
        <w:pStyle w:val="Normal"/>
        <w:rPr/>
      </w:pPr>
      <w:r>
        <w:rPr>
          <w:rFonts w:cs="Times New Roman" w:ascii="Times New Roman" w:hAnsi="Times New Roman"/>
          <w:bCs/>
          <w:sz w:val="20"/>
          <w:szCs w:val="20"/>
        </w:rPr>
        <w:t>Dátum založenia účtovnej jednotky</w:t>
      </w:r>
      <w:r>
        <w:rPr>
          <w:rFonts w:cs="Times New Roman" w:ascii="Times New Roman" w:hAnsi="Times New Roman"/>
          <w:b/>
          <w:bCs/>
          <w:sz w:val="20"/>
          <w:szCs w:val="20"/>
        </w:rPr>
        <w:tab/>
        <w:t xml:space="preserve">: </w:t>
      </w:r>
      <w:r>
        <w:rPr>
          <w:rFonts w:cs="Times New Roman" w:ascii="Times New Roman" w:hAnsi="Times New Roman"/>
          <w:b/>
          <w:bCs/>
          <w:sz w:val="20"/>
          <w:szCs w:val="20"/>
        </w:rPr>
        <w:t>02.02.2018</w:t>
      </w:r>
      <w:r>
        <w:rPr>
          <w:rFonts w:cs="Times New Roman" w:ascii="Times New Roman" w:hAnsi="Times New Roman"/>
          <w:b/>
          <w:bCs/>
          <w:sz w:val="20"/>
          <w:szCs w:val="20"/>
        </w:rPr>
        <w:tab/>
      </w:r>
    </w:p>
    <w:p>
      <w:pPr>
        <w:pStyle w:val="Normal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Čl. I (4) Údaje o skupine účtovných jednotiek</w:t>
      </w:r>
    </w:p>
    <w:p>
      <w:pPr>
        <w:pStyle w:val="Normal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  <w:t>Čl. I (4) a) Údaje o účtovnej jednotke, ktorá zostavuje konsolidovanú účtovnú závierku</w:t>
      </w:r>
    </w:p>
    <w:tbl>
      <w:tblPr>
        <w:tblStyle w:val="Mriekatabuky"/>
        <w:tblW w:w="906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26"/>
        <w:gridCol w:w="2023"/>
        <w:gridCol w:w="2447"/>
        <w:gridCol w:w="1365"/>
      </w:tblGrid>
      <w:tr>
        <w:trPr/>
        <w:tc>
          <w:tcPr>
            <w:tcW w:w="322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Vlastník firmy (materská spol.)</w:t>
            </w:r>
          </w:p>
        </w:tc>
        <w:tc>
          <w:tcPr>
            <w:tcW w:w="202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bCs/>
                <w:sz w:val="16"/>
                <w:szCs w:val="16"/>
              </w:rPr>
              <w:t>Povinnosť zostaviť konsolidovanú účtovnú závierku</w:t>
            </w:r>
          </w:p>
        </w:tc>
        <w:tc>
          <w:tcPr>
            <w:tcW w:w="244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3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bCs/>
                <w:sz w:val="16"/>
                <w:szCs w:val="16"/>
              </w:rPr>
              <w:t>Vlastnícky podiel v %</w:t>
            </w:r>
          </w:p>
        </w:tc>
      </w:tr>
      <w:tr>
        <w:trPr/>
        <w:tc>
          <w:tcPr>
            <w:tcW w:w="322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202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Cs/>
                <w:sz w:val="18"/>
                <w:szCs w:val="18"/>
              </w:rPr>
            </w:r>
          </w:p>
        </w:tc>
        <w:tc>
          <w:tcPr>
            <w:tcW w:w="244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Cs/>
                <w:sz w:val="18"/>
                <w:szCs w:val="18"/>
              </w:rPr>
            </w:r>
          </w:p>
        </w:tc>
        <w:tc>
          <w:tcPr>
            <w:tcW w:w="13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322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202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244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3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322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202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244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3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rPr/>
      </w:pPr>
      <w:r>
        <w:rPr>
          <w:rFonts w:cs="Times New Roman" w:ascii="Times New Roman" w:hAnsi="Times New Roman"/>
          <w:bCs/>
          <w:sz w:val="20"/>
          <w:szCs w:val="20"/>
        </w:rPr>
        <w:t xml:space="preserve">Účtovná jednotka </w:t>
      </w:r>
      <w:r>
        <w:rPr>
          <w:rFonts w:cs="Times New Roman" w:ascii="Times New Roman" w:hAnsi="Times New Roman"/>
          <w:bCs/>
          <w:sz w:val="20"/>
          <w:szCs w:val="20"/>
        </w:rPr>
        <w:t xml:space="preserve">STAVBY </w:t>
      </w:r>
      <w:r>
        <w:rPr>
          <w:rFonts w:cs="Times New Roman" w:ascii="Times New Roman" w:hAnsi="Times New Roman"/>
          <w:bCs/>
          <w:sz w:val="20"/>
          <w:szCs w:val="20"/>
        </w:rPr>
        <w:t>BARTOŠ s.r.o.  nie je materskou jednotkou v rámci konsolidovaného celku a nemá povinnosť zostavovať konsolidovanú účtovnú závierku.</w:t>
      </w:r>
    </w:p>
    <w:p>
      <w:pPr>
        <w:pStyle w:val="Normal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Čl. I (5)</w:t>
      </w:r>
    </w:p>
    <w:p>
      <w:pPr>
        <w:pStyle w:val="Normal"/>
        <w:ind w:firstLine="81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sz w:val="20"/>
          <w:szCs w:val="20"/>
        </w:rPr>
        <w:t>Priemerný počet zamestnancov počas účtovného obdobia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092"/>
        <w:gridCol w:w="1956"/>
        <w:gridCol w:w="2024"/>
      </w:tblGrid>
      <w:tr>
        <w:trPr/>
        <w:tc>
          <w:tcPr>
            <w:tcW w:w="5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19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Bezprostredne </w:t>
            </w:r>
          </w:p>
          <w:p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 xml:space="preserve">predchádzajúce účtovné </w:t>
            </w:r>
          </w:p>
          <w:p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obdobie</w:t>
            </w:r>
          </w:p>
        </w:tc>
      </w:tr>
      <w:tr>
        <w:trPr>
          <w:trHeight w:val="340" w:hRule="atLeast"/>
        </w:trPr>
        <w:tc>
          <w:tcPr>
            <w:tcW w:w="50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5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50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95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50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18"/>
                <w:szCs w:val="18"/>
                <w:highlight w:val="green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195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  <w:highlight w:val="green"/>
              </w:rPr>
            </w:pPr>
            <w:r>
              <w:rPr>
                <w:rFonts w:cs="Times New Roman" w:ascii="Times New Roman" w:hAnsi="Times New Roman"/>
                <w:sz w:val="18"/>
                <w:szCs w:val="18"/>
                <w:highlight w:val="green"/>
              </w:rPr>
              <w:t>0</w:t>
            </w:r>
          </w:p>
        </w:tc>
        <w:tc>
          <w:tcPr>
            <w:tcW w:w="202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0</w:t>
            </w:r>
          </w:p>
        </w:tc>
      </w:tr>
    </w:tbl>
    <w:p>
      <w:pPr>
        <w:pStyle w:val="Normal"/>
        <w:spacing w:lineRule="auto" w:line="24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Čl. I (2) (3) Dátum schválenia účtovnej závierky a právny dôvod</w:t>
      </w:r>
    </w:p>
    <w:p>
      <w:pPr>
        <w:pStyle w:val="Normal"/>
        <w:spacing w:lineRule="auto" w:line="240"/>
        <w:rPr/>
      </w:pPr>
      <w:r>
        <w:rPr>
          <w:rFonts w:cs="Times New Roman" w:ascii="Times New Roman" w:hAnsi="Times New Roman"/>
          <w:bCs/>
          <w:sz w:val="18"/>
          <w:szCs w:val="18"/>
        </w:rPr>
        <w:t xml:space="preserve">Účtovná závierka spoločnosti k 31.12.2018  je zostavená ako riadna účtovná závierka podľa §17 zákona č. 431/2002 Z. z. o účtovníctve v znení neskorších predpisov, a to za účtovné obdobie od </w:t>
      </w:r>
      <w:r>
        <w:rPr>
          <w:rFonts w:cs="Times New Roman" w:ascii="Times New Roman" w:hAnsi="Times New Roman"/>
          <w:bCs/>
          <w:sz w:val="18"/>
          <w:szCs w:val="18"/>
        </w:rPr>
        <w:t>02.02.</w:t>
      </w:r>
      <w:r>
        <w:rPr>
          <w:rFonts w:cs="Times New Roman" w:ascii="Times New Roman" w:hAnsi="Times New Roman"/>
          <w:bCs/>
          <w:sz w:val="18"/>
          <w:szCs w:val="18"/>
        </w:rPr>
        <w:t>.2018 do 31.12.208</w:t>
      </w:r>
    </w:p>
    <w:p>
      <w:pPr>
        <w:pStyle w:val="Normal"/>
        <w:spacing w:lineRule="auto" w:line="240"/>
        <w:rPr/>
      </w:pPr>
      <w:r>
        <w:rPr>
          <w:rFonts w:cs="Times New Roman" w:ascii="Times New Roman" w:hAnsi="Times New Roman"/>
          <w:bCs/>
          <w:sz w:val="18"/>
          <w:szCs w:val="18"/>
        </w:rPr>
        <w:t xml:space="preserve">Čl. I (2) Dátum schválenia účtovnej závierky za predchádzajúce obdobie:         </w:t>
      </w:r>
    </w:p>
    <w:p>
      <w:pPr>
        <w:pStyle w:val="Normal"/>
        <w:spacing w:lineRule="auto" w:line="240"/>
        <w:rPr>
          <w:rFonts w:ascii="Times New Roman" w:hAnsi="Times New Roman" w:cs="Times New Roman"/>
          <w:bCs/>
          <w:sz w:val="18"/>
          <w:szCs w:val="18"/>
        </w:rPr>
      </w:pPr>
      <w:r>
        <w:rPr>
          <w:rFonts w:cs="Times New Roman" w:ascii="Times New Roman" w:hAnsi="Times New Roman"/>
          <w:bCs/>
          <w:sz w:val="18"/>
          <w:szCs w:val="18"/>
        </w:rPr>
        <w:t>Čl. I (3) Právny dôvod na zostavenie účtovnej závierky:</w:t>
      </w:r>
    </w:p>
    <w:p>
      <w:pPr>
        <w:pStyle w:val="Normal"/>
        <w:spacing w:lineRule="auto" w:line="240"/>
        <w:rPr>
          <w:rFonts w:ascii="Times New Roman" w:hAnsi="Times New Roman" w:cs="Times New Roman"/>
          <w:bCs/>
          <w:sz w:val="18"/>
          <w:szCs w:val="18"/>
        </w:rPr>
      </w:pPr>
      <w:r>
        <w:rPr>
          <w:rFonts w:cs="Times New Roman" w:ascii="Times New Roman" w:hAnsi="Times New Roman"/>
          <w:bCs/>
          <w:sz w:val="18"/>
          <w:szCs w:val="18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Cs/>
          <w:sz w:val="18"/>
          <w:szCs w:val="18"/>
        </w:rPr>
      </w:pPr>
      <w:r>
        <w:rPr>
          <w:rFonts w:cs="Times New Roman" w:ascii="Times New Roman" w:hAnsi="Times New Roman"/>
          <w:bCs/>
          <w:sz w:val="18"/>
          <w:szCs w:val="18"/>
        </w:rPr>
        <w:tab/>
      </w:r>
      <w:r>
        <w:rPr>
          <w:rFonts w:cs="Times New Roman" w:ascii="Times New Roman" w:hAnsi="Times New Roman"/>
          <w:bCs/>
          <w:sz w:val="18"/>
          <w:szCs w:val="18"/>
          <w:bdr w:val="single" w:sz="4" w:space="0" w:color="00000A"/>
        </w:rPr>
        <w:t xml:space="preserve">X </w:t>
      </w:r>
      <w:r>
        <w:rPr>
          <w:rFonts w:cs="Times New Roman" w:ascii="Times New Roman" w:hAnsi="Times New Roman"/>
          <w:bCs/>
          <w:sz w:val="18"/>
          <w:szCs w:val="18"/>
        </w:rPr>
        <w:t xml:space="preserve">  riadna</w:t>
        <w:tab/>
        <w:tab/>
        <w:tab/>
      </w:r>
      <w:r>
        <w:rPr>
          <w:rFonts w:cs="Times New Roman" w:ascii="Times New Roman" w:hAnsi="Times New Roman"/>
          <w:bCs/>
          <w:sz w:val="18"/>
          <w:szCs w:val="18"/>
          <w:bdr w:val="single" w:sz="4" w:space="0" w:color="00000A"/>
        </w:rPr>
        <w:t xml:space="preserve">    </w:t>
      </w:r>
      <w:r>
        <w:rPr>
          <w:rFonts w:cs="Times New Roman" w:ascii="Times New Roman" w:hAnsi="Times New Roman"/>
          <w:bCs/>
          <w:sz w:val="18"/>
          <w:szCs w:val="18"/>
        </w:rPr>
        <w:t xml:space="preserve"> mimoriadna</w:t>
        <w:tab/>
        <w:tab/>
        <w:tab/>
      </w:r>
      <w:r>
        <w:rPr>
          <w:rFonts w:cs="Times New Roman" w:ascii="Times New Roman" w:hAnsi="Times New Roman"/>
          <w:bCs/>
          <w:sz w:val="18"/>
          <w:szCs w:val="18"/>
          <w:bdr w:val="single" w:sz="4" w:space="0" w:color="00000A"/>
        </w:rPr>
        <w:t xml:space="preserve">    </w:t>
      </w:r>
      <w:r>
        <w:rPr>
          <w:rFonts w:cs="Times New Roman" w:ascii="Times New Roman" w:hAnsi="Times New Roman"/>
          <w:bCs/>
          <w:sz w:val="18"/>
          <w:szCs w:val="18"/>
        </w:rPr>
        <w:t xml:space="preserve"> priebežná</w:t>
      </w:r>
    </w:p>
    <w:p>
      <w:pPr>
        <w:pStyle w:val="Normal"/>
        <w:spacing w:lineRule="auto" w:line="240"/>
        <w:rPr>
          <w:rFonts w:ascii="Times New Roman" w:hAnsi="Times New Roman" w:cs="Times New Roman"/>
          <w:bCs/>
          <w:sz w:val="18"/>
          <w:szCs w:val="18"/>
        </w:rPr>
      </w:pPr>
      <w:r>
        <w:rPr>
          <w:rFonts w:cs="Times New Roman" w:ascii="Times New Roman" w:hAnsi="Times New Roman"/>
          <w:bCs/>
          <w:sz w:val="18"/>
          <w:szCs w:val="18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Čl. II Informácie o orgánoch spoločnosti</w:t>
      </w:r>
    </w:p>
    <w:p>
      <w:pPr>
        <w:pStyle w:val="Normal"/>
        <w:spacing w:lineRule="auto" w:line="240"/>
        <w:rPr>
          <w:rFonts w:ascii="Times New Roman" w:hAnsi="Times New Roman" w:cs="Times New Roman"/>
          <w:bCs/>
          <w:sz w:val="18"/>
          <w:szCs w:val="18"/>
        </w:rPr>
      </w:pPr>
      <w:r>
        <w:rPr>
          <w:rFonts w:cs="Times New Roman" w:ascii="Times New Roman" w:hAnsi="Times New Roman"/>
          <w:bCs/>
          <w:sz w:val="18"/>
          <w:szCs w:val="18"/>
        </w:rPr>
        <w:t>Účtovná jednotka nemá náplň pre túto položku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Čl. II a/ Výška jednotlivých druhov záruk alebo iných zabezpečení poskytnutých pre členov orgánov spoločnosti</w:t>
      </w:r>
    </w:p>
    <w:p>
      <w:pPr>
        <w:pStyle w:val="Normal"/>
        <w:spacing w:lineRule="auto" w:line="240"/>
        <w:rPr>
          <w:rFonts w:ascii="Times New Roman" w:hAnsi="Times New Roman" w:cs="Times New Roman"/>
          <w:bCs/>
          <w:sz w:val="18"/>
          <w:szCs w:val="18"/>
        </w:rPr>
      </w:pPr>
      <w:r>
        <w:rPr>
          <w:rFonts w:cs="Times New Roman" w:ascii="Times New Roman" w:hAnsi="Times New Roman"/>
          <w:bCs/>
          <w:sz w:val="18"/>
          <w:szCs w:val="18"/>
        </w:rPr>
        <w:t>Účtovná jednotka nemá náplň pre túto položku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Čl. II b/ Informácie o pôžičkách poskytnutých členom orgánov spoločnosti k poslednému dňu účtovného obdobia</w:t>
      </w:r>
    </w:p>
    <w:p>
      <w:pPr>
        <w:pStyle w:val="Normal"/>
        <w:spacing w:lineRule="auto" w:line="240"/>
        <w:rPr>
          <w:rFonts w:ascii="Times New Roman" w:hAnsi="Times New Roman" w:cs="Times New Roman"/>
          <w:bCs/>
          <w:sz w:val="18"/>
          <w:szCs w:val="18"/>
        </w:rPr>
      </w:pPr>
      <w:r>
        <w:rPr>
          <w:rFonts w:cs="Times New Roman" w:ascii="Times New Roman" w:hAnsi="Times New Roman"/>
          <w:bCs/>
          <w:sz w:val="18"/>
          <w:szCs w:val="18"/>
        </w:rPr>
        <w:t>Účtovná jednotka nemá náplň pre túto položku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Čl. II c/ Hlavné podmienky, na základe ktorých boli členom orgánov spoločnosti záruky alebo iné zabezpečenia a pôžičky poskytnuté</w:t>
      </w:r>
    </w:p>
    <w:p>
      <w:pPr>
        <w:pStyle w:val="Normal"/>
        <w:spacing w:lineRule="auto" w:line="240"/>
        <w:rPr>
          <w:rFonts w:ascii="Times New Roman" w:hAnsi="Times New Roman" w:cs="Times New Roman"/>
          <w:bCs/>
          <w:sz w:val="18"/>
          <w:szCs w:val="18"/>
        </w:rPr>
      </w:pPr>
      <w:r>
        <w:rPr>
          <w:rFonts w:cs="Times New Roman" w:ascii="Times New Roman" w:hAnsi="Times New Roman"/>
          <w:bCs/>
          <w:sz w:val="18"/>
          <w:szCs w:val="18"/>
        </w:rPr>
        <w:t>Účtovná jednotka nemá náplň pre túto položku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Čl. II d/ Informácie o celkovej sume použitých finančných prostriedkov alebo iného plnenia na súkromné účely členmi orgánov spoločnosti, ktoré je potrebné vyúčtovať</w:t>
      </w:r>
    </w:p>
    <w:p>
      <w:pPr>
        <w:pStyle w:val="Normal"/>
        <w:spacing w:lineRule="auto" w:line="240"/>
        <w:rPr>
          <w:rFonts w:ascii="Times New Roman" w:hAnsi="Times New Roman" w:cs="Times New Roman"/>
          <w:bCs/>
          <w:sz w:val="18"/>
          <w:szCs w:val="18"/>
        </w:rPr>
      </w:pPr>
      <w:r>
        <w:rPr>
          <w:rFonts w:cs="Times New Roman" w:ascii="Times New Roman" w:hAnsi="Times New Roman"/>
          <w:bCs/>
          <w:sz w:val="18"/>
          <w:szCs w:val="18"/>
        </w:rPr>
        <w:t>Účtovná jednotka nemá náplň pre túto položku</w:t>
      </w:r>
    </w:p>
    <w:p>
      <w:pPr>
        <w:pStyle w:val="Normal"/>
        <w:spacing w:lineRule="auto" w:line="240"/>
        <w:rPr>
          <w:rFonts w:ascii="Times New Roman" w:hAnsi="Times New Roman" w:cs="Times New Roman"/>
          <w:bCs/>
          <w:sz w:val="18"/>
          <w:szCs w:val="18"/>
        </w:rPr>
      </w:pPr>
      <w:r>
        <w:rPr>
          <w:rFonts w:cs="Times New Roman" w:ascii="Times New Roman" w:hAnsi="Times New Roman"/>
          <w:bCs/>
          <w:sz w:val="18"/>
          <w:szCs w:val="18"/>
        </w:rPr>
      </w:r>
    </w:p>
    <w:p>
      <w:pPr>
        <w:pStyle w:val="Nadpis5"/>
        <w:rPr>
          <w:rFonts w:ascii="Times New Roman" w:hAnsi="Times New Roman" w:cs="Times New Roman"/>
          <w:i w:val="false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 xml:space="preserve">Čl. III Informácie o prijatých postupoch 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rFonts w:cs="Times New Roman" w:ascii="Times New Roman" w:hAnsi="Times New Roman"/>
          <w:b/>
          <w:sz w:val="20"/>
          <w:szCs w:val="20"/>
        </w:rPr>
        <w:t>Čl. III (1) Nepretržité pokračovanie účtovnej jednotky</w:t>
      </w:r>
    </w:p>
    <w:p>
      <w:pPr>
        <w:pStyle w:val="Normal"/>
        <w:widowControl w:val="false"/>
        <w:ind w:left="708" w:hanging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Čl. III (1) Účtovná jednotka bude nepretržite pokračovať vo svojej činnosti </w:t>
      </w:r>
    </w:p>
    <w:p>
      <w:pPr>
        <w:pStyle w:val="Normal"/>
        <w:widowControl w:val="false"/>
        <w:ind w:left="708" w:hanging="0"/>
        <w:rPr>
          <w:rFonts w:ascii="Times New Roman" w:hAnsi="Times New Roman" w:cs="Times New Roman"/>
          <w:bCs/>
          <w:sz w:val="18"/>
          <w:szCs w:val="18"/>
        </w:rPr>
      </w:pPr>
      <w:r>
        <w:rPr>
          <w:rFonts w:cs="Times New Roman" w:ascii="Times New Roman" w:hAnsi="Times New Roman"/>
          <w:bCs/>
          <w:sz w:val="18"/>
          <w:szCs w:val="18"/>
          <w:bdr w:val="single" w:sz="4" w:space="0" w:color="00000A"/>
        </w:rPr>
        <w:t xml:space="preserve"> </w:t>
      </w:r>
      <w:r>
        <w:rPr>
          <w:rFonts w:cs="Times New Roman" w:ascii="Times New Roman" w:hAnsi="Times New Roman"/>
          <w:bCs/>
          <w:sz w:val="18"/>
          <w:szCs w:val="18"/>
          <w:bdr w:val="single" w:sz="4" w:space="0" w:color="00000A"/>
        </w:rPr>
        <w:t xml:space="preserve">X </w:t>
      </w:r>
      <w:r>
        <w:rPr>
          <w:rFonts w:cs="Times New Roman" w:ascii="Times New Roman" w:hAnsi="Times New Roman"/>
          <w:bCs/>
          <w:sz w:val="18"/>
          <w:szCs w:val="18"/>
        </w:rPr>
        <w:t xml:space="preserve"> ÁNO</w:t>
      </w:r>
      <w:r>
        <w:rPr>
          <w:rFonts w:cs="Times New Roman" w:ascii="Times New Roman" w:hAnsi="Times New Roman"/>
          <w:sz w:val="20"/>
          <w:szCs w:val="20"/>
        </w:rPr>
        <w:tab/>
        <w:tab/>
        <w:tab/>
      </w:r>
      <w:r>
        <w:rPr>
          <w:rFonts w:cs="Times New Roman" w:ascii="Times New Roman" w:hAnsi="Times New Roman"/>
          <w:bCs/>
          <w:sz w:val="18"/>
          <w:szCs w:val="18"/>
          <w:bdr w:val="single" w:sz="4" w:space="0" w:color="00000A"/>
        </w:rPr>
        <w:t xml:space="preserve">    </w:t>
      </w:r>
      <w:r>
        <w:rPr>
          <w:rFonts w:cs="Times New Roman" w:ascii="Times New Roman" w:hAnsi="Times New Roman"/>
          <w:bCs/>
          <w:sz w:val="18"/>
          <w:szCs w:val="18"/>
        </w:rPr>
        <w:t xml:space="preserve"> NIE</w:t>
      </w:r>
    </w:p>
    <w:p>
      <w:pPr>
        <w:pStyle w:val="Nadpis5"/>
        <w:rPr>
          <w:rFonts w:ascii="Times New Roman" w:hAnsi="Times New Roman" w:cs="Times New Roman"/>
          <w:i w:val="false"/>
          <w:i w:val="false"/>
          <w:sz w:val="18"/>
          <w:szCs w:val="18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>Čl. III (2) Účtovné zásady a metódy, zmeny účtovných zásad a metód</w:t>
      </w:r>
    </w:p>
    <w:p>
      <w:pPr>
        <w:pStyle w:val="Normal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Účtovné metódy a všeobecné zásady boli počas účtovného obdobia dodržané.</w:t>
      </w:r>
    </w:p>
    <w:p>
      <w:pPr>
        <w:pStyle w:val="Normal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Čl. III (2) Aplikované účtovné zásady a metódy, ktoré sú dôležité na posúdenie majetku, záväzkov, finančnej situácie, výsledku hospodárenia a zmeny zásad a metód</w:t>
      </w:r>
    </w:p>
    <w:p>
      <w:pPr>
        <w:pStyle w:val="Normal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tbl>
      <w:tblPr>
        <w:tblStyle w:val="Mriekatabuky"/>
        <w:tblW w:w="906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818"/>
        <w:gridCol w:w="1810"/>
        <w:gridCol w:w="1809"/>
        <w:gridCol w:w="1815"/>
      </w:tblGrid>
      <w:tr>
        <w:trPr/>
        <w:tc>
          <w:tcPr>
            <w:tcW w:w="18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Položka súvahy</w:t>
            </w:r>
          </w:p>
        </w:tc>
        <w:tc>
          <w:tcPr>
            <w:tcW w:w="18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Aplikované zásady a metódy</w:t>
            </w:r>
          </w:p>
        </w:tc>
        <w:tc>
          <w:tcPr>
            <w:tcW w:w="18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Druh zmeny zásady alebo metódy</w:t>
            </w:r>
          </w:p>
        </w:tc>
        <w:tc>
          <w:tcPr>
            <w:tcW w:w="18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Dôvod zmeny</w:t>
            </w:r>
          </w:p>
        </w:tc>
        <w:tc>
          <w:tcPr>
            <w:tcW w:w="18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Hodnota vplyvu na prísl. Položku súvahy</w:t>
            </w:r>
          </w:p>
        </w:tc>
      </w:tr>
    </w:tbl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III /3/ Transakcie, ktoré sa neuvádzajú v súvahe a ich finančný vplyv</w:t>
      </w:r>
    </w:p>
    <w:p>
      <w:pPr>
        <w:pStyle w:val="Normal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Čl. III /3/ Informácie o transakciách, ktoré sa neuvádzajú v súvahe ich finančný vplyv</w:t>
      </w:r>
    </w:p>
    <w:tbl>
      <w:tblPr>
        <w:tblStyle w:val="Mriekatabuky"/>
        <w:tblW w:w="906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268"/>
        <w:gridCol w:w="2264"/>
        <w:gridCol w:w="2265"/>
        <w:gridCol w:w="2264"/>
      </w:tblGrid>
      <w:tr>
        <w:trPr/>
        <w:tc>
          <w:tcPr>
            <w:tcW w:w="22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Transakcia</w:t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Charakter transakcie</w:t>
            </w:r>
          </w:p>
        </w:tc>
        <w:tc>
          <w:tcPr>
            <w:tcW w:w="22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Účel transakcie</w:t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Finančný vplyv</w:t>
            </w:r>
          </w:p>
        </w:tc>
      </w:tr>
    </w:tbl>
    <w:p>
      <w:pPr>
        <w:pStyle w:val="Normal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adpis5"/>
        <w:rPr>
          <w:rFonts w:ascii="Times New Roman" w:hAnsi="Times New Roman" w:cs="Times New Roman"/>
          <w:i w:val="false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>Čl. III (4) Spôsob a určenie ocenenia majetku a záväzkov</w:t>
      </w:r>
    </w:p>
    <w:p>
      <w:pPr>
        <w:pStyle w:val="Normal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Menovitou hodnotou</w:t>
      </w:r>
    </w:p>
    <w:p>
      <w:pPr>
        <w:pStyle w:val="Normal"/>
        <w:rPr/>
      </w:pPr>
      <w:r>
        <w:rPr/>
      </w:r>
    </w:p>
    <w:p>
      <w:pPr>
        <w:pStyle w:val="Nadpis5"/>
        <w:rPr>
          <w:rFonts w:ascii="Times New Roman" w:hAnsi="Times New Roman" w:cs="Times New Roman"/>
          <w:i w:val="false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>Čl. III (4) a) Spôsob oceňovania majetku a záväzkov – obstarávacia cena, vlastné náklady, menovitá hodnota</w:t>
      </w:r>
    </w:p>
    <w:p>
      <w:pPr>
        <w:pStyle w:val="Nadpis5"/>
        <w:rPr>
          <w:rFonts w:ascii="Times New Roman" w:hAnsi="Times New Roman" w:cs="Times New Roman"/>
          <w:b w:val="false"/>
          <w:b w:val="false"/>
          <w:i w:val="false"/>
          <w:i w:val="false"/>
          <w:sz w:val="16"/>
          <w:szCs w:val="16"/>
        </w:rPr>
      </w:pPr>
      <w:r>
        <w:rPr>
          <w:rFonts w:cs="Times New Roman" w:ascii="Times New Roman" w:hAnsi="Times New Roman"/>
          <w:b w:val="false"/>
          <w:i w:val="false"/>
          <w:sz w:val="16"/>
          <w:szCs w:val="16"/>
        </w:rPr>
        <w:t>Čl. III (4) a) Spôsob oceňovania majetku a záväzkov – obstarávacia cena, vlastné náklady, menovitá hodnota</w:t>
      </w:r>
    </w:p>
    <w:p>
      <w:pPr>
        <w:pStyle w:val="Normal"/>
        <w:rPr/>
      </w:pPr>
      <w:r>
        <w:rPr/>
      </w:r>
    </w:p>
    <w:tbl>
      <w:tblPr>
        <w:tblW w:w="9087" w:type="dxa"/>
        <w:jc w:val="left"/>
        <w:tblInd w:w="5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251"/>
        <w:gridCol w:w="994"/>
        <w:gridCol w:w="1842"/>
      </w:tblGrid>
      <w:tr>
        <w:trPr>
          <w:trHeight w:val="390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Ocenenie majetku a záväzkov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ÚJ má náplň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Poznámka k oceneniu</w:t>
            </w:r>
          </w:p>
        </w:tc>
      </w:tr>
      <w:tr>
        <w:trPr>
          <w:trHeight w:val="37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Obstarávacou cenou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1. Hmotný majetok s výnimkou hmotného majetku vytvoreného vlastnou činnosťou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Obstarávacia cena</w:t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2. Zásoby s výnimkou zásob vytvorených vlastnou činnosťou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 xml:space="preserve">X 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Obstarávacia cena</w:t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3. Podiely na základnom imaní obchodných spoločností, deriváty a cenné papiere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4. Pohľadávky pri odplatnom nadobudnutí alebo pohľadávky nadobudnuté vkladom do ZI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5. Nehmotný majetok s výnimkou nehmotného majetku vytvoreného vlastnou činnosťou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Obstarávacia cena</w:t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6. Záväzky pri ich prevzatí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Vlastnými nákladmi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1. Hmotný majetok vytvorený vlastnou činnosťou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2. Zásoby vytvorené vlastnou činnosťou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Vlastnými nákladmi</w:t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3. Nehmotný majetok vytvorený vlastnou činnosťou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4. Príchovky a prírastky zvierat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Menovitou  hodnotou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1. Peňažné prostriedky a ceniny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Menovitá hodnota</w:t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2. Pohľadávky pri ich vzniku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Menovitá hodnota</w:t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3. Záväzky pri ich vzniku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Menovitá hodnota</w:t>
            </w:r>
          </w:p>
        </w:tc>
      </w:tr>
    </w:tbl>
    <w:p>
      <w:pPr>
        <w:pStyle w:val="Nadpis5"/>
        <w:rPr>
          <w:rFonts w:ascii="Times New Roman" w:hAnsi="Times New Roman" w:cs="Times New Roman"/>
          <w:i w:val="false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>Čl. III (4) a) Spôsob oceňovania majetku a záväzkov – reálna hodnota, hodnota zistená metódou vlastného imania, iné</w:t>
      </w:r>
    </w:p>
    <w:p>
      <w:pPr>
        <w:pStyle w:val="Normal"/>
        <w:rPr/>
      </w:pPr>
      <w:r>
        <w:rPr/>
      </w:r>
    </w:p>
    <w:p>
      <w:pPr>
        <w:pStyle w:val="Nadpis5"/>
        <w:rPr>
          <w:rFonts w:ascii="Times New Roman" w:hAnsi="Times New Roman" w:cs="Times New Roman"/>
          <w:b w:val="false"/>
          <w:b w:val="false"/>
          <w:i w:val="false"/>
          <w:i w:val="false"/>
          <w:sz w:val="16"/>
          <w:szCs w:val="16"/>
        </w:rPr>
      </w:pPr>
      <w:r>
        <w:rPr>
          <w:rFonts w:cs="Times New Roman" w:ascii="Times New Roman" w:hAnsi="Times New Roman"/>
          <w:b w:val="false"/>
          <w:i w:val="false"/>
          <w:sz w:val="16"/>
          <w:szCs w:val="16"/>
        </w:rPr>
        <w:t>Čl. III (4) a) Spôsob oceňovania majetku a záväzkov – reálna hodnota, hodnota zistená metódou vlastného imania, iné</w:t>
      </w:r>
    </w:p>
    <w:tbl>
      <w:tblPr>
        <w:tblW w:w="9087" w:type="dxa"/>
        <w:jc w:val="left"/>
        <w:tblInd w:w="5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251"/>
        <w:gridCol w:w="994"/>
        <w:gridCol w:w="1842"/>
      </w:tblGrid>
      <w:tr>
        <w:trPr>
          <w:trHeight w:val="390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Ocenenie majetku a záväzkov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ÚJ má náplň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Poznámka k oceneniu</w:t>
            </w:r>
          </w:p>
        </w:tc>
      </w:tr>
      <w:tr>
        <w:trPr>
          <w:trHeight w:val="37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Reálnou hodnotou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1. Majetok a záväzky nadobudnuté kúpou podniku alebo jeho časti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2. Majetok a záväzky nadobudnuté vkladom podniku alebo jeho časti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3. Záväzky nadobudnuté zámenou s výnimkou ÚJ účtujúcej v jednoduchom účtovníctve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4. Cenné papiera a deriváty a podiely na základnom  imaní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5. Drahé kovy v majetku fondu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Iné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1. Prenajatý majetok a majetok obstaraný na základe zmluvy o kúpe prenajatej veci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</w:tr>
      <w:tr>
        <w:trPr>
          <w:trHeight w:val="405" w:hRule="atLeast"/>
        </w:trPr>
        <w:tc>
          <w:tcPr>
            <w:tcW w:w="6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2. Daň z príjmov - splatná</w:t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Menovitá hodnota</w:t>
            </w:r>
          </w:p>
        </w:tc>
      </w:tr>
    </w:tbl>
    <w:p>
      <w:pPr>
        <w:pStyle w:val="Nadpis5"/>
        <w:rPr>
          <w:rFonts w:ascii="Times New Roman" w:hAnsi="Times New Roman" w:cs="Times New Roman"/>
          <w:b w:val="false"/>
          <w:b w:val="false"/>
          <w:i w:val="false"/>
          <w:i w:val="false"/>
          <w:sz w:val="20"/>
          <w:szCs w:val="20"/>
        </w:rPr>
      </w:pPr>
      <w:r>
        <w:rPr>
          <w:rFonts w:cs="Times New Roman" w:ascii="Times New Roman" w:hAnsi="Times New Roman"/>
          <w:b w:val="false"/>
          <w:i w:val="false"/>
          <w:sz w:val="20"/>
          <w:szCs w:val="20"/>
        </w:rPr>
      </w:r>
    </w:p>
    <w:p>
      <w:pPr>
        <w:pStyle w:val="Nadpis5"/>
        <w:rPr>
          <w:rFonts w:ascii="Times New Roman" w:hAnsi="Times New Roman" w:cs="Times New Roman"/>
          <w:i w:val="false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>Čl. III (4) a) Spôsob oceňovania majetku a záväzkov – vážený aritmetický priemer, FIFO metóda</w:t>
      </w:r>
    </w:p>
    <w:p>
      <w:pPr>
        <w:pStyle w:val="Normal"/>
        <w:rPr/>
      </w:pPr>
      <w:r>
        <w:rPr/>
      </w:r>
    </w:p>
    <w:p>
      <w:pPr>
        <w:pStyle w:val="Nadpis5"/>
        <w:rPr>
          <w:rFonts w:ascii="Times New Roman" w:hAnsi="Times New Roman" w:cs="Times New Roman"/>
          <w:b w:val="false"/>
          <w:b w:val="false"/>
          <w:i w:val="false"/>
          <w:i w:val="false"/>
          <w:sz w:val="16"/>
          <w:szCs w:val="16"/>
        </w:rPr>
      </w:pPr>
      <w:r>
        <w:rPr>
          <w:rFonts w:cs="Times New Roman" w:ascii="Times New Roman" w:hAnsi="Times New Roman"/>
          <w:b w:val="false"/>
          <w:i w:val="false"/>
          <w:sz w:val="16"/>
          <w:szCs w:val="16"/>
        </w:rPr>
        <w:t xml:space="preserve">Čl. III (4) a) Spôsob oceňovania majetku a záväzkov – vážený aritmetický priemer, </w:t>
      </w:r>
    </w:p>
    <w:p>
      <w:pPr>
        <w:pStyle w:val="Normal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widowControl w:val="false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    </w:t>
      </w:r>
      <w:r>
        <w:rPr>
          <w:rFonts w:cs="Times New Roman" w:ascii="Times New Roman" w:hAnsi="Times New Roman"/>
          <w:sz w:val="18"/>
          <w:szCs w:val="18"/>
        </w:rPr>
        <w:t xml:space="preserve">Pri účtovaní zásob postupovala účtovná jednotka podľa postupov účtovania v PÚ :                         </w:t>
      </w:r>
    </w:p>
    <w:tbl>
      <w:tblPr>
        <w:tblW w:w="8262" w:type="dxa"/>
        <w:jc w:val="left"/>
        <w:tblInd w:w="5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99"/>
        <w:gridCol w:w="3726"/>
        <w:gridCol w:w="425"/>
        <w:gridCol w:w="3711"/>
      </w:tblGrid>
      <w:tr>
        <w:trPr>
          <w:trHeight w:val="255" w:hRule="atLeast"/>
        </w:trPr>
        <w:tc>
          <w:tcPr>
            <w:tcW w:w="3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Times New Roman" w:hAnsi="Times New Roman" w:cs="Times New Roman"/>
                <w:b/>
                <w:b/>
                <w:bCs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7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Spôsobom  A účtovania zásob</w:t>
            </w:r>
          </w:p>
        </w:tc>
        <w:tc>
          <w:tcPr>
            <w:tcW w:w="42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 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371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Spôsobom B účtovania zásob</w:t>
            </w:r>
          </w:p>
        </w:tc>
      </w:tr>
    </w:tbl>
    <w:p>
      <w:pPr>
        <w:pStyle w:val="Normal"/>
        <w:widowControl w:val="false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    </w:t>
      </w:r>
    </w:p>
    <w:p>
      <w:pPr>
        <w:pStyle w:val="Normal"/>
        <w:widowControl w:val="false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Úbytok zásob rovnakého druhu účtovná jednotka oceňovala:</w:t>
      </w:r>
    </w:p>
    <w:tbl>
      <w:tblPr>
        <w:tblW w:w="8237" w:type="dxa"/>
        <w:jc w:val="left"/>
        <w:tblInd w:w="5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00"/>
        <w:gridCol w:w="7836"/>
      </w:tblGrid>
      <w:tr>
        <w:trPr>
          <w:trHeight w:val="330" w:hRule="atLeast"/>
        </w:trPr>
        <w:tc>
          <w:tcPr>
            <w:tcW w:w="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 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X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783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 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>Váženým aritmetickým priemerom z obstarávacích cien alebo vlastných nákladov</w:t>
            </w:r>
          </w:p>
        </w:tc>
      </w:tr>
      <w:tr>
        <w:trPr>
          <w:trHeight w:val="300" w:hRule="atLeast"/>
        </w:trPr>
        <w:tc>
          <w:tcPr>
            <w:tcW w:w="4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Times New Roman" w:hAnsi="Times New Roman" w:cs="Times New Roman"/>
                <w:b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783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 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>Metódou FIFO (1. Cena na ocenenie prírastku zásob sa použila ako 1. Cena na ocenenie úbytku zásob)</w:t>
            </w:r>
          </w:p>
        </w:tc>
      </w:tr>
      <w:tr>
        <w:trPr>
          <w:trHeight w:val="375" w:hRule="atLeast"/>
        </w:trPr>
        <w:tc>
          <w:tcPr>
            <w:tcW w:w="4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783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 </w:t>
            </w:r>
            <w:r>
              <w:rPr>
                <w:rFonts w:cs="Times New Roman" w:ascii="Times New Roman" w:hAnsi="Times New Roman"/>
                <w:sz w:val="18"/>
                <w:szCs w:val="18"/>
              </w:rPr>
              <w:t>Iným spôsobom:</w:t>
            </w:r>
          </w:p>
        </w:tc>
      </w:tr>
    </w:tbl>
    <w:p>
      <w:pPr>
        <w:pStyle w:val="Normal"/>
        <w:widowControl w:val="false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widowControl w:val="false"/>
        <w:spacing w:lineRule="auto" w:line="24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Náklady súvisiace s obstaraním zásob:</w:t>
      </w:r>
    </w:p>
    <w:p>
      <w:pPr>
        <w:pStyle w:val="Normal"/>
        <w:widowControl w:val="false"/>
        <w:spacing w:lineRule="auto" w:line="24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obstarávacia cena zásob sa v analytickej evidencii rozdelila na cenu obstarania a náklady  súvisiace s obstaraním /Postupy účtovania ÚT 1. čl. IV. ods. 3/. Pri vyskladnení sa tieto náklady  zahrnuli do nákladov predaného tovaru /501, 504/ záväzne stanoveným spôsobom určeným účtovnou jednotkou takto:</w:t>
      </w:r>
    </w:p>
    <w:p>
      <w:pPr>
        <w:pStyle w:val="Normal"/>
        <w:widowControl w:val="false"/>
        <w:spacing w:lineRule="auto" w:line="24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Váženým aritmetickým priemerom z obstarávacích cien alebo vlastných nákladov</w:t>
      </w:r>
    </w:p>
    <w:p>
      <w:pPr>
        <w:pStyle w:val="Normal"/>
        <w:widowControl w:val="false"/>
        <w:spacing w:lineRule="auto" w:line="240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III /4/ b/ Odhad zníženia hodnoty majetku, tvorba opravnej položky</w:t>
      </w:r>
    </w:p>
    <w:p>
      <w:pPr>
        <w:pStyle w:val="Normal"/>
        <w:widowControl w:val="false"/>
        <w:spacing w:lineRule="auto" w:line="24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Čl. III /4/ b/ odhad zníženia hodnoty majetku, tvorba opravnej položky</w:t>
      </w:r>
    </w:p>
    <w:tbl>
      <w:tblPr>
        <w:tblStyle w:val="Mriekatabuky"/>
        <w:tblW w:w="906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510"/>
        <w:gridCol w:w="1513"/>
        <w:gridCol w:w="1503"/>
        <w:gridCol w:w="1509"/>
        <w:gridCol w:w="1519"/>
        <w:gridCol w:w="1507"/>
      </w:tblGrid>
      <w:tr>
        <w:trPr/>
        <w:tc>
          <w:tcPr>
            <w:tcW w:w="1510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Druh majetku</w:t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Odhad zníženia</w:t>
            </w:r>
          </w:p>
        </w:tc>
        <w:tc>
          <w:tcPr>
            <w:tcW w:w="150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Stav OP na zač.</w:t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Tvorba OP</w:t>
            </w:r>
          </w:p>
        </w:tc>
        <w:tc>
          <w:tcPr>
            <w:tcW w:w="1519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Zúčtovanie OP</w:t>
            </w:r>
          </w:p>
        </w:tc>
        <w:tc>
          <w:tcPr>
            <w:tcW w:w="1507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Stav OP na konci</w:t>
            </w:r>
          </w:p>
        </w:tc>
      </w:tr>
    </w:tbl>
    <w:p>
      <w:pPr>
        <w:pStyle w:val="Normal"/>
        <w:widowControl w:val="false"/>
        <w:spacing w:lineRule="auto" w:line="24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III (4) (c) Určenie ocenenia záväzkov,  odhad ocenenia rezerv</w:t>
      </w:r>
    </w:p>
    <w:p>
      <w:pPr>
        <w:pStyle w:val="Normal"/>
        <w:widowControl w:val="false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Čl. III (4) (c) Určenie ocenenia záväzkov,  odhad ocenenia rezerv</w:t>
      </w:r>
    </w:p>
    <w:p>
      <w:pPr>
        <w:pStyle w:val="Normal"/>
        <w:widowControl w:val="false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Spôsob ocenenia – záväzky vrátane rezerv, dlhopisov, pôžičiek a úverov – menovitou hodnotou pri ich vzniku. V roku 2018 sú tvorené krátkodobé rezervy na nevyčerpané dovolenky a rezerva na služby a nevykonané práce.</w:t>
      </w:r>
    </w:p>
    <w:p>
      <w:pPr>
        <w:pStyle w:val="Normal"/>
        <w:widowControl w:val="false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III (4) g) Tvorba odpisového plánu</w:t>
      </w:r>
    </w:p>
    <w:p>
      <w:pPr>
        <w:pStyle w:val="Normal"/>
        <w:widowControl w:val="false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Čl. III (4) g) Tvorba odpisového plánu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8"/>
          <w:szCs w:val="18"/>
          <w:bdr w:val="single" w:sz="4" w:space="0" w:color="00000A"/>
        </w:rPr>
        <w:t xml:space="preserve">     </w:t>
      </w:r>
      <w:r>
        <w:rPr>
          <w:rFonts w:cs="Times New Roman" w:ascii="Times New Roman" w:hAnsi="Times New Roman"/>
          <w:sz w:val="18"/>
          <w:szCs w:val="18"/>
        </w:rPr>
        <w:t xml:space="preserve"> </w:t>
      </w:r>
      <w:r>
        <w:rPr>
          <w:rFonts w:cs="Times New Roman" w:ascii="Times New Roman" w:hAnsi="Times New Roman"/>
          <w:sz w:val="18"/>
          <w:szCs w:val="18"/>
        </w:rPr>
        <w:t>Dlhodobý nehmotný majetok</w:t>
        <w:tab/>
      </w:r>
      <w:r>
        <w:rPr>
          <w:rFonts w:cs="Times New Roman" w:ascii="Times New Roman" w:hAnsi="Times New Roman"/>
          <w:sz w:val="16"/>
          <w:szCs w:val="16"/>
        </w:rPr>
        <w:t xml:space="preserve">odpisový plán  účtovných odpisov vychádzal z požiadavky zákona č. 431/2002 o účtovníctve. </w:t>
        <w:tab/>
        <w:tab/>
        <w:tab/>
        <w:tab/>
        <w:t xml:space="preserve">Majetok sa odpisoval počas predpokladanej doby používania zodpovedajúcej spotrebe budúcich </w:t>
        <w:tab/>
        <w:tab/>
        <w:tab/>
        <w:tab/>
        <w:t xml:space="preserve">ekonomických úžitkov z majetku. Odpisové sadzby pre účtovné a daňové odpisy dlhodobého </w:t>
        <w:tab/>
        <w:tab/>
        <w:tab/>
        <w:tab/>
        <w:t>nehmotného majetku sa rovnajú.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8"/>
          <w:szCs w:val="18"/>
          <w:bdr w:val="single" w:sz="4" w:space="0" w:color="00000A"/>
        </w:rPr>
        <w:t xml:space="preserve">  </w:t>
      </w:r>
      <w:r>
        <w:rPr>
          <w:rFonts w:cs="Times New Roman" w:ascii="Times New Roman" w:hAnsi="Times New Roman"/>
          <w:sz w:val="18"/>
          <w:szCs w:val="18"/>
        </w:rPr>
        <w:t xml:space="preserve"> </w:t>
      </w:r>
      <w:r>
        <w:rPr>
          <w:rFonts w:cs="Times New Roman" w:ascii="Times New Roman" w:hAnsi="Times New Roman"/>
          <w:sz w:val="18"/>
          <w:szCs w:val="18"/>
        </w:rPr>
        <w:t>Dlhodobý hmotný majetok</w:t>
        <w:tab/>
      </w:r>
      <w:r>
        <w:rPr>
          <w:rFonts w:cs="Times New Roman" w:ascii="Times New Roman" w:hAnsi="Times New Roman"/>
          <w:sz w:val="16"/>
          <w:szCs w:val="16"/>
        </w:rPr>
        <w:t xml:space="preserve">odpisový plán účtovných odpisov sa zostavil interným predpisom, v ktorom sa vychádzalo </w:t>
        <w:tab/>
        <w:tab/>
        <w:tab/>
        <w:tab/>
        <w:t xml:space="preserve">z predpokladaného opotrebenia zaraďovaného majetku zodpovedajúceho bežným podmienkam </w:t>
        <w:tab/>
        <w:tab/>
        <w:tab/>
        <w:tab/>
        <w:t>jeho používania. Účtovné a daňové odpisy sa nerovnajú.</w:t>
        <w:tab/>
        <w:tab/>
        <w:tab/>
      </w:r>
    </w:p>
    <w:p>
      <w:pPr>
        <w:pStyle w:val="Normal"/>
        <w:widowControl w:val="false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Odpisový plán bol ovplyvnený týmito skutočnosťami: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Spôsob zostavenia odpisového plánu pre jednotlivé druhy dlhodobého hmotného a nehmotného majetku</w:t>
      </w:r>
    </w:p>
    <w:tbl>
      <w:tblPr>
        <w:tblW w:w="9365" w:type="dxa"/>
        <w:jc w:val="left"/>
        <w:tblInd w:w="5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759"/>
        <w:gridCol w:w="2061"/>
        <w:gridCol w:w="2039"/>
        <w:gridCol w:w="2505"/>
      </w:tblGrid>
      <w:tr>
        <w:trPr>
          <w:trHeight w:val="255" w:hRule="atLeast"/>
        </w:trPr>
        <w:tc>
          <w:tcPr>
            <w:tcW w:w="27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Druh majetku</w:t>
            </w:r>
          </w:p>
        </w:tc>
        <w:tc>
          <w:tcPr>
            <w:tcW w:w="206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Doba odpisovania</w:t>
            </w:r>
          </w:p>
        </w:tc>
        <w:tc>
          <w:tcPr>
            <w:tcW w:w="2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 xml:space="preserve">Sadzba odpisov </w:t>
            </w:r>
          </w:p>
        </w:tc>
        <w:tc>
          <w:tcPr>
            <w:tcW w:w="250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Odpisová metóda</w:t>
            </w:r>
          </w:p>
        </w:tc>
      </w:tr>
      <w:tr>
        <w:trPr>
          <w:trHeight w:val="255" w:hRule="atLeast"/>
        </w:trPr>
        <w:tc>
          <w:tcPr>
            <w:tcW w:w="275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Dopravné prostriedky</w:t>
            </w:r>
          </w:p>
        </w:tc>
        <w:tc>
          <w:tcPr>
            <w:tcW w:w="206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Podľa zák.o DzP</w:t>
            </w:r>
          </w:p>
        </w:tc>
        <w:tc>
          <w:tcPr>
            <w:tcW w:w="203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Podľa JKP</w:t>
            </w:r>
          </w:p>
        </w:tc>
        <w:tc>
          <w:tcPr>
            <w:tcW w:w="250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Lineárna/rovnomerná</w:t>
            </w:r>
          </w:p>
        </w:tc>
      </w:tr>
      <w:tr>
        <w:trPr>
          <w:trHeight w:val="255" w:hRule="atLeast"/>
        </w:trPr>
        <w:tc>
          <w:tcPr>
            <w:tcW w:w="275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Kancelárska technika</w:t>
            </w:r>
          </w:p>
        </w:tc>
        <w:tc>
          <w:tcPr>
            <w:tcW w:w="206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Podľa zák.o DzP</w:t>
            </w:r>
          </w:p>
        </w:tc>
        <w:tc>
          <w:tcPr>
            <w:tcW w:w="203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250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Lineárna/rovnomerná</w:t>
            </w:r>
          </w:p>
        </w:tc>
      </w:tr>
      <w:tr>
        <w:trPr>
          <w:trHeight w:val="255" w:hRule="atLeast"/>
        </w:trPr>
        <w:tc>
          <w:tcPr>
            <w:tcW w:w="275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Stroje a prístroje</w:t>
            </w:r>
          </w:p>
        </w:tc>
        <w:tc>
          <w:tcPr>
            <w:tcW w:w="206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Podľa zák.o DzP</w:t>
            </w:r>
          </w:p>
        </w:tc>
        <w:tc>
          <w:tcPr>
            <w:tcW w:w="203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250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Lineárna/rovnomerná</w:t>
            </w:r>
          </w:p>
        </w:tc>
      </w:tr>
      <w:tr>
        <w:trPr>
          <w:trHeight w:val="255" w:hRule="atLeast"/>
        </w:trPr>
        <w:tc>
          <w:tcPr>
            <w:tcW w:w="275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 </w:t>
            </w:r>
            <w:r>
              <w:rPr>
                <w:rFonts w:cs="Times New Roman" w:ascii="Times New Roman" w:hAnsi="Times New Roman"/>
                <w:sz w:val="16"/>
                <w:szCs w:val="16"/>
              </w:rPr>
              <w:t>Majetok na leasing</w:t>
            </w:r>
          </w:p>
        </w:tc>
        <w:tc>
          <w:tcPr>
            <w:tcW w:w="206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Podľa zák.o DzP</w:t>
            </w:r>
          </w:p>
        </w:tc>
        <w:tc>
          <w:tcPr>
            <w:tcW w:w="203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250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Lineárna/rovnomerná</w:t>
            </w:r>
          </w:p>
        </w:tc>
      </w:tr>
    </w:tbl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 xml:space="preserve"> 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III /4/ h/ Poskytnuté dotácie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Čl. III /4/ h/ poskytnuté dotácie, vrátane dotácií na obstaranie majetku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III /5/ Oprava významných chýba minulých účtovných období účtovaných v bežnom období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III /5/ Oprava nevýznamných chýba minulých účtovných období účtovaných v bežnom období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IV Informácie, ktoré vysvetľujú a dopĺňajú súvahu a výkaz ziskov a strát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IV /1/ Charakteristika goodwillu alebo záporného goodwillu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IV /2/ Informácie o majetku a záväzkoch zabezpečených derivátmi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IV /3/ a/ Informácie o záväzkoch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IV /3/ a/ Celková suma záväzkov so zostatkovou dobou splatnosti dlhšou ako päť rokov</w:t>
      </w:r>
    </w:p>
    <w:tbl>
      <w:tblPr>
        <w:tblStyle w:val="Mriekatabuky"/>
        <w:tblW w:w="906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302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Hodnota /BO/</w:t>
            </w:r>
          </w:p>
        </w:tc>
        <w:tc>
          <w:tcPr>
            <w:tcW w:w="302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Hodnota /PO/</w:t>
            </w:r>
          </w:p>
        </w:tc>
      </w:tr>
    </w:tbl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IV /3/ b/ Informácie o zabezpečených záväzkoch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Čl. IV /5/ Informácie o vytvorení kapitálového fondu z príspevkov 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IV /6/ Informácia o sume a dôvodoch vzniku položiek nákladov a výnosov, ktoré majú výnimočný rozsah alebo výskyt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V Informácie o iných aktívach a iných pasívach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V /1/ Informácie k iným aktívam a iným pasívam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V /1/ a/ Opis a hodnota podmieneného majetku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V /1/ b/ Opis a hodnota podmieneného záväzku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V /2/ Významné položky ostatných finančných povinností nevykázaných v súvahe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V (3) Informácie k údajom sledovaných na podsúvahových účtoch</w:t>
      </w:r>
    </w:p>
    <w:p>
      <w:pPr>
        <w:pStyle w:val="Normal"/>
        <w:widowControl w:val="false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Čl. V (3) Informácie k údajom sledovaným na podsúvahových účtoch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Účtovná jednotka nemá náplň pre túto položku</w:t>
      </w:r>
    </w:p>
    <w:p>
      <w:pPr>
        <w:pStyle w:val="Normal"/>
        <w:widowControl w:val="false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widowControl w:val="false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VI Informácie, ktoré nastali po dni, ku ktorému sa zostavuje účtovná závierka do dňa zostavenia účtovnej závierky</w:t>
      </w:r>
    </w:p>
    <w:p>
      <w:pPr>
        <w:pStyle w:val="Normal"/>
        <w:widowControl w:val="false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Po dni, ku ktorému sa zostavila účtovná závierka, nenastali žiadne významné skutočnosti.</w:t>
      </w:r>
    </w:p>
    <w:p>
      <w:pPr>
        <w:pStyle w:val="Normal"/>
        <w:widowControl w:val="false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Čl. VI Informácie, ktoré nastali po dni, ku ktorému sa zostavuje účtovná závierka do dňa zostavenia účtovnej závierky</w:t>
      </w:r>
    </w:p>
    <w:tbl>
      <w:tblPr>
        <w:tblStyle w:val="Mriekatabuky"/>
        <w:tblW w:w="906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853"/>
        <w:gridCol w:w="761"/>
        <w:gridCol w:w="1231"/>
        <w:gridCol w:w="1216"/>
      </w:tblGrid>
      <w:tr>
        <w:trPr/>
        <w:tc>
          <w:tcPr>
            <w:tcW w:w="585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Zoznam  udalostí</w:t>
            </w:r>
          </w:p>
        </w:tc>
        <w:tc>
          <w:tcPr>
            <w:tcW w:w="76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Dôvod</w:t>
            </w:r>
          </w:p>
        </w:tc>
        <w:tc>
          <w:tcPr>
            <w:tcW w:w="123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(BO)</w:t>
            </w:r>
          </w:p>
        </w:tc>
        <w:tc>
          <w:tcPr>
            <w:tcW w:w="1216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(PO)</w:t>
            </w:r>
          </w:p>
        </w:tc>
      </w:tr>
      <w:tr>
        <w:trPr/>
        <w:tc>
          <w:tcPr>
            <w:tcW w:w="585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a) Pokles alebo zvýšenie trhovej ceny finančného majetku ako dôsledku okolností, ktoré 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nastali po dni, ku ktorému sa zostavuje účtovná závierka do dňa zostavenia účtovnej závierky</w:t>
            </w:r>
          </w:p>
        </w:tc>
        <w:tc>
          <w:tcPr>
            <w:tcW w:w="76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3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16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585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b) Zmena výšky rezervy a opravných položiek, ktoré nastali v dôsledku udalostí po dni,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ku ktorému sa zostavuje účtovná závierka do dňa zostavenia účtovnej závierky</w:t>
            </w:r>
          </w:p>
        </w:tc>
        <w:tc>
          <w:tcPr>
            <w:tcW w:w="76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3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16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585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c) Zmena spoločníkov účtovnej jednotky</w:t>
            </w:r>
          </w:p>
        </w:tc>
        <w:tc>
          <w:tcPr>
            <w:tcW w:w="76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3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16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585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d) Prijatie rozhodnutia o predaji účtovnej jednotky alebo jej časti</w:t>
            </w:r>
          </w:p>
        </w:tc>
        <w:tc>
          <w:tcPr>
            <w:tcW w:w="76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3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16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585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e) Zmeny významných položiek dlhodobého finančného majetku</w:t>
            </w:r>
          </w:p>
        </w:tc>
        <w:tc>
          <w:tcPr>
            <w:tcW w:w="76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3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16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585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f) Začatie alebo ukončenie činností časti účtovnej jednotky (napr. prevádzkárne)</w:t>
            </w:r>
          </w:p>
        </w:tc>
        <w:tc>
          <w:tcPr>
            <w:tcW w:w="76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3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16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585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g) Vydanie dlhopisov a iných cenných  papierov</w:t>
            </w:r>
          </w:p>
        </w:tc>
        <w:tc>
          <w:tcPr>
            <w:tcW w:w="76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3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16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585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h) Zlúčenie, splynutie, rozdelenie a zmena právnej formy</w:t>
            </w:r>
          </w:p>
        </w:tc>
        <w:tc>
          <w:tcPr>
            <w:tcW w:w="76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3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16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585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i) Mimoriadne udalosti – živelné pohromy</w:t>
            </w:r>
          </w:p>
        </w:tc>
        <w:tc>
          <w:tcPr>
            <w:tcW w:w="76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3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16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5853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j) Získanie alebo odobratie licencie alebo iného povolenia významného pre činnosť</w:t>
            </w:r>
          </w:p>
        </w:tc>
        <w:tc>
          <w:tcPr>
            <w:tcW w:w="76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3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16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VII Ostatné informácie</w:t>
      </w:r>
    </w:p>
    <w:p>
      <w:pPr>
        <w:pStyle w:val="Normal"/>
        <w:widowControl w:val="false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Čl. VII (2) f) Informácie o vyplatených dividendách a výške rozdeleného zisku</w:t>
      </w:r>
    </w:p>
    <w:p>
      <w:pPr>
        <w:pStyle w:val="Normal"/>
        <w:widowControl w:val="false"/>
        <w:rPr/>
      </w:pPr>
      <w:r>
        <w:rPr>
          <w:rFonts w:cs="Times New Roman" w:ascii="Times New Roman" w:hAnsi="Times New Roman"/>
          <w:sz w:val="20"/>
          <w:szCs w:val="20"/>
        </w:rPr>
        <w:t>- prevod na neuhradenú stratu minulých rokov vo výške 0 €</w:t>
      </w:r>
    </w:p>
    <w:p>
      <w:pPr>
        <w:pStyle w:val="Normal"/>
        <w:widowControl w:val="false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- prevod na nerozdelený zisk minulých rokov vo výške 0 €,</w:t>
      </w:r>
    </w:p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  <w:t>Čl. VII (2) f) Informácia o vyplatených dividendách a výške nerozdeleného zisku</w:t>
      </w:r>
    </w:p>
    <w:tbl>
      <w:tblPr>
        <w:tblStyle w:val="Mriekatabuky"/>
        <w:tblW w:w="906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085"/>
        <w:gridCol w:w="1542"/>
        <w:gridCol w:w="1435"/>
      </w:tblGrid>
      <w:tr>
        <w:trPr/>
        <w:tc>
          <w:tcPr>
            <w:tcW w:w="608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1542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(BO)</w:t>
            </w:r>
          </w:p>
        </w:tc>
        <w:tc>
          <w:tcPr>
            <w:tcW w:w="143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(PO)</w:t>
            </w:r>
          </w:p>
        </w:tc>
      </w:tr>
      <w:tr>
        <w:trPr/>
        <w:tc>
          <w:tcPr>
            <w:tcW w:w="608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Neuhradená strata minulých  rokov</w:t>
            </w:r>
          </w:p>
        </w:tc>
        <w:tc>
          <w:tcPr>
            <w:tcW w:w="1542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highlight w:val="yellow"/>
              </w:rPr>
            </w:r>
          </w:p>
        </w:tc>
        <w:tc>
          <w:tcPr>
            <w:tcW w:w="143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highlight w:val="yellow"/>
              </w:rPr>
            </w:r>
          </w:p>
        </w:tc>
      </w:tr>
      <w:tr>
        <w:trPr/>
        <w:tc>
          <w:tcPr>
            <w:tcW w:w="608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Nerozdelený zisk minulých  rokov</w:t>
            </w:r>
          </w:p>
        </w:tc>
        <w:tc>
          <w:tcPr>
            <w:tcW w:w="1542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highlight w:val="yellow"/>
              </w:rPr>
            </w:r>
          </w:p>
        </w:tc>
        <w:tc>
          <w:tcPr>
            <w:tcW w:w="143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highlight w:val="yellow"/>
              </w:rPr>
            </w:r>
          </w:p>
        </w:tc>
      </w:tr>
      <w:tr>
        <w:trPr/>
        <w:tc>
          <w:tcPr>
            <w:tcW w:w="608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Zisk roku 20.....</w:t>
            </w:r>
          </w:p>
        </w:tc>
        <w:tc>
          <w:tcPr>
            <w:tcW w:w="2977" w:type="dxa"/>
            <w:gridSpan w:val="2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608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Prevod na neuhradenú stratu minulých rokov</w:t>
            </w:r>
          </w:p>
        </w:tc>
        <w:tc>
          <w:tcPr>
            <w:tcW w:w="2977" w:type="dxa"/>
            <w:gridSpan w:val="2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608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Prevod na nerozdelený zisk minulých rokov</w:t>
            </w:r>
          </w:p>
        </w:tc>
        <w:tc>
          <w:tcPr>
            <w:tcW w:w="2977" w:type="dxa"/>
            <w:gridSpan w:val="2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608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Výplata podielu na zisku z nerozdelených ziskov minulých rokov</w:t>
            </w:r>
          </w:p>
        </w:tc>
        <w:tc>
          <w:tcPr>
            <w:tcW w:w="2977" w:type="dxa"/>
            <w:gridSpan w:val="2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rPr>
          <w:rFonts w:ascii="Times New Roman" w:hAnsi="Times New Roman" w:cs="Times New Roman"/>
          <w:sz w:val="16"/>
          <w:szCs w:val="16"/>
        </w:rPr>
      </w:pPr>
      <w:r>
        <w:rPr>
          <w:rFonts w:cs="Times New Roman" w:ascii="Times New Roman" w:hAnsi="Times New Roman"/>
          <w:sz w:val="16"/>
          <w:szCs w:val="16"/>
        </w:rPr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header="709" w:top="1417" w:footer="709" w:bottom="1417" w:gutter="0"/>
          <w:pgNumType w:start="2" w:fmt="decimal"/>
          <w:formProt w:val="false"/>
          <w:textDirection w:val="lrTb"/>
          <w:docGrid w:type="default" w:linePitch="360" w:charSpace="4096"/>
        </w:sect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18"/>
          <w:szCs w:val="18"/>
        </w:rPr>
      </w:pPr>
      <w:r>
        <w:rPr>
          <w:rFonts w:cs="Times New Roman" w:ascii="Times New Roman" w:hAnsi="Times New Roman"/>
        </w:rPr>
        <w:t>V Čiernom Balog</w:t>
      </w:r>
      <w:bookmarkStart w:id="0" w:name="_GoBack"/>
      <w:bookmarkEnd w:id="0"/>
      <w:r>
        <w:rPr>
          <w:rFonts w:cs="Times New Roman" w:ascii="Times New Roman" w:hAnsi="Times New Roman"/>
        </w:rPr>
        <w:t>u, dňa : 11.marca 2019</w:t>
      </w:r>
    </w:p>
    <w:p>
      <w:pPr>
        <w:pStyle w:val="Normal"/>
        <w:spacing w:lineRule="auto" w:line="240" w:before="0" w:after="0"/>
        <w:rPr/>
      </w:pPr>
      <w:r>
        <w:rPr/>
      </w:r>
    </w:p>
    <w:sectPr>
      <w:headerReference w:type="default" r:id="rId4"/>
      <w:footerReference w:type="default" r:id="rId5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rFonts w:cs="Times New Roman" w:ascii="Times New Roman" w:hAnsi="Times New Roman"/>
      </w:rPr>
      <w:t xml:space="preserve">Strana </w:t>
    </w:r>
    <w:r>
      <w:rPr>
        <w:rFonts w:cs="Times New Roman" w:ascii="Times New Roman" w:hAnsi="Times New Roman"/>
      </w:rPr>
      <w:fldChar w:fldCharType="begin"/>
    </w:r>
    <w:r>
      <w:rPr>
        <w:rFonts w:cs="Times New Roman" w:ascii="Times New Roman" w:hAnsi="Times New Roman"/>
      </w:rPr>
      <w:instrText> PAGE </w:instrText>
    </w:r>
    <w:r>
      <w:rPr>
        <w:rFonts w:cs="Times New Roman" w:ascii="Times New Roman" w:hAnsi="Times New Roman"/>
      </w:rPr>
      <w:fldChar w:fldCharType="separate"/>
    </w:r>
    <w:r>
      <w:rPr>
        <w:rFonts w:cs="Times New Roman" w:ascii="Times New Roman" w:hAnsi="Times New Roman"/>
      </w:rPr>
      <w:t>2</w:t>
    </w:r>
    <w:r>
      <w:rPr>
        <w:rFonts w:cs="Times New Roman" w:ascii="Times New Roman" w:hAnsi="Times New Roman"/>
      </w:rPr>
      <w:fldChar w:fldCharType="end"/>
    </w:r>
  </w:p>
  <w:p>
    <w:pPr>
      <w:pStyle w:val="Pta"/>
      <w:rPr>
        <w:rFonts w:ascii="Times New Roman" w:hAnsi="Times New Roman" w:cs="Times New Roman"/>
      </w:rPr>
    </w:pPr>
    <w:r>
      <w:rPr>
        <w:rFonts w:cs="Times New Roman" w:ascii="Times New Roman" w:hAnsi="Times New Roman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rFonts w:cs="Times New Roman" w:ascii="Times New Roman" w:hAnsi="Times New Roman"/>
      </w:rPr>
      <w:t xml:space="preserve">Strana </w:t>
    </w:r>
    <w:r>
      <w:rPr>
        <w:rFonts w:cs="Times New Roman" w:ascii="Times New Roman" w:hAnsi="Times New Roman"/>
      </w:rPr>
      <w:fldChar w:fldCharType="begin"/>
    </w:r>
    <w:r>
      <w:rPr>
        <w:rFonts w:cs="Times New Roman" w:ascii="Times New Roman" w:hAnsi="Times New Roman"/>
      </w:rPr>
      <w:instrText> PAGE </w:instrText>
    </w:r>
    <w:r>
      <w:rPr>
        <w:rFonts w:cs="Times New Roman" w:ascii="Times New Roman" w:hAnsi="Times New Roman"/>
      </w:rPr>
      <w:fldChar w:fldCharType="separate"/>
    </w:r>
    <w:r>
      <w:rPr>
        <w:rFonts w:cs="Times New Roman" w:ascii="Times New Roman" w:hAnsi="Times New Roman"/>
      </w:rPr>
      <w:t>9</w:t>
    </w:r>
    <w:r>
      <w:rPr>
        <w:rFonts w:cs="Times New Roman" w:ascii="Times New Roman" w:hAnsi="Times New Roman"/>
      </w:rPr>
      <w:fldChar w:fldCharType="end"/>
    </w:r>
  </w:p>
  <w:p>
    <w:pPr>
      <w:pStyle w:val="Pta"/>
      <w:rPr>
        <w:rFonts w:ascii="Times New Roman" w:hAnsi="Times New Roman" w:cs="Times New Roman"/>
      </w:rPr>
    </w:pPr>
    <w:r>
      <w:rPr>
        <w:rFonts w:cs="Times New Roman" w:ascii="Times New Roman" w:hAnsi="Times New Roman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8985" w:type="dxa"/>
      <w:jc w:val="left"/>
      <w:tblInd w:w="-67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370"/>
      <w:gridCol w:w="150"/>
      <w:gridCol w:w="135"/>
      <w:gridCol w:w="150"/>
      <w:gridCol w:w="615"/>
      <w:gridCol w:w="240"/>
      <w:gridCol w:w="225"/>
      <w:gridCol w:w="225"/>
      <w:gridCol w:w="240"/>
      <w:gridCol w:w="225"/>
      <w:gridCol w:w="240"/>
      <w:gridCol w:w="225"/>
      <w:gridCol w:w="240"/>
      <w:gridCol w:w="135"/>
      <w:gridCol w:w="150"/>
      <w:gridCol w:w="150"/>
      <w:gridCol w:w="135"/>
      <w:gridCol w:w="660"/>
      <w:gridCol w:w="150"/>
      <w:gridCol w:w="225"/>
      <w:gridCol w:w="225"/>
      <w:gridCol w:w="240"/>
      <w:gridCol w:w="225"/>
      <w:gridCol w:w="240"/>
      <w:gridCol w:w="225"/>
      <w:gridCol w:w="240"/>
      <w:gridCol w:w="225"/>
      <w:gridCol w:w="240"/>
      <w:gridCol w:w="240"/>
    </w:tblGrid>
    <w:tr>
      <w:trPr>
        <w:tblHeader w:val="true"/>
        <w:trHeight w:val="169" w:hRule="atLeast"/>
        <w:cantSplit w:val="true"/>
      </w:trPr>
      <w:tc>
        <w:tcPr>
          <w:tcW w:w="237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Poznámky Úč PODV 3 - 01</w:t>
          </w:r>
        </w:p>
      </w:tc>
      <w:tc>
        <w:tcPr>
          <w:tcW w:w="150" w:type="dxa"/>
          <w:tcBorders>
            <w:left w:val="single" w:sz="4" w:space="0" w:color="00000A"/>
          </w:tcBorders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</w:r>
        </w:p>
      </w:tc>
      <w:tc>
        <w:tcPr>
          <w:tcW w:w="135" w:type="dxa"/>
          <w:tcBorders/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</w:r>
        </w:p>
      </w:tc>
      <w:tc>
        <w:tcPr>
          <w:tcW w:w="150" w:type="dxa"/>
          <w:tcBorders/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</w:t>
          </w:r>
        </w:p>
      </w:tc>
      <w:tc>
        <w:tcPr>
          <w:tcW w:w="615" w:type="dxa"/>
          <w:tcBorders>
            <w:right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</w:t>
          </w:r>
          <w:r>
            <w:rPr>
              <w:sz w:val="20"/>
              <w:szCs w:val="20"/>
            </w:rPr>
            <w:t>IČO</w:t>
          </w:r>
        </w:p>
      </w:tc>
      <w:tc>
        <w:tcPr>
          <w:tcW w:w="24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5</w:t>
          </w:r>
        </w:p>
      </w:tc>
      <w:tc>
        <w:tcPr>
          <w:tcW w:w="22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1</w:t>
          </w:r>
        </w:p>
      </w:tc>
      <w:tc>
        <w:tcPr>
          <w:tcW w:w="22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24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2</w:t>
          </w:r>
        </w:p>
      </w:tc>
      <w:tc>
        <w:tcPr>
          <w:tcW w:w="22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4</w:t>
          </w:r>
        </w:p>
      </w:tc>
      <w:tc>
        <w:tcPr>
          <w:tcW w:w="24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2</w:t>
          </w:r>
        </w:p>
      </w:tc>
      <w:tc>
        <w:tcPr>
          <w:tcW w:w="22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6</w:t>
          </w:r>
        </w:p>
      </w:tc>
      <w:tc>
        <w:tcPr>
          <w:tcW w:w="24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1</w:t>
          </w:r>
        </w:p>
      </w:tc>
      <w:tc>
        <w:tcPr>
          <w:tcW w:w="135" w:type="dxa"/>
          <w:tcBorders>
            <w:left w:val="single" w:sz="4" w:space="0" w:color="00000A"/>
          </w:tcBorders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      </w:t>
          </w:r>
        </w:p>
      </w:tc>
      <w:tc>
        <w:tcPr>
          <w:tcW w:w="150" w:type="dxa"/>
          <w:tcBorders/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</w:r>
        </w:p>
      </w:tc>
      <w:tc>
        <w:tcPr>
          <w:tcW w:w="150" w:type="dxa"/>
          <w:tcBorders/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</w:t>
          </w:r>
        </w:p>
      </w:tc>
      <w:tc>
        <w:tcPr>
          <w:tcW w:w="135" w:type="dxa"/>
          <w:tcBorders/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  </w:t>
          </w:r>
        </w:p>
      </w:tc>
      <w:tc>
        <w:tcPr>
          <w:tcW w:w="660" w:type="dxa"/>
          <w:tcBorders/>
          <w:shd w:fill="auto" w:val="clear"/>
        </w:tcPr>
        <w:p>
          <w:pPr>
            <w:pStyle w:val="Hlavika"/>
            <w:jc w:val="right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</w:t>
          </w:r>
          <w:r>
            <w:rPr>
              <w:sz w:val="20"/>
              <w:szCs w:val="20"/>
            </w:rPr>
            <w:t>DIČ</w:t>
          </w:r>
        </w:p>
      </w:tc>
      <w:tc>
        <w:tcPr>
          <w:tcW w:w="150" w:type="dxa"/>
          <w:tcBorders>
            <w:right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jc w:val="right"/>
            <w:rPr>
              <w:sz w:val="20"/>
              <w:szCs w:val="20"/>
            </w:rPr>
          </w:pPr>
          <w:r>
            <w:rPr>
              <w:sz w:val="20"/>
              <w:szCs w:val="20"/>
            </w:rPr>
          </w:r>
        </w:p>
      </w:tc>
      <w:tc>
        <w:tcPr>
          <w:tcW w:w="22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2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24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2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4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6</w:t>
          </w:r>
        </w:p>
      </w:tc>
      <w:tc>
        <w:tcPr>
          <w:tcW w:w="22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7</w:t>
          </w:r>
        </w:p>
      </w:tc>
      <w:tc>
        <w:tcPr>
          <w:tcW w:w="24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6</w:t>
          </w:r>
        </w:p>
      </w:tc>
      <w:tc>
        <w:tcPr>
          <w:tcW w:w="22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7</w:t>
          </w:r>
        </w:p>
      </w:tc>
      <w:tc>
        <w:tcPr>
          <w:tcW w:w="24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7</w:t>
          </w:r>
        </w:p>
      </w:tc>
      <w:tc>
        <w:tcPr>
          <w:tcW w:w="24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</w:tcPr>
        <w:p>
          <w:pPr>
            <w:pStyle w:val="Hlavika"/>
            <w:rPr/>
          </w:pPr>
          <w:r>
            <w:rPr>
              <w:sz w:val="20"/>
              <w:szCs w:val="20"/>
            </w:rPr>
            <w:t>8</w:t>
          </w:r>
        </w:p>
      </w:tc>
    </w:tr>
  </w:tbl>
  <w:p>
    <w:pPr>
      <w:pStyle w:val="Hlavik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Times New Roman" w:hAnsi="Times New Roman" w:cs="Times New Roman"/>
      </w:rPr>
    </w:pPr>
    <w:r>
      <w:rPr>
        <w:rFonts w:cs="Times New Roman" w:ascii="Times New Roman" w:hAnsi="Times New Roman"/>
      </w:rPr>
    </w:r>
  </w:p>
</w:hdr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Times New Roman" w:asciiTheme="minorHAnsi" w:eastAsiaTheme="minorEastAsia" w:hAnsiTheme="minorHAnsi"/>
        <w:sz w:val="22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annotation text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Arial Narrow" w:hAnsi="Arial Narrow" w:cs="Arial Narrow" w:eastAsia="" w:eastAsiaTheme="minorEastAsia"/>
      <w:color w:val="auto"/>
      <w:kern w:val="0"/>
      <w:sz w:val="22"/>
      <w:szCs w:val="22"/>
      <w:lang w:eastAsia="en-US" w:val="sk-SK" w:bidi="ar-SA"/>
    </w:rPr>
  </w:style>
  <w:style w:type="paragraph" w:styleId="Nadpis1">
    <w:name w:val="Heading 1"/>
    <w:basedOn w:val="Normal"/>
    <w:link w:val="Nadpis1Char"/>
    <w:uiPriority w:val="99"/>
    <w:qFormat/>
    <w:pPr>
      <w:keepNext w:val="true"/>
      <w:spacing w:lineRule="auto" w:line="240" w:before="240" w:after="60"/>
      <w:outlineLvl w:val="0"/>
    </w:pPr>
    <w:rPr>
      <w:rFonts w:ascii="Cambria" w:hAnsi="Cambria" w:cs="Cambria"/>
      <w:b/>
      <w:bCs/>
      <w:kern w:val="2"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pPr>
      <w:keepNext w:val="true"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pPr>
      <w:keepNext w:val="true"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al"/>
    <w:link w:val="Nadpis4Char"/>
    <w:uiPriority w:val="99"/>
    <w:qFormat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link w:val="Nadpis5Char"/>
    <w:uiPriority w:val="99"/>
    <w:qFormat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link w:val="Nadpis6Char"/>
    <w:uiPriority w:val="99"/>
    <w:qFormat/>
    <w:pPr>
      <w:spacing w:lineRule="auto" w:line="240" w:before="240" w:after="60"/>
      <w:outlineLvl w:val="5"/>
    </w:pPr>
    <w:rPr>
      <w:b/>
      <w:bCs/>
    </w:rPr>
  </w:style>
  <w:style w:type="paragraph" w:styleId="Nadpis7">
    <w:name w:val="Heading 7"/>
    <w:basedOn w:val="Normal"/>
    <w:link w:val="Nadpis7Char"/>
    <w:uiPriority w:val="99"/>
    <w:qFormat/>
    <w:pPr>
      <w:spacing w:lineRule="auto" w:line="240" w:before="240" w:after="60"/>
      <w:outlineLvl w:val="6"/>
    </w:pPr>
    <w:rPr/>
  </w:style>
  <w:style w:type="paragraph" w:styleId="Nadpis8">
    <w:name w:val="Heading 8"/>
    <w:basedOn w:val="Normal"/>
    <w:link w:val="Nadpis8Char"/>
    <w:uiPriority w:val="99"/>
    <w:qFormat/>
    <w:pPr>
      <w:spacing w:lineRule="auto" w:line="240" w:before="240" w:after="60"/>
      <w:outlineLvl w:val="7"/>
    </w:pPr>
    <w:rPr>
      <w:i/>
      <w:iCs/>
    </w:rPr>
  </w:style>
  <w:style w:type="paragraph" w:styleId="Nadpis9">
    <w:name w:val="Heading 9"/>
    <w:basedOn w:val="Normal"/>
    <w:link w:val="Nadpis9Char"/>
    <w:uiPriority w:val="99"/>
    <w:qFormat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Pr>
      <w:rFonts w:ascii="Cambria" w:hAnsi="Cambria" w:cs="Cambria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qFormat/>
    <w:locked/>
    <w:rPr>
      <w:rFonts w:ascii="Cambria" w:hAnsi="Cambria" w:cs="Cambria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qFormat/>
    <w:locked/>
    <w:rPr>
      <w:rFonts w:ascii="Cambria" w:hAnsi="Cambria" w:cs="Cambria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qFormat/>
    <w:locked/>
    <w:rPr>
      <w:rFonts w:ascii="Times New Roman" w:hAnsi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qFormat/>
    <w:locked/>
    <w:rPr>
      <w:rFonts w:ascii="Times New Roman" w:hAnsi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qFormat/>
    <w:locked/>
    <w:rPr>
      <w:rFonts w:ascii="Times New Roman" w:hAnsi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qFormat/>
    <w:locked/>
    <w:rPr>
      <w:rFonts w:ascii="Times New Roman" w:hAnsi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qFormat/>
    <w:locked/>
    <w:rPr>
      <w:rFonts w:ascii="Times New Roman" w:hAnsi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qFormat/>
    <w:locked/>
    <w:rPr>
      <w:rFonts w:ascii="Cambria" w:hAnsi="Cambria" w:cs="Cambria"/>
      <w:sz w:val="22"/>
      <w:szCs w:val="22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Pr>
      <w:rFonts w:ascii="Times New Roman" w:hAnsi="Times New Roman"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Pr>
      <w:rFonts w:ascii="Times New Roman" w:hAnsi="Times New Roman" w:cs="Times New Roman"/>
    </w:rPr>
  </w:style>
  <w:style w:type="character" w:styleId="TextpoznmkypodiarouChar" w:customStyle="1">
    <w:name w:val="Text poznámky pod čiarou Char"/>
    <w:basedOn w:val="DefaultParagraphFont"/>
    <w:uiPriority w:val="99"/>
    <w:qFormat/>
    <w:rPr>
      <w:rFonts w:ascii="Times New Roman" w:hAnsi="Times New Roman" w:cs="Times New Roman"/>
      <w:sz w:val="20"/>
      <w:szCs w:val="20"/>
      <w:lang w:val="x-none" w:eastAsia="cs-CZ"/>
    </w:rPr>
  </w:style>
  <w:style w:type="character" w:styleId="TextpoznmkypodiarouChar1" w:customStyle="1">
    <w:name w:val="Text poznámky pod čiarou Char1"/>
    <w:basedOn w:val="DefaultParagraphFont"/>
    <w:link w:val="Textpoznmkypodiarou"/>
    <w:uiPriority w:val="99"/>
    <w:qFormat/>
    <w:locked/>
    <w:rPr>
      <w:rFonts w:ascii="Times New Roman" w:hAnsi="Times New Roman"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qFormat/>
    <w:rPr>
      <w:rFonts w:ascii="Times New Roman" w:hAnsi="Times New Roman" w:cs="Times New Roman"/>
      <w:sz w:val="20"/>
      <w:szCs w:val="20"/>
    </w:rPr>
  </w:style>
  <w:style w:type="character" w:styleId="NzovChar" w:customStyle="1">
    <w:name w:val="Názov Char"/>
    <w:basedOn w:val="DefaultParagraphFont"/>
    <w:uiPriority w:val="99"/>
    <w:qFormat/>
    <w:rPr>
      <w:rFonts w:ascii="Times New Roman" w:hAnsi="Times New Roman"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link w:val="Nzov"/>
    <w:uiPriority w:val="99"/>
    <w:qFormat/>
    <w:locked/>
    <w:rPr>
      <w:rFonts w:ascii="Cambria" w:hAnsi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99"/>
    <w:qFormat/>
    <w:rPr>
      <w:rFonts w:ascii="Cambria" w:hAnsi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uiPriority w:val="99"/>
    <w:qFormat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styleId="ZkladntextChar1" w:customStyle="1">
    <w:name w:val="Základný text Char1"/>
    <w:basedOn w:val="DefaultParagraphFont"/>
    <w:link w:val="Zkladntext"/>
    <w:uiPriority w:val="99"/>
    <w:qFormat/>
    <w:locked/>
    <w:rPr>
      <w:rFonts w:ascii="Times New Roman" w:hAnsi="Times New Roman"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PodtitulChar" w:customStyle="1">
    <w:name w:val="Podtitul Char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" w:customStyle="1">
    <w:name w:val="Podtitul Char1"/>
    <w:basedOn w:val="DefaultParagraphFont"/>
    <w:link w:val="Podtitul"/>
    <w:uiPriority w:val="99"/>
    <w:qFormat/>
    <w:locked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basedOn w:val="DefaultParagraphFont"/>
    <w:uiPriority w:val="99"/>
    <w:qFormat/>
    <w:rPr>
      <w:rFonts w:ascii="Cambria" w:hAnsi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uiPriority w:val="99"/>
    <w:qFormat/>
    <w:rPr>
      <w:rFonts w:ascii="Times New Roman" w:hAnsi="Times New Roman" w:cs="Times New Roman"/>
      <w:sz w:val="24"/>
      <w:szCs w:val="24"/>
      <w:lang w:val="x-none" w:eastAsia="cs-CZ"/>
    </w:rPr>
  </w:style>
  <w:style w:type="character" w:styleId="Zkladntext2Char1" w:customStyle="1">
    <w:name w:val="Základný text 2 Char1"/>
    <w:basedOn w:val="DefaultParagraphFont"/>
    <w:link w:val="Zkladntext2"/>
    <w:uiPriority w:val="99"/>
    <w:qFormat/>
    <w:locked/>
    <w:rPr>
      <w:rFonts w:ascii="Times New Roman" w:hAnsi="Times New Roman"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uiPriority w:val="99"/>
    <w:qFormat/>
    <w:rPr>
      <w:rFonts w:ascii="Times New Roman" w:hAnsi="Times New Roman" w:cs="Times New Roman"/>
      <w:sz w:val="24"/>
      <w:szCs w:val="24"/>
      <w:lang w:val="x-none" w:eastAsia="cs-CZ"/>
    </w:rPr>
  </w:style>
  <w:style w:type="character" w:styleId="Zarkazkladnhotextu2Char1" w:customStyle="1">
    <w:name w:val="Zarážka základného textu 2 Char1"/>
    <w:basedOn w:val="DefaultParagraphFont"/>
    <w:link w:val="Zarkazkladnhotextu2"/>
    <w:uiPriority w:val="99"/>
    <w:qFormat/>
    <w:locked/>
    <w:rPr>
      <w:rFonts w:ascii="Times New Roman" w:hAnsi="Times New Roman"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qFormat/>
    <w:rPr>
      <w:rFonts w:ascii="Times New Roman" w:hAnsi="Times New Roman"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uiPriority w:val="99"/>
    <w:qFormat/>
    <w:rPr>
      <w:rFonts w:ascii="Times New Roman" w:hAnsi="Times New Roman" w:cs="Times New Roman"/>
      <w:sz w:val="24"/>
      <w:szCs w:val="24"/>
      <w:lang w:val="x-none" w:eastAsia="cs-CZ"/>
    </w:rPr>
  </w:style>
  <w:style w:type="character" w:styleId="Zarkazkladnhotextu3Char1" w:customStyle="1">
    <w:name w:val="Zarážka základného textu 3 Char1"/>
    <w:basedOn w:val="DefaultParagraphFont"/>
    <w:link w:val="Zarkazkladnhotextu3"/>
    <w:uiPriority w:val="99"/>
    <w:qFormat/>
    <w:locked/>
    <w:rPr>
      <w:rFonts w:ascii="Times New Roman" w:hAnsi="Times New Roman"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qFormat/>
    <w:rPr>
      <w:rFonts w:ascii="Times New Roman" w:hAnsi="Times New Roman" w:cs="Times New Roman"/>
      <w:sz w:val="16"/>
      <w:szCs w:val="16"/>
    </w:rPr>
  </w:style>
  <w:style w:type="character" w:styleId="TextbublinyChar" w:customStyle="1">
    <w:name w:val="Text bubliny Char"/>
    <w:basedOn w:val="DefaultParagraphFont"/>
    <w:uiPriority w:val="99"/>
    <w:qFormat/>
    <w:rPr>
      <w:rFonts w:ascii="Tahoma" w:hAnsi="Tahoma" w:cs="Tahoma"/>
      <w:sz w:val="16"/>
      <w:szCs w:val="16"/>
      <w:lang w:val="x-none" w:eastAsia="cs-CZ"/>
    </w:rPr>
  </w:style>
  <w:style w:type="character" w:styleId="TextbublinyChar1" w:customStyle="1">
    <w:name w:val="Text bubliny Char1"/>
    <w:basedOn w:val="DefaultParagraphFont"/>
    <w:link w:val="Textbubliny"/>
    <w:uiPriority w:val="99"/>
    <w:qFormat/>
    <w:locked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qFormat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cs="Arial Narrow"/>
      <w:b/>
      <w:bCs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Arial Narrow"/>
      <w:b/>
      <w:bCs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character" w:styleId="ListLabel117">
    <w:name w:val="ListLabel 117"/>
    <w:qFormat/>
    <w:rPr>
      <w:rFonts w:cs="Times New Roman"/>
    </w:rPr>
  </w:style>
  <w:style w:type="character" w:styleId="ListLabel118">
    <w:name w:val="ListLabel 118"/>
    <w:qFormat/>
    <w:rPr>
      <w:rFonts w:cs="Times New Roman"/>
    </w:rPr>
  </w:style>
  <w:style w:type="character" w:styleId="ListLabel119">
    <w:name w:val="ListLabel 119"/>
    <w:qFormat/>
    <w:rPr>
      <w:rFonts w:cs="Times New Roman"/>
    </w:rPr>
  </w:style>
  <w:style w:type="character" w:styleId="ListLabel120">
    <w:name w:val="ListLabel 120"/>
    <w:qFormat/>
    <w:rPr>
      <w:rFonts w:cs="Times New Roman"/>
    </w:rPr>
  </w:style>
  <w:style w:type="character" w:styleId="ListLabel121">
    <w:name w:val="ListLabel 121"/>
    <w:qFormat/>
    <w:rPr>
      <w:rFonts w:cs="Times New Roman"/>
    </w:rPr>
  </w:style>
  <w:style w:type="character" w:styleId="ListLabel122">
    <w:name w:val="ListLabel 122"/>
    <w:qFormat/>
    <w:rPr>
      <w:rFonts w:cs="Times New Roman"/>
    </w:rPr>
  </w:style>
  <w:style w:type="character" w:styleId="ListLabel123">
    <w:name w:val="ListLabel 123"/>
    <w:qFormat/>
    <w:rPr>
      <w:rFonts w:cs="Times New Roman"/>
    </w:rPr>
  </w:style>
  <w:style w:type="character" w:styleId="ListLabel124">
    <w:name w:val="ListLabel 124"/>
    <w:qFormat/>
    <w:rPr>
      <w:rFonts w:cs="Times New Roman"/>
    </w:rPr>
  </w:style>
  <w:style w:type="character" w:styleId="ListLabel125">
    <w:name w:val="ListLabel 125"/>
    <w:qFormat/>
    <w:rPr>
      <w:rFonts w:cs="Times New Roman"/>
    </w:rPr>
  </w:style>
  <w:style w:type="character" w:styleId="ListLabel126">
    <w:name w:val="ListLabel 126"/>
    <w:qFormat/>
    <w:rPr>
      <w:rFonts w:cs="Times New Roman"/>
    </w:rPr>
  </w:style>
  <w:style w:type="character" w:styleId="ListLabel127">
    <w:name w:val="ListLabel 127"/>
    <w:qFormat/>
    <w:rPr>
      <w:rFonts w:cs="Times New Roman"/>
    </w:rPr>
  </w:style>
  <w:style w:type="character" w:styleId="ListLabel128">
    <w:name w:val="ListLabel 128"/>
    <w:qFormat/>
    <w:rPr>
      <w:rFonts w:cs="Times New Roman"/>
    </w:rPr>
  </w:style>
  <w:style w:type="character" w:styleId="ListLabel129">
    <w:name w:val="ListLabel 129"/>
    <w:qFormat/>
    <w:rPr>
      <w:rFonts w:cs="Times New Roman"/>
    </w:rPr>
  </w:style>
  <w:style w:type="character" w:styleId="ListLabel130">
    <w:name w:val="ListLabel 130"/>
    <w:qFormat/>
    <w:rPr>
      <w:rFonts w:cs="Times New Roman"/>
    </w:rPr>
  </w:style>
  <w:style w:type="character" w:styleId="ListLabel131">
    <w:name w:val="ListLabel 131"/>
    <w:qFormat/>
    <w:rPr>
      <w:rFonts w:cs="Times New Roman"/>
    </w:rPr>
  </w:style>
  <w:style w:type="character" w:styleId="ListLabel132">
    <w:name w:val="ListLabel 132"/>
    <w:qFormat/>
    <w:rPr>
      <w:rFonts w:eastAsia="Times New Roman"/>
    </w:rPr>
  </w:style>
  <w:style w:type="character" w:styleId="ListLabel133">
    <w:name w:val="ListLabel 133"/>
    <w:qFormat/>
    <w:rPr>
      <w:rFonts w:cs="Times New Roman"/>
    </w:rPr>
  </w:style>
  <w:style w:type="character" w:styleId="ListLabel134">
    <w:name w:val="ListLabel 134"/>
    <w:qFormat/>
    <w:rPr>
      <w:rFonts w:cs="Times New Roman"/>
    </w:rPr>
  </w:style>
  <w:style w:type="character" w:styleId="ListLabel135">
    <w:name w:val="ListLabel 135"/>
    <w:qFormat/>
    <w:rPr>
      <w:rFonts w:cs="Times New Roman"/>
    </w:rPr>
  </w:style>
  <w:style w:type="character" w:styleId="ListLabel136">
    <w:name w:val="ListLabel 136"/>
    <w:qFormat/>
    <w:rPr>
      <w:rFonts w:cs="Times New Roman"/>
    </w:rPr>
  </w:style>
  <w:style w:type="character" w:styleId="ListLabel137">
    <w:name w:val="ListLabel 137"/>
    <w:qFormat/>
    <w:rPr>
      <w:rFonts w:cs="Times New Roman"/>
    </w:rPr>
  </w:style>
  <w:style w:type="character" w:styleId="ListLabel138">
    <w:name w:val="ListLabel 138"/>
    <w:qFormat/>
    <w:rPr>
      <w:rFonts w:cs="Times New Roman"/>
    </w:rPr>
  </w:style>
  <w:style w:type="character" w:styleId="ListLabel139">
    <w:name w:val="ListLabel 139"/>
    <w:qFormat/>
    <w:rPr>
      <w:rFonts w:cs="Times New Roman"/>
    </w:rPr>
  </w:style>
  <w:style w:type="character" w:styleId="ListLabel140">
    <w:name w:val="ListLabel 140"/>
    <w:qFormat/>
    <w:rPr>
      <w:rFonts w:cs="Times New Roman"/>
    </w:rPr>
  </w:style>
  <w:style w:type="character" w:styleId="ListLabel141">
    <w:name w:val="ListLabel 141"/>
    <w:qFormat/>
    <w:rPr>
      <w:rFonts w:cs="Times New Roman"/>
    </w:rPr>
  </w:style>
  <w:style w:type="character" w:styleId="ListLabel142">
    <w:name w:val="ListLabel 142"/>
    <w:qFormat/>
    <w:rPr>
      <w:rFonts w:cs="Times New Roman"/>
    </w:rPr>
  </w:style>
  <w:style w:type="character" w:styleId="ListLabel143">
    <w:name w:val="ListLabel 143"/>
    <w:qFormat/>
    <w:rPr>
      <w:rFonts w:cs="Times New Roman"/>
    </w:rPr>
  </w:style>
  <w:style w:type="character" w:styleId="ListLabel144">
    <w:name w:val="ListLabel 144"/>
    <w:qFormat/>
    <w:rPr>
      <w:rFonts w:cs="Times New Roman"/>
    </w:rPr>
  </w:style>
  <w:style w:type="character" w:styleId="ListLabel145">
    <w:name w:val="ListLabel 145"/>
    <w:qFormat/>
    <w:rPr>
      <w:rFonts w:cs="Times New Roman"/>
    </w:rPr>
  </w:style>
  <w:style w:type="character" w:styleId="ListLabel146">
    <w:name w:val="ListLabel 146"/>
    <w:qFormat/>
    <w:rPr>
      <w:rFonts w:cs="Times New Roman"/>
    </w:rPr>
  </w:style>
  <w:style w:type="character" w:styleId="ListLabel147">
    <w:name w:val="ListLabel 147"/>
    <w:qFormat/>
    <w:rPr>
      <w:rFonts w:cs="Times New Roman"/>
    </w:rPr>
  </w:style>
  <w:style w:type="character" w:styleId="ListLabel148">
    <w:name w:val="ListLabel 148"/>
    <w:qFormat/>
    <w:rPr>
      <w:rFonts w:cs="Times New Roman"/>
    </w:rPr>
  </w:style>
  <w:style w:type="character" w:styleId="ListLabel149">
    <w:name w:val="ListLabel 149"/>
    <w:qFormat/>
    <w:rPr>
      <w:rFonts w:cs="Times New Roman"/>
    </w:rPr>
  </w:style>
  <w:style w:type="character" w:styleId="ListLabel150">
    <w:name w:val="ListLabel 150"/>
    <w:qFormat/>
    <w:rPr>
      <w:rFonts w:cs="Times New Roman"/>
    </w:rPr>
  </w:style>
  <w:style w:type="character" w:styleId="ListLabel151">
    <w:name w:val="ListLabel 151"/>
    <w:qFormat/>
    <w:rPr>
      <w:rFonts w:cs="Times New Roman"/>
    </w:rPr>
  </w:style>
  <w:style w:type="character" w:styleId="ListLabel152">
    <w:name w:val="ListLabel 152"/>
    <w:qFormat/>
    <w:rPr>
      <w:rFonts w:cs="Times New Roman"/>
    </w:rPr>
  </w:style>
  <w:style w:type="character" w:styleId="ListLabel153">
    <w:name w:val="ListLabel 153"/>
    <w:qFormat/>
    <w:rPr>
      <w:rFonts w:cs="Times New Roman"/>
    </w:rPr>
  </w:style>
  <w:style w:type="character" w:styleId="ListLabel154">
    <w:name w:val="ListLabel 154"/>
    <w:qFormat/>
    <w:rPr>
      <w:rFonts w:cs="Times New Roman"/>
    </w:rPr>
  </w:style>
  <w:style w:type="character" w:styleId="ListLabel155">
    <w:name w:val="ListLabel 155"/>
    <w:qFormat/>
    <w:rPr>
      <w:rFonts w:cs="Times New Roman"/>
    </w:rPr>
  </w:style>
  <w:style w:type="character" w:styleId="ListLabel156">
    <w:name w:val="ListLabel 156"/>
    <w:qFormat/>
    <w:rPr>
      <w:rFonts w:cs="Times New Roman"/>
    </w:rPr>
  </w:style>
  <w:style w:type="character" w:styleId="ListLabel157">
    <w:name w:val="ListLabel 157"/>
    <w:qFormat/>
    <w:rPr>
      <w:rFonts w:cs="Times New Roman"/>
    </w:rPr>
  </w:style>
  <w:style w:type="character" w:styleId="ListLabel158">
    <w:name w:val="ListLabel 158"/>
    <w:qFormat/>
    <w:rPr>
      <w:rFonts w:cs="Times New Roman"/>
    </w:rPr>
  </w:style>
  <w:style w:type="character" w:styleId="ListLabel159">
    <w:name w:val="ListLabel 159"/>
    <w:qFormat/>
    <w:rPr>
      <w:rFonts w:cs="Times New Roman"/>
    </w:rPr>
  </w:style>
  <w:style w:type="character" w:styleId="ListLabel160">
    <w:name w:val="ListLabel 160"/>
    <w:qFormat/>
    <w:rPr>
      <w:rFonts w:cs="Times New Roman"/>
    </w:rPr>
  </w:style>
  <w:style w:type="character" w:styleId="ListLabel161">
    <w:name w:val="ListLabel 161"/>
    <w:qFormat/>
    <w:rPr>
      <w:rFonts w:cs="Times New Roman"/>
    </w:rPr>
  </w:style>
  <w:style w:type="character" w:styleId="ListLabel162">
    <w:name w:val="ListLabel 162"/>
    <w:qFormat/>
    <w:rPr>
      <w:rFonts w:cs="Times New Roman"/>
    </w:rPr>
  </w:style>
  <w:style w:type="character" w:styleId="ListLabel163">
    <w:name w:val="ListLabel 163"/>
    <w:qFormat/>
    <w:rPr>
      <w:rFonts w:cs="Times New Roman"/>
    </w:rPr>
  </w:style>
  <w:style w:type="character" w:styleId="ListLabel164">
    <w:name w:val="ListLabel 164"/>
    <w:qFormat/>
    <w:rPr>
      <w:rFonts w:cs="Times New Roman"/>
    </w:rPr>
  </w:style>
  <w:style w:type="character" w:styleId="ListLabel165">
    <w:name w:val="ListLabel 165"/>
    <w:qFormat/>
    <w:rPr>
      <w:rFonts w:cs="Times New Roman"/>
    </w:rPr>
  </w:style>
  <w:style w:type="character" w:styleId="ListLabel166">
    <w:name w:val="ListLabel 166"/>
    <w:qFormat/>
    <w:rPr>
      <w:rFonts w:cs="Times New Roman"/>
    </w:rPr>
  </w:style>
  <w:style w:type="character" w:styleId="ListLabel167">
    <w:name w:val="ListLabel 167"/>
    <w:qFormat/>
    <w:rPr>
      <w:rFonts w:cs="Times New Roman"/>
    </w:rPr>
  </w:style>
  <w:style w:type="character" w:styleId="ListLabel168">
    <w:name w:val="ListLabel 168"/>
    <w:qFormat/>
    <w:rPr>
      <w:rFonts w:cs="Times New Roman"/>
    </w:rPr>
  </w:style>
  <w:style w:type="character" w:styleId="ListLabel169">
    <w:name w:val="ListLabel 169"/>
    <w:qFormat/>
    <w:rPr>
      <w:rFonts w:cs="Times New Roman"/>
    </w:rPr>
  </w:style>
  <w:style w:type="character" w:styleId="ListLabel170">
    <w:name w:val="ListLabel 170"/>
    <w:qFormat/>
    <w:rPr>
      <w:rFonts w:cs="Times New Roman"/>
    </w:rPr>
  </w:style>
  <w:style w:type="character" w:styleId="ListLabel171">
    <w:name w:val="ListLabel 171"/>
    <w:qFormat/>
    <w:rPr>
      <w:rFonts w:cs="Times New Roman"/>
    </w:rPr>
  </w:style>
  <w:style w:type="character" w:styleId="ListLabel172">
    <w:name w:val="ListLabel 172"/>
    <w:qFormat/>
    <w:rPr>
      <w:rFonts w:cs="Times New Roman"/>
    </w:rPr>
  </w:style>
  <w:style w:type="character" w:styleId="ListLabel173">
    <w:name w:val="ListLabel 173"/>
    <w:qFormat/>
    <w:rPr>
      <w:rFonts w:cs="Times New Roman"/>
    </w:rPr>
  </w:style>
  <w:style w:type="character" w:styleId="ListLabel174">
    <w:name w:val="ListLabel 174"/>
    <w:qFormat/>
    <w:rPr>
      <w:rFonts w:cs="Times New Roman"/>
    </w:rPr>
  </w:style>
  <w:style w:type="character" w:styleId="ListLabel175">
    <w:name w:val="ListLabel 175"/>
    <w:qFormat/>
    <w:rPr>
      <w:rFonts w:cs="Times New Roman"/>
    </w:rPr>
  </w:style>
  <w:style w:type="character" w:styleId="ListLabel176">
    <w:name w:val="ListLabel 176"/>
    <w:qFormat/>
    <w:rPr>
      <w:rFonts w:cs="Times New Roman"/>
    </w:rPr>
  </w:style>
  <w:style w:type="character" w:styleId="ListLabel177">
    <w:name w:val="ListLabel 177"/>
    <w:qFormat/>
    <w:rPr>
      <w:rFonts w:cs="Times New Roman"/>
    </w:rPr>
  </w:style>
  <w:style w:type="character" w:styleId="ListLabel178">
    <w:name w:val="ListLabel 178"/>
    <w:qFormat/>
    <w:rPr>
      <w:rFonts w:cs="Times New Roman"/>
    </w:rPr>
  </w:style>
  <w:style w:type="character" w:styleId="ListLabel179">
    <w:name w:val="ListLabel 179"/>
    <w:qFormat/>
    <w:rPr>
      <w:rFonts w:cs="Times New Roman"/>
    </w:rPr>
  </w:style>
  <w:style w:type="character" w:styleId="ListLabel180">
    <w:name w:val="ListLabel 180"/>
    <w:qFormat/>
    <w:rPr>
      <w:rFonts w:cs="Times New Roman"/>
    </w:rPr>
  </w:style>
  <w:style w:type="character" w:styleId="ListLabel181">
    <w:name w:val="ListLabel 181"/>
    <w:qFormat/>
    <w:rPr>
      <w:rFonts w:cs="Times New Roman"/>
    </w:rPr>
  </w:style>
  <w:style w:type="character" w:styleId="ListLabel182">
    <w:name w:val="ListLabel 182"/>
    <w:qFormat/>
    <w:rPr>
      <w:rFonts w:cs="Times New Roman"/>
    </w:rPr>
  </w:style>
  <w:style w:type="character" w:styleId="ListLabel183">
    <w:name w:val="ListLabel 183"/>
    <w:qFormat/>
    <w:rPr>
      <w:rFonts w:cs="Times New Roman"/>
    </w:rPr>
  </w:style>
  <w:style w:type="character" w:styleId="ListLabel184">
    <w:name w:val="ListLabel 184"/>
    <w:qFormat/>
    <w:rPr>
      <w:rFonts w:cs="Times New Roman"/>
    </w:rPr>
  </w:style>
  <w:style w:type="character" w:styleId="ListLabel185">
    <w:name w:val="ListLabel 185"/>
    <w:qFormat/>
    <w:rPr>
      <w:rFonts w:cs="Times New Roman"/>
    </w:rPr>
  </w:style>
  <w:style w:type="character" w:styleId="ListLabel186">
    <w:name w:val="ListLabel 186"/>
    <w:qFormat/>
    <w:rPr>
      <w:rFonts w:cs="Times New Roman"/>
    </w:rPr>
  </w:style>
  <w:style w:type="character" w:styleId="ListLabel187">
    <w:name w:val="ListLabel 187"/>
    <w:qFormat/>
    <w:rPr>
      <w:rFonts w:cs="Times New Roman"/>
    </w:rPr>
  </w:style>
  <w:style w:type="character" w:styleId="ListLabel188">
    <w:name w:val="ListLabel 188"/>
    <w:qFormat/>
    <w:rPr>
      <w:rFonts w:cs="Times New Roman"/>
    </w:rPr>
  </w:style>
  <w:style w:type="character" w:styleId="ListLabel189">
    <w:name w:val="ListLabel 189"/>
    <w:qFormat/>
    <w:rPr>
      <w:rFonts w:cs="Times New Roman"/>
    </w:rPr>
  </w:style>
  <w:style w:type="character" w:styleId="ListLabel190">
    <w:name w:val="ListLabel 190"/>
    <w:qFormat/>
    <w:rPr>
      <w:rFonts w:cs="Times New Roman"/>
    </w:rPr>
  </w:style>
  <w:style w:type="character" w:styleId="ListLabel191">
    <w:name w:val="ListLabel 191"/>
    <w:qFormat/>
    <w:rPr>
      <w:rFonts w:cs="Times New Roman"/>
    </w:rPr>
  </w:style>
  <w:style w:type="character" w:styleId="ListLabel192">
    <w:name w:val="ListLabel 192"/>
    <w:qFormat/>
    <w:rPr>
      <w:rFonts w:cs="Times New Roman"/>
    </w:rPr>
  </w:style>
  <w:style w:type="character" w:styleId="ListLabel193">
    <w:name w:val="ListLabel 193"/>
    <w:qFormat/>
    <w:rPr>
      <w:rFonts w:cs="Times New Roman"/>
    </w:rPr>
  </w:style>
  <w:style w:type="character" w:styleId="ListLabel194">
    <w:name w:val="ListLabel 194"/>
    <w:qFormat/>
    <w:rPr>
      <w:rFonts w:cs="Times New Roman"/>
    </w:rPr>
  </w:style>
  <w:style w:type="character" w:styleId="ListLabel195">
    <w:name w:val="ListLabel 195"/>
    <w:qFormat/>
    <w:rPr>
      <w:rFonts w:cs="Times New Roman"/>
    </w:rPr>
  </w:style>
  <w:style w:type="character" w:styleId="ListLabel196">
    <w:name w:val="ListLabel 196"/>
    <w:qFormat/>
    <w:rPr>
      <w:rFonts w:cs="Times New Roman"/>
    </w:rPr>
  </w:style>
  <w:style w:type="character" w:styleId="ListLabel197">
    <w:name w:val="ListLabel 197"/>
    <w:qFormat/>
    <w:rPr>
      <w:rFonts w:cs="Times New Roman"/>
    </w:rPr>
  </w:style>
  <w:style w:type="character" w:styleId="ListLabel198">
    <w:name w:val="ListLabel 198"/>
    <w:qFormat/>
    <w:rPr>
      <w:rFonts w:cs="Times New Roman"/>
    </w:rPr>
  </w:style>
  <w:style w:type="character" w:styleId="ListLabel199">
    <w:name w:val="ListLabel 199"/>
    <w:qFormat/>
    <w:rPr>
      <w:rFonts w:cs="Times New Roman"/>
    </w:rPr>
  </w:style>
  <w:style w:type="character" w:styleId="ListLabel200">
    <w:name w:val="ListLabel 200"/>
    <w:qFormat/>
    <w:rPr>
      <w:rFonts w:cs="Times New Roman"/>
    </w:rPr>
  </w:style>
  <w:style w:type="character" w:styleId="ListLabel201">
    <w:name w:val="ListLabel 201"/>
    <w:qFormat/>
    <w:rPr>
      <w:rFonts w:cs="Times New Roman"/>
    </w:rPr>
  </w:style>
  <w:style w:type="character" w:styleId="ListLabel202">
    <w:name w:val="ListLabel 202"/>
    <w:qFormat/>
    <w:rPr>
      <w:rFonts w:cs="Times New Roman"/>
    </w:rPr>
  </w:style>
  <w:style w:type="character" w:styleId="ListLabel203">
    <w:name w:val="ListLabel 203"/>
    <w:qFormat/>
    <w:rPr>
      <w:rFonts w:cs="Times New Roman"/>
    </w:rPr>
  </w:style>
  <w:style w:type="character" w:styleId="ListLabel204">
    <w:name w:val="ListLabel 204"/>
    <w:qFormat/>
    <w:rPr>
      <w:rFonts w:cs="Times New Roman"/>
    </w:rPr>
  </w:style>
  <w:style w:type="character" w:styleId="ListLabel205">
    <w:name w:val="ListLabel 205"/>
    <w:qFormat/>
    <w:rPr>
      <w:rFonts w:cs="Times New Roman"/>
    </w:rPr>
  </w:style>
  <w:style w:type="character" w:styleId="ListLabel206">
    <w:name w:val="ListLabel 206"/>
    <w:qFormat/>
    <w:rPr>
      <w:rFonts w:cs="Times New Roman"/>
    </w:rPr>
  </w:style>
  <w:style w:type="character" w:styleId="ListLabel207">
    <w:name w:val="ListLabel 207"/>
    <w:qFormat/>
    <w:rPr>
      <w:rFonts w:cs="Times New Roman"/>
    </w:rPr>
  </w:style>
  <w:style w:type="character" w:styleId="ListLabel208">
    <w:name w:val="ListLabel 208"/>
    <w:qFormat/>
    <w:rPr>
      <w:rFonts w:cs="Times New Roman"/>
    </w:rPr>
  </w:style>
  <w:style w:type="character" w:styleId="ListLabel209">
    <w:name w:val="ListLabel 209"/>
    <w:qFormat/>
    <w:rPr>
      <w:rFonts w:cs="Times New Roman"/>
    </w:rPr>
  </w:style>
  <w:style w:type="character" w:styleId="ListLabel210">
    <w:name w:val="ListLabel 210"/>
    <w:qFormat/>
    <w:rPr>
      <w:rFonts w:cs="Times New Roman"/>
    </w:rPr>
  </w:style>
  <w:style w:type="character" w:styleId="ListLabel211">
    <w:name w:val="ListLabel 211"/>
    <w:qFormat/>
    <w:rPr>
      <w:rFonts w:cs="Times New Roman"/>
    </w:rPr>
  </w:style>
  <w:style w:type="character" w:styleId="ListLabel212">
    <w:name w:val="ListLabel 212"/>
    <w:qFormat/>
    <w:rPr>
      <w:rFonts w:cs="Times New Roman"/>
    </w:rPr>
  </w:style>
  <w:style w:type="character" w:styleId="ListLabel213">
    <w:name w:val="ListLabel 213"/>
    <w:qFormat/>
    <w:rPr>
      <w:rFonts w:cs="Times New Roman"/>
    </w:rPr>
  </w:style>
  <w:style w:type="character" w:styleId="ListLabel214">
    <w:name w:val="ListLabel 214"/>
    <w:qFormat/>
    <w:rPr>
      <w:rFonts w:cs="Times New Roman"/>
    </w:rPr>
  </w:style>
  <w:style w:type="character" w:styleId="ListLabel215">
    <w:name w:val="ListLabel 215"/>
    <w:qFormat/>
    <w:rPr>
      <w:rFonts w:cs="Times New Roman"/>
    </w:rPr>
  </w:style>
  <w:style w:type="character" w:styleId="ListLabel216">
    <w:name w:val="ListLabel 216"/>
    <w:qFormat/>
    <w:rPr>
      <w:rFonts w:cs="Times New Roman"/>
    </w:rPr>
  </w:style>
  <w:style w:type="character" w:styleId="ListLabel217">
    <w:name w:val="ListLabel 217"/>
    <w:qFormat/>
    <w:rPr>
      <w:rFonts w:cs="Times New Roman"/>
    </w:rPr>
  </w:style>
  <w:style w:type="character" w:styleId="ListLabel218">
    <w:name w:val="ListLabel 218"/>
    <w:qFormat/>
    <w:rPr>
      <w:rFonts w:cs="Times New Roman"/>
    </w:rPr>
  </w:style>
  <w:style w:type="character" w:styleId="ListLabel219">
    <w:name w:val="ListLabel 219"/>
    <w:qFormat/>
    <w:rPr>
      <w:rFonts w:cs="Times New Roman"/>
    </w:rPr>
  </w:style>
  <w:style w:type="character" w:styleId="ListLabel220">
    <w:name w:val="ListLabel 220"/>
    <w:qFormat/>
    <w:rPr>
      <w:rFonts w:cs="Times New Roman"/>
    </w:rPr>
  </w:style>
  <w:style w:type="character" w:styleId="ListLabel221">
    <w:name w:val="ListLabel 221"/>
    <w:qFormat/>
    <w:rPr>
      <w:rFonts w:cs="Times New Roman"/>
    </w:rPr>
  </w:style>
  <w:style w:type="character" w:styleId="ListLabel222">
    <w:name w:val="ListLabel 222"/>
    <w:qFormat/>
    <w:rPr>
      <w:rFonts w:cs="Times New Roman"/>
    </w:rPr>
  </w:style>
  <w:style w:type="character" w:styleId="ListLabel223">
    <w:name w:val="ListLabel 223"/>
    <w:qFormat/>
    <w:rPr>
      <w:rFonts w:cs="Times New Roman"/>
    </w:rPr>
  </w:style>
  <w:style w:type="character" w:styleId="ListLabel224">
    <w:name w:val="ListLabel 224"/>
    <w:qFormat/>
    <w:rPr>
      <w:rFonts w:cs="Times New Roman"/>
    </w:rPr>
  </w:style>
  <w:style w:type="character" w:styleId="ListLabel225">
    <w:name w:val="ListLabel 225"/>
    <w:qFormat/>
    <w:rPr>
      <w:rFonts w:cs="Times New Roman"/>
    </w:rPr>
  </w:style>
  <w:style w:type="character" w:styleId="ListLabel226">
    <w:name w:val="ListLabel 226"/>
    <w:qFormat/>
    <w:rPr>
      <w:rFonts w:cs="Times New Roman"/>
    </w:rPr>
  </w:style>
  <w:style w:type="character" w:styleId="ListLabel227">
    <w:name w:val="ListLabel 227"/>
    <w:qFormat/>
    <w:rPr>
      <w:rFonts w:cs="Times New Roman"/>
    </w:rPr>
  </w:style>
  <w:style w:type="character" w:styleId="ListLabel228">
    <w:name w:val="ListLabel 228"/>
    <w:qFormat/>
    <w:rPr>
      <w:rFonts w:cs="Times New Roman"/>
    </w:rPr>
  </w:style>
  <w:style w:type="character" w:styleId="ListLabel229">
    <w:name w:val="ListLabel 229"/>
    <w:qFormat/>
    <w:rPr>
      <w:rFonts w:cs="Times New Roman"/>
    </w:rPr>
  </w:style>
  <w:style w:type="character" w:styleId="ListLabel230">
    <w:name w:val="ListLabel 230"/>
    <w:qFormat/>
    <w:rPr>
      <w:rFonts w:cs="Times New Roman"/>
    </w:rPr>
  </w:style>
  <w:style w:type="character" w:styleId="ListLabel231">
    <w:name w:val="ListLabel 231"/>
    <w:qFormat/>
    <w:rPr>
      <w:rFonts w:cs="Times New Roman"/>
    </w:rPr>
  </w:style>
  <w:style w:type="character" w:styleId="ListLabel232">
    <w:name w:val="ListLabel 232"/>
    <w:qFormat/>
    <w:rPr>
      <w:rFonts w:cs="Times New Roman"/>
    </w:rPr>
  </w:style>
  <w:style w:type="character" w:styleId="ListLabel233">
    <w:name w:val="ListLabel 233"/>
    <w:qFormat/>
    <w:rPr>
      <w:rFonts w:cs="Times New Roman"/>
    </w:rPr>
  </w:style>
  <w:style w:type="character" w:styleId="ListLabel234">
    <w:name w:val="ListLabel 234"/>
    <w:qFormat/>
    <w:rPr>
      <w:rFonts w:cs="Times New Roman"/>
    </w:rPr>
  </w:style>
  <w:style w:type="character" w:styleId="ListLabel235">
    <w:name w:val="ListLabel 235"/>
    <w:qFormat/>
    <w:rPr>
      <w:rFonts w:cs="Times New Roman"/>
    </w:rPr>
  </w:style>
  <w:style w:type="character" w:styleId="ListLabel236">
    <w:name w:val="ListLabel 236"/>
    <w:qFormat/>
    <w:rPr>
      <w:rFonts w:cs="Times New Roman"/>
    </w:rPr>
  </w:style>
  <w:style w:type="character" w:styleId="ListLabel237">
    <w:name w:val="ListLabel 237"/>
    <w:qFormat/>
    <w:rPr>
      <w:rFonts w:cs="Times New Roman"/>
    </w:rPr>
  </w:style>
  <w:style w:type="character" w:styleId="ListLabel238">
    <w:name w:val="ListLabel 238"/>
    <w:qFormat/>
    <w:rPr>
      <w:rFonts w:cs="Times New Roman"/>
    </w:rPr>
  </w:style>
  <w:style w:type="character" w:styleId="ListLabel239">
    <w:name w:val="ListLabel 239"/>
    <w:qFormat/>
    <w:rPr>
      <w:rFonts w:cs="Times New Roman"/>
    </w:rPr>
  </w:style>
  <w:style w:type="character" w:styleId="ListLabel240">
    <w:name w:val="ListLabel 240"/>
    <w:qFormat/>
    <w:rPr>
      <w:rFonts w:cs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1"/>
    <w:uiPriority w:val="99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HlavikaChar"/>
    <w:uiPriority w:val="9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1"/>
    <w:uiPriority w:val="99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link w:val="NzovChar1"/>
    <w:uiPriority w:val="99"/>
    <w:qFormat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</w:rPr>
  </w:style>
  <w:style w:type="paragraph" w:styleId="Podnadpis">
    <w:name w:val="Subtitle"/>
    <w:basedOn w:val="Normal"/>
    <w:link w:val="PodtitulChar1"/>
    <w:uiPriority w:val="99"/>
    <w:qFormat/>
    <w:pPr>
      <w:spacing w:lineRule="auto" w:line="240" w:before="0" w:after="60"/>
      <w:jc w:val="center"/>
      <w:outlineLvl w:val="1"/>
    </w:pPr>
    <w:rPr>
      <w:rFonts w:ascii="Cambria" w:hAnsi="Cambria" w:cs="Cambria"/>
    </w:rPr>
  </w:style>
  <w:style w:type="paragraph" w:styleId="BodyText2">
    <w:name w:val="Body Text 2"/>
    <w:basedOn w:val="Normal"/>
    <w:link w:val="Zkladntext2Char1"/>
    <w:uiPriority w:val="99"/>
    <w:qFormat/>
    <w:pPr>
      <w:spacing w:lineRule="auto" w:line="240" w:before="0" w:after="0"/>
      <w:ind w:left="2124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1"/>
    <w:uiPriority w:val="99"/>
    <w:qFormat/>
    <w:pPr>
      <w:spacing w:lineRule="auto" w:line="240" w:before="0" w:after="0"/>
      <w:ind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1"/>
    <w:uiPriority w:val="99"/>
    <w:qFormat/>
    <w:pPr>
      <w:spacing w:lineRule="auto" w:line="240" w:before="0" w:after="0"/>
      <w:ind w:left="708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link w:val="TextbublinyChar1"/>
    <w:uiPriority w:val="99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qFormat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Value" w:customStyle="1">
    <w:name w:val="Value"/>
    <w:basedOn w:val="Normal"/>
    <w:uiPriority w:val="99"/>
    <w:qFormat/>
    <w:pPr>
      <w:spacing w:lineRule="auto" w:line="240" w:before="0" w:after="0"/>
      <w:jc w:val="right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dc6c92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26C6D-B9A0-4263-99EB-E93A2B784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LibreOffice/6.0.1.1$Windows_X86_64 LibreOffice_project/60bfb1526849283ce2491346ed2aa51c465abfe6</Application>
  <Pages>9</Pages>
  <Words>1707</Words>
  <Characters>9810</Characters>
  <CharactersWithSpaces>11443</CharactersWithSpaces>
  <Paragraphs>266</Paragraphs>
  <Company>ENBRA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2019-03-19T06:17:00Z</dcterms:created>
  <dc:creator>Matulova Silvia</dc:creator>
  <dc:description/>
  <dc:language>sk-SK</dc:language>
  <cp:lastModifiedBy/>
  <cp:lastPrinted>2014-03-19T09:20:00Z</cp:lastPrinted>
  <dcterms:modified xsi:type="dcterms:W3CDTF">2019-03-19T08:34:48Z</dcterms:modified>
  <cp:revision>4</cp:revision>
  <dc:subject/>
  <dc:title>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ENBRA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