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543B" w:rsidRDefault="0035543B" w:rsidP="0035543B">
      <w:pPr>
        <w:pStyle w:val="Odsad"/>
        <w:tabs>
          <w:tab w:val="left" w:pos="0"/>
        </w:tabs>
        <w:spacing w:beforeLines="40" w:after="0" w:line="240" w:lineRule="auto"/>
        <w:ind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bookmarkStart w:id="0" w:name="_Toc413000189"/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</w:r>
      <w:r>
        <w:rPr>
          <w:rFonts w:ascii="Arial" w:hAnsi="Arial" w:cs="Arial"/>
          <w:noProof w:val="0"/>
          <w:sz w:val="18"/>
          <w:szCs w:val="18"/>
        </w:rPr>
        <w:tab/>
        <w:t>Príloha č. 3 k opatreniu 4455/2003-92</w:t>
      </w:r>
      <w:bookmarkEnd w:id="0"/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2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2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2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31.12.201</w:t>
      </w:r>
      <w:bookmarkEnd w:id="2"/>
      <w:r>
        <w:rPr>
          <w:rFonts w:ascii="Arial" w:hAnsi="Arial" w:cs="Arial"/>
          <w:noProof w:val="0"/>
          <w:sz w:val="18"/>
          <w:szCs w:val="18"/>
        </w:rPr>
        <w:t>8</w:t>
      </w:r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2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35543B" w:rsidRDefault="0035543B" w:rsidP="0035543B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38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38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Barbita s.r.o., Gorkého 6, Bratislava 811 01</w:t>
      </w:r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38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Dátum vzniku</w:t>
      </w:r>
      <w:bookmarkEnd w:id="4"/>
      <w:r>
        <w:rPr>
          <w:rFonts w:ascii="Arial" w:hAnsi="Arial" w:cs="Arial"/>
          <w:noProof w:val="0"/>
          <w:sz w:val="20"/>
          <w:szCs w:val="20"/>
        </w:rPr>
        <w:t xml:space="preserve"> 7.12.2018</w:t>
      </w:r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38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38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35543B" w:rsidRDefault="0035543B" w:rsidP="0035543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hospodárskej činnosti v nadväznosti na predmet podnikania:</w:t>
      </w:r>
    </w:p>
    <w:p w:rsidR="0035543B" w:rsidRDefault="0035543B" w:rsidP="0035543B">
      <w:pPr>
        <w:rPr>
          <w:vanish/>
        </w:rPr>
      </w:pPr>
    </w:p>
    <w:tbl>
      <w:tblPr>
        <w:tblW w:w="5000" w:type="pct"/>
        <w:tblCellSpacing w:w="15" w:type="dxa"/>
        <w:tblLook w:val="04A0"/>
      </w:tblPr>
      <w:tblGrid>
        <w:gridCol w:w="8941"/>
        <w:gridCol w:w="221"/>
      </w:tblGrid>
      <w:tr w:rsidR="0035543B" w:rsidTr="0035543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35543B" w:rsidRPr="0035543B" w:rsidRDefault="0035543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>
              <w:rPr>
                <w:rStyle w:val="ra"/>
              </w:rPr>
              <w:t xml:space="preserve"> </w:t>
            </w:r>
            <w:r w:rsidRPr="0035543B">
              <w:rPr>
                <w:rStyle w:val="ra"/>
                <w:rFonts w:asciiTheme="minorHAnsi" w:hAnsiTheme="minorHAnsi" w:cstheme="minorHAnsi"/>
              </w:rPr>
              <w:t>K</w:t>
            </w:r>
            <w:r w:rsidRPr="0035543B">
              <w:rPr>
                <w:rFonts w:asciiTheme="minorHAnsi" w:hAnsiTheme="minorHAnsi" w:cstheme="minorHAnsi"/>
              </w:rPr>
              <w:t>úpa tovaru na účely jeho predaja konečnému spotrebiteľovi (maloobchod) alebo iným prevádzkovateľom živnosti (veľkoobchod)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Style w:val="ra"/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Poskytovanie služieb rýchleho občerstvenia v spojení s predajom na priamu konzumáciu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Style w:val="ra"/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Výroba potravinárskych výrobkov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Výroba nápojov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35543B">
              <w:rPr>
                <w:rFonts w:asciiTheme="minorHAnsi" w:hAnsiTheme="minorHAnsi" w:cstheme="minorHAnsi"/>
              </w:rPr>
              <w:t xml:space="preserve">Sprostredkovateľská činnosť v oblasti obchodu, služieb a výroby 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35543B">
              <w:rPr>
                <w:rFonts w:asciiTheme="minorHAnsi" w:hAnsiTheme="minorHAnsi" w:cstheme="minorHAnsi"/>
              </w:rPr>
              <w:t>Reklamné a marketingové služby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Style w:val="ra"/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Administratívne služby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Style w:val="ra"/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Prieskum trhu a verejnej mienky</w:t>
            </w:r>
          </w:p>
          <w:p w:rsidR="0035543B" w:rsidRPr="0035543B" w:rsidRDefault="0035543B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  <w:r w:rsidRPr="0035543B">
              <w:rPr>
                <w:rStyle w:val="ra"/>
                <w:rFonts w:asciiTheme="minorHAnsi" w:hAnsiTheme="minorHAnsi" w:cstheme="minorHAnsi"/>
              </w:rPr>
              <w:t>Činnosť podnikateľských, organizačných a ekonomických poradcov</w:t>
            </w:r>
          </w:p>
          <w:p w:rsidR="0035543B" w:rsidRDefault="0035543B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35543B" w:rsidRDefault="0035543B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1380" w:firstLine="0"/>
              <w:jc w:val="left"/>
              <w:outlineLvl w:val="0"/>
              <w:rPr>
                <w:rFonts w:ascii="Arial" w:hAnsi="Arial" w:cs="Arial"/>
                <w:noProof w:val="0"/>
                <w:sz w:val="20"/>
                <w:szCs w:val="20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outlineLvl w:val="0"/>
              <w:rPr>
                <w:rFonts w:ascii="Calibri" w:hAnsi="Calibri"/>
                <w:noProof w:val="0"/>
              </w:rPr>
            </w:pPr>
            <w:bookmarkStart w:id="6" w:name="_Toc413000202"/>
            <w:r>
              <w:rPr>
                <w:rFonts w:ascii="Calibri" w:hAnsi="Calibri" w:cs="FuturaTEEDem"/>
                <w:b/>
                <w:noProof w:val="0"/>
              </w:rPr>
              <w:t>Čl. I  Informácie k 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asti A. písm. c) prílohy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. 3 o po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te zamestnancov</w:t>
            </w:r>
            <w:bookmarkEnd w:id="6"/>
          </w:p>
          <w:tbl>
            <w:tblPr>
              <w:tblW w:w="8803" w:type="dxa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CellMar>
                <w:left w:w="57" w:type="dxa"/>
                <w:right w:w="57" w:type="dxa"/>
              </w:tblCellMar>
              <w:tblLook w:val="04A0"/>
            </w:tblPr>
            <w:tblGrid>
              <w:gridCol w:w="3632"/>
              <w:gridCol w:w="2585"/>
              <w:gridCol w:w="2586"/>
            </w:tblGrid>
            <w:tr w:rsidR="0035543B" w:rsidTr="0035543B">
              <w:trPr>
                <w:trHeight w:val="534"/>
              </w:trPr>
              <w:tc>
                <w:tcPr>
                  <w:tcW w:w="3632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Názov položky</w:t>
                  </w:r>
                </w:p>
              </w:tc>
              <w:tc>
                <w:tcPr>
                  <w:tcW w:w="2585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Bežné ú</w:t>
                  </w:r>
                  <w:r>
                    <w:rPr>
                      <w:rFonts w:ascii="Calibri" w:hAnsi="Calibri" w:cs="Times New Roman"/>
                      <w:b/>
                      <w:noProof w:val="0"/>
                    </w:rPr>
                    <w:t>č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t>tovné obdobie</w:t>
                  </w:r>
                </w:p>
              </w:tc>
              <w:tc>
                <w:tcPr>
                  <w:tcW w:w="2586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b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Bezprostredne predchádzajúce ú</w:t>
                  </w:r>
                  <w:r>
                    <w:rPr>
                      <w:rFonts w:ascii="Calibri" w:hAnsi="Calibri" w:cs="Times New Roman"/>
                      <w:b/>
                      <w:noProof w:val="0"/>
                    </w:rPr>
                    <w:t>č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t>tovné obdobie</w:t>
                  </w:r>
                </w:p>
              </w:tc>
            </w:tr>
            <w:tr w:rsidR="0035543B" w:rsidTr="0035543B">
              <w:trPr>
                <w:trHeight w:val="336"/>
              </w:trPr>
              <w:tc>
                <w:tcPr>
                  <w:tcW w:w="3632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Priemerný prepočítaný počet zamestnancov</w:t>
                  </w:r>
                </w:p>
              </w:tc>
              <w:tc>
                <w:tcPr>
                  <w:tcW w:w="2585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  <w:tc>
                <w:tcPr>
                  <w:tcW w:w="2586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</w:tr>
            <w:tr w:rsidR="0035543B" w:rsidTr="0035543B">
              <w:trPr>
                <w:trHeight w:val="534"/>
              </w:trPr>
              <w:tc>
                <w:tcPr>
                  <w:tcW w:w="36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Stav zamestnancov ku dňu, ku ktorému sa zostavuje účtovná závierka, z toho:</w:t>
                  </w:r>
                </w:p>
              </w:tc>
              <w:tc>
                <w:tcPr>
                  <w:tcW w:w="258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  <w:tc>
                <w:tcPr>
                  <w:tcW w:w="2586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</w:tr>
            <w:tr w:rsidR="0035543B" w:rsidTr="0035543B">
              <w:trPr>
                <w:trHeight w:val="305"/>
              </w:trPr>
              <w:tc>
                <w:tcPr>
                  <w:tcW w:w="36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počet vedúcich zamestnancov</w:t>
                  </w:r>
                </w:p>
              </w:tc>
              <w:tc>
                <w:tcPr>
                  <w:tcW w:w="2585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  <w:tc>
                <w:tcPr>
                  <w:tcW w:w="2586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0</w:t>
                  </w:r>
                </w:p>
              </w:tc>
            </w:tr>
          </w:tbl>
          <w:p w:rsidR="0035543B" w:rsidRDefault="0035543B" w:rsidP="0035543B">
            <w:pPr>
              <w:pStyle w:val="Default"/>
            </w:pP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,Bold" w:hAnsi="Arial,Bold" w:cs="Arial,Bold"/>
                <w:b/>
                <w:bCs/>
              </w:rPr>
            </w:pPr>
            <w:r>
              <w:rPr>
                <w:rFonts w:ascii="Arial,Bold" w:hAnsi="Arial,Bold" w:cs="Arial,Bold"/>
                <w:b/>
                <w:bCs/>
              </w:rPr>
              <w:t>Čl. II (2) (3) Dátum schválenia účtovnej závierky a právny dôvod</w:t>
            </w: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,Bold" w:hAnsi="Arial,Bold" w:cs="Arial,Bold"/>
                <w:b/>
                <w:bCs/>
              </w:rPr>
            </w:pP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Čl. I (2) Dátum schválenia účtovnej závierky za predchádzajúce obdobie: </w:t>
            </w: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Čl. I (3) Právny dôvod na zostavenie účtovnej závierky     -  riadna </w:t>
            </w: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" w:hAnsi="Arial" w:cs="Arial"/>
                <w:sz w:val="14"/>
                <w:szCs w:val="14"/>
              </w:rPr>
            </w:pP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,Bold" w:hAnsi="Arial,Bold" w:cs="Arial,Bold"/>
                <w:b/>
                <w:bCs/>
              </w:rPr>
            </w:pPr>
            <w:r>
              <w:rPr>
                <w:rFonts w:ascii="Arial,Bold" w:hAnsi="Arial,Bold" w:cs="Arial,Bold"/>
                <w:b/>
                <w:bCs/>
              </w:rPr>
              <w:t>Čl. III Informácie o prijatých postupoch</w:t>
            </w:r>
          </w:p>
          <w:p w:rsidR="0035543B" w:rsidRDefault="0035543B" w:rsidP="0035543B">
            <w:pPr>
              <w:autoSpaceDE w:val="0"/>
              <w:autoSpaceDN w:val="0"/>
              <w:adjustRightInd w:val="0"/>
              <w:rPr>
                <w:rFonts w:ascii="Arial,Bold" w:hAnsi="Arial,Bold" w:cs="Arial,Bold"/>
                <w:b/>
                <w:bCs/>
              </w:rPr>
            </w:pP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rFonts w:ascii="Arial,Bold" w:hAnsi="Arial,Bold" w:cs="Arial,Bold"/>
                <w:b/>
                <w:bCs/>
              </w:rPr>
              <w:t>Čl. III (1) Nepretržité pokračovanie účtovnej jednotky</w:t>
            </w:r>
            <w:r>
              <w:t xml:space="preserve"> </w:t>
            </w:r>
            <w:r>
              <w:rPr>
                <w:sz w:val="22"/>
                <w:szCs w:val="22"/>
              </w:rPr>
              <w:t xml:space="preserve">    </w:t>
            </w:r>
          </w:p>
          <w:p w:rsidR="0035543B" w:rsidRDefault="0035543B" w:rsidP="0035543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Účtovná jednotka bude nepretržite pokračovať vo svojej činnosti:  áno</w:t>
            </w:r>
          </w:p>
          <w:p w:rsidR="0035543B" w:rsidRDefault="0035543B" w:rsidP="0035543B">
            <w:pPr>
              <w:pStyle w:val="Default"/>
              <w:rPr>
                <w:sz w:val="20"/>
                <w:szCs w:val="20"/>
              </w:rPr>
            </w:pPr>
          </w:p>
          <w:p w:rsidR="0035543B" w:rsidRDefault="0035543B" w:rsidP="0035543B">
            <w:pPr>
              <w:pStyle w:val="Default"/>
              <w:rPr>
                <w:rFonts w:ascii="Arial,Bold" w:hAnsi="Arial,Bold" w:cs="Arial,Bold"/>
                <w:b/>
                <w:bCs/>
              </w:rPr>
            </w:pPr>
            <w:r>
              <w:rPr>
                <w:rFonts w:ascii="Arial,Bold" w:hAnsi="Arial,Bold" w:cs="Arial,Bold"/>
                <w:b/>
                <w:bCs/>
              </w:rPr>
              <w:t>Čl. III (4) Spôsob a určenie ocenenia majetku a záväzkov</w:t>
            </w:r>
          </w:p>
          <w:p w:rsidR="0035543B" w:rsidRDefault="0035543B" w:rsidP="0035543B">
            <w:pPr>
              <w:pStyle w:val="Default"/>
              <w:rPr>
                <w:rFonts w:ascii="Arial,Bold" w:hAnsi="Arial,Bold" w:cs="Arial,Bold"/>
                <w:b/>
                <w:bCs/>
              </w:rPr>
            </w:pPr>
          </w:p>
          <w:p w:rsidR="0035543B" w:rsidRDefault="0035543B" w:rsidP="0035543B">
            <w:pPr>
              <w:pStyle w:val="Default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cenou:</w:t>
            </w:r>
          </w:p>
          <w:p w:rsidR="0035543B" w:rsidRDefault="0035543B" w:rsidP="0035543B">
            <w:pPr>
              <w:pStyle w:val="Default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Hmotný majetok s výnimkou hmotného majetku vytvoreného vlastnou činnosťou </w:t>
            </w:r>
          </w:p>
          <w:p w:rsidR="0035543B" w:rsidRDefault="0035543B" w:rsidP="0035543B">
            <w:pPr>
              <w:pStyle w:val="Default"/>
              <w:numPr>
                <w:ilvl w:val="0"/>
                <w:numId w:val="3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s výnimkou zásob vytvorených vlastnou činnosťou </w:t>
            </w:r>
          </w:p>
          <w:p w:rsidR="0035543B" w:rsidRDefault="0035543B" w:rsidP="0035543B">
            <w:pPr>
              <w:pStyle w:val="Default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hodnotou:</w:t>
            </w:r>
          </w:p>
          <w:p w:rsidR="0035543B" w:rsidRDefault="0035543B" w:rsidP="0035543B">
            <w:pPr>
              <w:pStyle w:val="Default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Peňažné prostriedky a ceniny</w:t>
            </w:r>
          </w:p>
          <w:p w:rsidR="0035543B" w:rsidRDefault="0035543B" w:rsidP="0035543B">
            <w:pPr>
              <w:pStyle w:val="Default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Pohľadávky pri ich vzniku</w:t>
            </w:r>
          </w:p>
          <w:p w:rsidR="0035543B" w:rsidRDefault="0035543B" w:rsidP="0035543B">
            <w:pPr>
              <w:pStyle w:val="Default"/>
              <w:numPr>
                <w:ilvl w:val="0"/>
                <w:numId w:val="4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pri ich vzniku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Údaje o konsolidovanom celku, a to účtovná jednotka nie je súčasťou konsolidovaného celku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a) Informácie o konsolidujúcej účtovnej jednotke, ktorá zostavuje konsolidovanú účtovnú závierku za tú skupinu účtovných jednotiek konsolidovaného celku, ktorého súčasťou je aj účtovná jednotka.  Nie je súčasťou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2.</w:t>
            </w:r>
            <w:r>
              <w:rPr>
                <w:rFonts w:ascii="Calibri" w:hAnsi="Calibri" w:cs="FuturaTEEDem"/>
                <w:b/>
                <w:noProof w:val="0"/>
              </w:rPr>
              <w:tab/>
              <w:t>Informácie k 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asti B. písm. b) prílohy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. 3 o 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níkov, akcionárov ku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u, ku ktorému sa zostavuje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tovná závierka a o štruktúre 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níkov, akcionárov do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 jej zmeny vzniknutej v priebehu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tovného obdobia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outlineLvl w:val="0"/>
              <w:rPr>
                <w:rFonts w:ascii="Calibri" w:hAnsi="Calibri"/>
                <w:noProof w:val="0"/>
              </w:rPr>
            </w:pPr>
            <w:bookmarkStart w:id="7" w:name="_Toc413000203"/>
            <w:r>
              <w:rPr>
                <w:rFonts w:ascii="Calibri" w:hAnsi="Calibri"/>
                <w:noProof w:val="0"/>
              </w:rPr>
              <w:t>Tabuľka č. 1</w:t>
            </w:r>
            <w:bookmarkEnd w:id="7"/>
          </w:p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CellMar>
                <w:left w:w="57" w:type="dxa"/>
                <w:right w:w="57" w:type="dxa"/>
              </w:tblCellMar>
              <w:tblLook w:val="04A0"/>
            </w:tblPr>
            <w:tblGrid>
              <w:gridCol w:w="2590"/>
              <w:gridCol w:w="1219"/>
              <w:gridCol w:w="1201"/>
              <w:gridCol w:w="1902"/>
              <w:gridCol w:w="1891"/>
            </w:tblGrid>
            <w:tr w:rsidR="0035543B" w:rsidTr="0035543B">
              <w:tc>
                <w:tcPr>
                  <w:tcW w:w="2803" w:type="dxa"/>
                  <w:vMerge w:val="restart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Spolo</w:t>
                  </w:r>
                  <w:r>
                    <w:rPr>
                      <w:rFonts w:ascii="Calibri" w:hAnsi="Calibri" w:cs="Times New Roman"/>
                      <w:b/>
                      <w:noProof w:val="0"/>
                    </w:rPr>
                    <w:t>č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t>ník, akcionár</w:t>
                  </w:r>
                </w:p>
              </w:tc>
              <w:tc>
                <w:tcPr>
                  <w:tcW w:w="2520" w:type="dxa"/>
                  <w:gridSpan w:val="2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Výška podielu na základnom imaní</w:t>
                  </w:r>
                </w:p>
              </w:tc>
              <w:tc>
                <w:tcPr>
                  <w:tcW w:w="2018" w:type="dxa"/>
                  <w:vMerge w:val="restart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Podiel na hlasovacích právach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br/>
                    <w:t>v %</w:t>
                  </w:r>
                </w:p>
              </w:tc>
              <w:tc>
                <w:tcPr>
                  <w:tcW w:w="2019" w:type="dxa"/>
                  <w:vMerge w:val="restart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b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Iný podiel na ostatných položkách VI ako na ZI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br/>
                    <w:t>v %</w:t>
                  </w:r>
                </w:p>
              </w:tc>
            </w:tr>
            <w:tr w:rsidR="0035543B" w:rsidTr="0035543B">
              <w:tc>
                <w:tcPr>
                  <w:tcW w:w="2803" w:type="dxa"/>
                  <w:vMerge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rPr>
                      <w:rFonts w:ascii="Calibri" w:hAnsi="Calibri" w:cs="FuturaTEEDem"/>
                      <w:sz w:val="18"/>
                      <w:szCs w:val="18"/>
                    </w:rPr>
                  </w:pP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absolútne</w:t>
                  </w: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b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v %</w:t>
                  </w:r>
                </w:p>
              </w:tc>
              <w:tc>
                <w:tcPr>
                  <w:tcW w:w="2018" w:type="dxa"/>
                  <w:vMerge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rPr>
                      <w:rFonts w:ascii="Calibri" w:hAnsi="Calibri" w:cs="FuturaTEEDem"/>
                      <w:sz w:val="18"/>
                      <w:szCs w:val="18"/>
                    </w:rPr>
                  </w:pPr>
                </w:p>
              </w:tc>
              <w:tc>
                <w:tcPr>
                  <w:tcW w:w="2019" w:type="dxa"/>
                  <w:vMerge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rPr>
                      <w:rFonts w:ascii="Calibri" w:hAnsi="Calibri" w:cs="FuturaTEEDem"/>
                      <w:b/>
                      <w:sz w:val="18"/>
                      <w:szCs w:val="18"/>
                    </w:rPr>
                  </w:pP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uppressAutoHyphens/>
                    <w:spacing w:beforeLines="40"/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a</w:t>
                  </w: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uppressAutoHyphens/>
                    <w:spacing w:beforeLines="40"/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b</w:t>
                  </w: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uppressAutoHyphens/>
                    <w:spacing w:beforeLines="40"/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c</w:t>
                  </w: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uppressAutoHyphens/>
                    <w:spacing w:beforeLines="40"/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d</w:t>
                  </w: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uppressAutoHyphens/>
                    <w:spacing w:beforeLines="40"/>
                    <w:jc w:val="center"/>
                    <w:rPr>
                      <w:rFonts w:ascii="Calibri" w:hAnsi="Calibri"/>
                      <w:color w:val="000000"/>
                    </w:rPr>
                  </w:pPr>
                  <w:r>
                    <w:rPr>
                      <w:rFonts w:ascii="Calibri" w:hAnsi="Calibri"/>
                      <w:color w:val="000000"/>
                    </w:rPr>
                    <w:t>e</w:t>
                  </w: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 xml:space="preserve">Spoločník </w:t>
                  </w:r>
                </w:p>
              </w:tc>
              <w:tc>
                <w:tcPr>
                  <w:tcW w:w="1232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5000</w:t>
                  </w:r>
                </w:p>
              </w:tc>
              <w:tc>
                <w:tcPr>
                  <w:tcW w:w="1288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100</w:t>
                  </w:r>
                </w:p>
              </w:tc>
              <w:tc>
                <w:tcPr>
                  <w:tcW w:w="2018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</w:t>
                  </w:r>
                </w:p>
              </w:tc>
              <w:tc>
                <w:tcPr>
                  <w:tcW w:w="2019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100</w:t>
                  </w: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280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 w:cs="FuturaTEEDem"/>
                      <w:b/>
                      <w:noProof w:val="0"/>
                    </w:rPr>
                    <w:t>Spolu</w:t>
                  </w:r>
                </w:p>
              </w:tc>
              <w:tc>
                <w:tcPr>
                  <w:tcW w:w="1232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5000</w:t>
                  </w:r>
                </w:p>
              </w:tc>
              <w:tc>
                <w:tcPr>
                  <w:tcW w:w="128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100</w:t>
                  </w:r>
                </w:p>
              </w:tc>
              <w:tc>
                <w:tcPr>
                  <w:tcW w:w="2018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</w:t>
                  </w:r>
                </w:p>
              </w:tc>
              <w:tc>
                <w:tcPr>
                  <w:tcW w:w="201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jc w:val="center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100</w:t>
                  </w:r>
                </w:p>
              </w:tc>
            </w:tr>
          </w:tbl>
          <w:p w:rsidR="0035543B" w:rsidRDefault="0035543B" w:rsidP="0035543B">
            <w:pPr>
              <w:pStyle w:val="NaZacatek"/>
              <w:tabs>
                <w:tab w:val="clear" w:pos="283"/>
                <w:tab w:val="clear" w:pos="567"/>
                <w:tab w:val="left" w:pos="708"/>
              </w:tabs>
              <w:spacing w:beforeLines="40" w:after="0" w:line="240" w:lineRule="auto"/>
              <w:jc w:val="left"/>
              <w:rPr>
                <w:rFonts w:ascii="Calibri" w:hAnsi="Calibri"/>
                <w:noProof w:val="0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(3) Zmeny účtovných zásad a zmeny účtovných metód s uvedením dôvodu týchto zmien a vyčíslením ich vplyvu na finančnú hodnotu majetku, záväzkov, základného imania a výsledku hospodárenia účtovnej jednotky.           Neboli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(4) Informácie o dotáciách a ich oceňovanie v účtovníctve. Neboli poskytnuté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(5)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  Neboli účtované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Default"/>
              <w:rPr>
                <w:rFonts w:ascii="Arial,Bold" w:hAnsi="Arial,Bold" w:cs="Arial,Bold"/>
                <w:b/>
                <w:bCs/>
              </w:rPr>
            </w:pPr>
          </w:p>
          <w:p w:rsidR="0035543B" w:rsidRDefault="0035543B" w:rsidP="0035543B">
            <w:pPr>
              <w:pStyle w:val="Default"/>
              <w:rPr>
                <w:sz w:val="23"/>
                <w:szCs w:val="23"/>
              </w:rPr>
            </w:pPr>
            <w:r>
              <w:rPr>
                <w:b/>
                <w:bCs/>
                <w:sz w:val="23"/>
                <w:szCs w:val="23"/>
              </w:rPr>
              <w:t xml:space="preserve">ČL. III INFORMÁCIE, KTORÉ DOPĹŇAJÚ A VYSVETĽUJÚ SÚVAHU A VÝKAZ ZISKOV A STRÁT </w:t>
            </w:r>
          </w:p>
          <w:p w:rsidR="0035543B" w:rsidRDefault="0035543B" w:rsidP="0035543B">
            <w:pPr>
              <w:pStyle w:val="Default"/>
              <w:numPr>
                <w:ilvl w:val="0"/>
                <w:numId w:val="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   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 zmien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(2) Informácie o záväzkoch, a to </w:t>
            </w:r>
          </w:p>
          <w:p w:rsidR="0035543B" w:rsidRDefault="0035543B" w:rsidP="0035543B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Odsad"/>
              <w:numPr>
                <w:ilvl w:val="0"/>
                <w:numId w:val="6"/>
              </w:numPr>
              <w:tabs>
                <w:tab w:val="clear" w:pos="340"/>
                <w:tab w:val="left" w:pos="708"/>
              </w:tabs>
              <w:spacing w:beforeLines="40" w:after="0" w:line="240" w:lineRule="auto"/>
              <w:ind w:left="106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celkovej sume záväzkov so zostatkovou dobou splatnosti dlhšou ako päť rokov</w:t>
            </w:r>
          </w:p>
          <w:p w:rsidR="0035543B" w:rsidRDefault="0035543B" w:rsidP="0035543B">
            <w:pPr>
              <w:pStyle w:val="Default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celkovej sume zabezpečených záväzkov, opis a spôsoby zabezpečenia záväzkov. </w:t>
            </w:r>
          </w:p>
          <w:tbl>
            <w:tblPr>
              <w:tblW w:w="0" w:type="auto"/>
              <w:tblLook w:val="04A0"/>
            </w:tblPr>
            <w:tblGrid>
              <w:gridCol w:w="3004"/>
              <w:gridCol w:w="2931"/>
              <w:gridCol w:w="2931"/>
            </w:tblGrid>
            <w:tr w:rsidR="0035543B" w:rsidTr="0035543B">
              <w:trPr>
                <w:trHeight w:val="187"/>
              </w:trPr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  <w:tr w:rsidR="0035543B" w:rsidTr="0035543B">
              <w:trPr>
                <w:trHeight w:val="84"/>
              </w:trPr>
              <w:tc>
                <w:tcPr>
                  <w:tcW w:w="937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Záväzky po lehote splatnosti </w:t>
                  </w:r>
                </w:p>
              </w:tc>
            </w:tr>
            <w:tr w:rsidR="0035543B" w:rsidTr="0035543B">
              <w:trPr>
                <w:trHeight w:val="187"/>
              </w:trPr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Záväzky do lehoty splatnosti so zostatkovou dobou splatnosti do jedného roka </w:t>
                  </w: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35543B" w:rsidTr="0035543B">
              <w:trPr>
                <w:trHeight w:val="84"/>
              </w:trPr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Krátkodobé záväzky spolu </w:t>
                  </w: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35543B" w:rsidTr="0035543B">
              <w:trPr>
                <w:trHeight w:val="187"/>
              </w:trPr>
              <w:tc>
                <w:tcPr>
                  <w:tcW w:w="937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Záväzky so zostatkovou dobou splatnosti od jedného do piatich rokov vrátane </w:t>
                  </w:r>
                </w:p>
              </w:tc>
            </w:tr>
            <w:tr w:rsidR="0035543B" w:rsidTr="0035543B">
              <w:trPr>
                <w:trHeight w:val="188"/>
              </w:trPr>
              <w:tc>
                <w:tcPr>
                  <w:tcW w:w="937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Záväzky so zostatkovou dobou splatnosti viac ako päť rokov </w:t>
                  </w:r>
                </w:p>
              </w:tc>
            </w:tr>
            <w:tr w:rsidR="0035543B" w:rsidTr="0035543B">
              <w:trPr>
                <w:trHeight w:val="84"/>
              </w:trPr>
              <w:tc>
                <w:tcPr>
                  <w:tcW w:w="937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Dlhodobé záväzky spolu </w:t>
                  </w:r>
                </w:p>
              </w:tc>
            </w:tr>
            <w:tr w:rsidR="0035543B" w:rsidTr="0035543B">
              <w:trPr>
                <w:trHeight w:val="84"/>
              </w:trPr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Krátkodobé a dlhodobé záväzky spolu </w:t>
                  </w:r>
                </w:p>
                <w:p w:rsidR="0035543B" w:rsidRDefault="0035543B">
                  <w:pPr>
                    <w:pStyle w:val="Default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</w:p>
                <w:p w:rsidR="0035543B" w:rsidRDefault="0035543B">
                  <w:pPr>
                    <w:pStyle w:val="Default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35543B" w:rsidRDefault="0035543B">
                  <w:pPr>
                    <w:pStyle w:val="Default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31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5543B" w:rsidRDefault="0035543B">
                  <w:pPr>
                    <w:pStyle w:val="Defaul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</w:tr>
          </w:tbl>
          <w:p w:rsidR="0035543B" w:rsidRDefault="0035543B" w:rsidP="0035543B">
            <w:pPr>
              <w:pStyle w:val="Odsad"/>
              <w:numPr>
                <w:ilvl w:val="0"/>
                <w:numId w:val="7"/>
              </w:numPr>
              <w:tabs>
                <w:tab w:val="clear" w:pos="340"/>
                <w:tab w:val="left" w:pos="708"/>
              </w:tabs>
              <w:spacing w:beforeLines="40" w:after="0" w:line="240" w:lineRule="auto"/>
              <w:ind w:left="700"/>
              <w:jc w:val="left"/>
              <w:rPr>
                <w:rFonts w:ascii="Arial" w:hAnsi="Arial" w:cs="Arial"/>
                <w:noProof w:val="0"/>
                <w:sz w:val="22"/>
                <w:szCs w:val="22"/>
              </w:rPr>
            </w:pPr>
            <w:r>
              <w:rPr>
                <w:rFonts w:ascii="Arial" w:hAnsi="Arial" w:cs="Arial"/>
                <w:noProof w:val="0"/>
                <w:sz w:val="22"/>
                <w:szCs w:val="22"/>
              </w:rPr>
              <w:t>Informácie o vlastných akciách – neboli žiadne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Informácie o orgánoch účtovnej jednotky, a to neboli účtované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Arial" w:hAnsi="Arial" w:cs="Arial"/>
                <w:sz w:val="22"/>
                <w:szCs w:val="22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 w:firstLine="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a) výške jednotlivých druhov záruk alebo iných zabezpečení poskytnutých pre členov štatutárneho orgánu, dozorného orgánu a iného orgánu účtovnej jednotky, a to v členení za jednotlivé orgány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b) pôžičkách poskytnutých členom štatutárneho orgánu, dozorného orgánu a iného orgánu účtovnej jednotky a to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 celková suma poskytnutých pôžičiek k poslednému dňu účtovného obdobia v členení za jednotlivé orgány,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celková suma splatených pôžičiek k poslednému dňu účtovného obdobia v členení za jednotl</w:t>
            </w:r>
            <w:r w:rsidR="00C3012A">
              <w:rPr>
                <w:sz w:val="22"/>
                <w:szCs w:val="22"/>
              </w:rPr>
              <w:t xml:space="preserve">ivé orgány, nesplatená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 celková suma odpustených pôžičiek a odpísaných pôžičiek k poslednému dňu účtovného obdobia členení za jednotlivé orgány,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c) hlavných podmienkach, na základe ktorých im boli záruky alebo iné zabezpečenie a pôžičky poskytnuté; pri pôžičkách sa uvádzajú úrokové sadzby, </w:t>
            </w:r>
          </w:p>
          <w:p w:rsidR="0035543B" w:rsidRDefault="0035543B" w:rsidP="0035543B">
            <w:pPr>
              <w:pStyle w:val="Default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celkovej sume použitých finančných prostriedkov alebo iného plnenia na súkromné účely </w:t>
            </w:r>
          </w:p>
          <w:p w:rsidR="0035543B" w:rsidRDefault="0035543B" w:rsidP="0035543B">
            <w:pPr>
              <w:pStyle w:val="Default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členmi štatutárneho orgánu, dozorného orgánu a iného orgánu účtovnej jednotky, ktoré je potrebné vyúčtovať.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(4) Informácie o povinnostiach účtovnej jednotky, a to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b) celkovej sume významných podmienených záväzkov, ktorými sa rozumie neboli informácie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existujúca povinnosť, ktorá vznikla ako dôsledok minulej udalosti, ale ktorá sa nevykazuje v súvahe, pretože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2a. nie je pravdepodobné, že na splnenie tejto povinnosti bude potrebný úbytok ekonomických úžitkov, alebo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2b. výška tejto povinnosti sa nedá spoľahlivo oceniť,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c) opise významných finančných povinností a významných podmienených záväzkov, neboli informácie </w:t>
            </w:r>
          </w:p>
          <w:p w:rsidR="0035543B" w:rsidRDefault="0035543B" w:rsidP="0035543B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d) celkovej sume významných finančných povinností a významných podmienených záväzkoch voči dcérskej účtovnej jednotke a účtovnej jednotke s podstatným vplyvom, neboli informácie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e) opise významných povinností účtovnej jednotky vyplývajúcich z dôchodkových programov pre zamestnancov. Nemáme informácie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35543B" w:rsidRDefault="0035543B" w:rsidP="0035543B">
            <w:pPr>
              <w:pStyle w:val="Odsadxx"/>
              <w:tabs>
                <w:tab w:val="clear" w:pos="369"/>
                <w:tab w:val="left" w:pos="708"/>
              </w:tabs>
              <w:spacing w:beforeLines="40" w:after="0" w:line="240" w:lineRule="auto"/>
              <w:ind w:firstLine="0"/>
              <w:jc w:val="left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Informácie k 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asti F. písm. w) prílohy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. 3 o krátkodobom finan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nom majetku </w:t>
            </w: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firstLine="0"/>
              <w:jc w:val="left"/>
              <w:outlineLvl w:val="0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Tabuľka č. 1</w:t>
            </w:r>
          </w:p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CellMar>
                <w:left w:w="57" w:type="dxa"/>
                <w:right w:w="57" w:type="dxa"/>
              </w:tblCellMar>
              <w:tblLook w:val="04A0"/>
            </w:tblPr>
            <w:tblGrid>
              <w:gridCol w:w="2945"/>
              <w:gridCol w:w="2904"/>
              <w:gridCol w:w="2954"/>
            </w:tblGrid>
            <w:tr w:rsidR="0035543B" w:rsidTr="0035543B"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Názov položky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Bežné ú</w:t>
                  </w:r>
                  <w:r>
                    <w:rPr>
                      <w:rFonts w:ascii="Calibri" w:hAnsi="Calibri" w:cs="Times New Roman"/>
                      <w:b/>
                      <w:noProof w:val="0"/>
                    </w:rPr>
                    <w:t>č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t>tovné obdobie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8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35543B" w:rsidRDefault="0035543B">
                  <w:pPr>
                    <w:pStyle w:val="TextHlava9b"/>
                    <w:spacing w:beforeLines="40" w:after="0" w:line="240" w:lineRule="auto"/>
                    <w:rPr>
                      <w:rFonts w:ascii="Calibri" w:hAnsi="Calibri"/>
                      <w:b/>
                      <w:noProof w:val="0"/>
                    </w:rPr>
                  </w:pPr>
                  <w:r>
                    <w:rPr>
                      <w:rFonts w:ascii="Calibri" w:hAnsi="Calibri"/>
                      <w:b/>
                      <w:noProof w:val="0"/>
                    </w:rPr>
                    <w:t>Bezprostredne predchádzajúce ú</w:t>
                  </w:r>
                  <w:r>
                    <w:rPr>
                      <w:rFonts w:ascii="Calibri" w:hAnsi="Calibri" w:cs="Times New Roman"/>
                      <w:b/>
                      <w:noProof w:val="0"/>
                    </w:rPr>
                    <w:t>č</w:t>
                  </w:r>
                  <w:r>
                    <w:rPr>
                      <w:rFonts w:ascii="Calibri" w:hAnsi="Calibri"/>
                      <w:b/>
                      <w:noProof w:val="0"/>
                    </w:rPr>
                    <w:t>tovné obdobie</w:t>
                  </w:r>
                </w:p>
              </w:tc>
            </w:tr>
            <w:tr w:rsidR="0035543B" w:rsidTr="0035543B">
              <w:tc>
                <w:tcPr>
                  <w:tcW w:w="3120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Pokladnica, ceniny</w:t>
                  </w:r>
                </w:p>
              </w:tc>
              <w:tc>
                <w:tcPr>
                  <w:tcW w:w="3120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C3012A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4651</w:t>
                  </w:r>
                </w:p>
              </w:tc>
              <w:tc>
                <w:tcPr>
                  <w:tcW w:w="3120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C3012A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Bankové účty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35543B" w:rsidTr="0035543B"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Bankové účty termínované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 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 </w:t>
                  </w:r>
                </w:p>
              </w:tc>
            </w:tr>
            <w:tr w:rsidR="0035543B" w:rsidTr="0035543B"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Peniaze na ceste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 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 </w:t>
                  </w:r>
                </w:p>
              </w:tc>
            </w:tr>
            <w:tr w:rsidR="0035543B" w:rsidTr="0035543B"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 w:cs="FuturaTEEDem"/>
                      <w:b/>
                      <w:noProof w:val="0"/>
                    </w:rPr>
                    <w:t>Spolu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C3012A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  <w:r>
                    <w:rPr>
                      <w:rFonts w:ascii="Calibri" w:hAnsi="Calibri"/>
                      <w:noProof w:val="0"/>
                    </w:rPr>
                    <w:t>4651</w:t>
                  </w:r>
                </w:p>
              </w:tc>
              <w:tc>
                <w:tcPr>
                  <w:tcW w:w="312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35543B" w:rsidRDefault="0035543B">
                  <w:pPr>
                    <w:pStyle w:val="TableText-maly9"/>
                    <w:spacing w:beforeLines="40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firstLine="0"/>
              <w:jc w:val="left"/>
              <w:rPr>
                <w:rFonts w:ascii="Calibri" w:hAnsi="Calibri"/>
                <w:noProof w:val="0"/>
              </w:rPr>
            </w:pPr>
          </w:p>
          <w:p w:rsidR="0035543B" w:rsidRDefault="0035543B" w:rsidP="0035543B">
            <w:pPr>
              <w:pStyle w:val="Odsad"/>
              <w:tabs>
                <w:tab w:val="clear" w:pos="340"/>
                <w:tab w:val="left" w:pos="708"/>
              </w:tabs>
              <w:spacing w:beforeLines="40" w:after="0" w:line="240" w:lineRule="auto"/>
              <w:ind w:left="680"/>
              <w:jc w:val="left"/>
              <w:rPr>
                <w:rFonts w:ascii="Times New Roman" w:hAnsi="Times New Roman" w:cs="Times New Roman"/>
                <w:noProof w:val="0"/>
                <w:sz w:val="22"/>
                <w:szCs w:val="22"/>
              </w:rPr>
            </w:pPr>
          </w:p>
          <w:p w:rsidR="0035543B" w:rsidRDefault="0035543B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35543B" w:rsidRDefault="0035543B"/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43B" w:rsidRDefault="0035543B">
            <w:r>
              <w:lastRenderedPageBreak/>
              <w:t xml:space="preserve">  </w:t>
            </w:r>
          </w:p>
        </w:tc>
      </w:tr>
    </w:tbl>
    <w:p w:rsidR="00D7162B" w:rsidRDefault="00D7162B"/>
    <w:sectPr w:rsidR="00D7162B" w:rsidSect="00473AF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5AA9" w:rsidRDefault="00465AA9" w:rsidP="00C3012A">
      <w:r>
        <w:separator/>
      </w:r>
    </w:p>
  </w:endnote>
  <w:endnote w:type="continuationSeparator" w:id="1">
    <w:p w:rsidR="00465AA9" w:rsidRDefault="00465AA9" w:rsidP="00C30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6811938"/>
      <w:docPartObj>
        <w:docPartGallery w:val="Page Numbers (Bottom of Page)"/>
        <w:docPartUnique/>
      </w:docPartObj>
    </w:sdtPr>
    <w:sdtContent>
      <w:p w:rsidR="00C3012A" w:rsidRDefault="00C3012A">
        <w:pPr>
          <w:pStyle w:val="Pta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C3012A" w:rsidRDefault="00C3012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5AA9" w:rsidRDefault="00465AA9" w:rsidP="00C3012A">
      <w:r>
        <w:separator/>
      </w:r>
    </w:p>
  </w:footnote>
  <w:footnote w:type="continuationSeparator" w:id="1">
    <w:p w:rsidR="00465AA9" w:rsidRDefault="00465AA9" w:rsidP="00C301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012A" w:rsidRDefault="00C3012A">
    <w:pPr>
      <w:pStyle w:val="Hlavika"/>
    </w:pPr>
    <w:r>
      <w:t>Poznámky Úč POD 3-01                                                      DIČ: 2120890530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235627"/>
    <w:multiLevelType w:val="hybridMultilevel"/>
    <w:tmpl w:val="ADB2F1D6"/>
    <w:lvl w:ilvl="0" w:tplc="AF40DF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16E3CD3"/>
    <w:multiLevelType w:val="hybridMultilevel"/>
    <w:tmpl w:val="CB8C5A42"/>
    <w:lvl w:ilvl="0" w:tplc="C0C2433C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5933AD7"/>
    <w:multiLevelType w:val="hybridMultilevel"/>
    <w:tmpl w:val="DDDA9C6E"/>
    <w:lvl w:ilvl="0" w:tplc="B20041B2">
      <w:start w:val="1"/>
      <w:numFmt w:val="decimal"/>
      <w:lvlText w:val="%1."/>
      <w:lvlJc w:val="left"/>
      <w:pPr>
        <w:ind w:left="1080" w:hanging="360"/>
      </w:pPr>
      <w:rPr>
        <w:sz w:val="22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543B"/>
    <w:rsid w:val="0035543B"/>
    <w:rsid w:val="00465AA9"/>
    <w:rsid w:val="00473AF3"/>
    <w:rsid w:val="00A14FDB"/>
    <w:rsid w:val="00B206C6"/>
    <w:rsid w:val="00C3012A"/>
    <w:rsid w:val="00D716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54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35543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character" w:customStyle="1" w:styleId="ra">
    <w:name w:val="ra"/>
    <w:basedOn w:val="Predvolenpsmoodseku"/>
    <w:rsid w:val="0035543B"/>
  </w:style>
  <w:style w:type="paragraph" w:customStyle="1" w:styleId="TextHlava9b">
    <w:name w:val="Text Hlava_9b"/>
    <w:rsid w:val="0035543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rsid w:val="0035543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Default">
    <w:name w:val="Default"/>
    <w:rsid w:val="0035543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customStyle="1" w:styleId="NaZacatek">
    <w:name w:val="Na Zacatek"/>
    <w:rsid w:val="0035543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rsid w:val="0035543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C301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3012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301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3012A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287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dcterms:created xsi:type="dcterms:W3CDTF">2019-03-22T20:15:00Z</dcterms:created>
  <dcterms:modified xsi:type="dcterms:W3CDTF">2019-03-22T20:30:00Z</dcterms:modified>
</cp:coreProperties>
</file>