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21E4" w:rsidRDefault="003D688F">
      <w:pPr>
        <w:spacing w:after="0" w:line="259" w:lineRule="auto"/>
        <w:ind w:left="3982" w:firstLine="0"/>
        <w:jc w:val="center"/>
      </w:pPr>
      <w:r>
        <w:t>, DIČ:</w:t>
      </w:r>
    </w:p>
    <w:p w:rsidR="002521E4" w:rsidRDefault="003D688F">
      <w:pPr>
        <w:spacing w:after="0" w:line="259" w:lineRule="auto"/>
        <w:ind w:left="0" w:firstLine="0"/>
      </w:pPr>
      <w:r>
        <w:rPr>
          <w:rFonts w:ascii="Garamond" w:eastAsia="Garamond" w:hAnsi="Garamond" w:cs="Garamond"/>
          <w:sz w:val="22"/>
        </w:rPr>
        <w:t xml:space="preserve"> </w:t>
      </w:r>
    </w:p>
    <w:p w:rsidR="002521E4" w:rsidRDefault="003D688F">
      <w:pPr>
        <w:spacing w:after="0" w:line="259" w:lineRule="auto"/>
        <w:ind w:left="-5"/>
      </w:pPr>
      <w:r>
        <w:rPr>
          <w:b/>
        </w:rPr>
        <w:t xml:space="preserve">A. INFORMÁCIE O ÚČTOVNEJ JEDNOTKE </w:t>
      </w:r>
    </w:p>
    <w:p w:rsidR="002521E4" w:rsidRDefault="003D688F">
      <w:pPr>
        <w:spacing w:after="14" w:line="259" w:lineRule="auto"/>
        <w:ind w:left="0" w:firstLine="0"/>
      </w:pPr>
      <w:r>
        <w:t xml:space="preserve"> </w:t>
      </w:r>
    </w:p>
    <w:p w:rsidR="002521E4" w:rsidRDefault="003D688F">
      <w:pPr>
        <w:pStyle w:val="Nadpis1"/>
        <w:tabs>
          <w:tab w:val="center" w:pos="793"/>
          <w:tab w:val="center" w:pos="2902"/>
        </w:tabs>
        <w:ind w:left="0" w:firstLine="0"/>
      </w:pPr>
      <w:r>
        <w:rPr>
          <w:rFonts w:ascii="Calibri" w:eastAsia="Calibri" w:hAnsi="Calibri" w:cs="Calibri"/>
          <w:b w:val="0"/>
          <w:sz w:val="22"/>
        </w:rPr>
        <w:tab/>
      </w:r>
      <w:r>
        <w:t xml:space="preserve">1. </w:t>
      </w:r>
      <w:r>
        <w:tab/>
        <w:t xml:space="preserve">Všeobecné informácie o spoločnosti </w:t>
      </w:r>
    </w:p>
    <w:p w:rsidR="002521E4" w:rsidRDefault="003D688F">
      <w:pPr>
        <w:spacing w:after="12" w:line="259" w:lineRule="auto"/>
        <w:ind w:left="0" w:firstLine="0"/>
      </w:pPr>
      <w:r>
        <w:t xml:space="preserve"> </w:t>
      </w:r>
      <w:r>
        <w:tab/>
        <w:t xml:space="preserve"> </w:t>
      </w:r>
    </w:p>
    <w:p w:rsidR="002521E4" w:rsidRDefault="003D688F">
      <w:pPr>
        <w:ind w:left="-5" w:right="86"/>
      </w:pPr>
      <w:r>
        <w:t>Názov spoločnosti: IREKS ENZYMA s .</w:t>
      </w:r>
      <w:proofErr w:type="spellStart"/>
      <w:r>
        <w:t>r.o</w:t>
      </w:r>
      <w:proofErr w:type="spellEnd"/>
      <w:r>
        <w:t xml:space="preserve">. (ďalej len Spoločnosť) </w:t>
      </w:r>
    </w:p>
    <w:p w:rsidR="002521E4" w:rsidRDefault="003D688F">
      <w:pPr>
        <w:ind w:left="-5" w:right="86"/>
      </w:pPr>
      <w:r>
        <w:t xml:space="preserve">Sídlo spoločnosti: Pavla </w:t>
      </w:r>
      <w:proofErr w:type="spellStart"/>
      <w:r>
        <w:t>Horova</w:t>
      </w:r>
      <w:proofErr w:type="spellEnd"/>
      <w:r>
        <w:t xml:space="preserve"> 10, 080 01  Prešov </w:t>
      </w:r>
    </w:p>
    <w:p w:rsidR="002521E4" w:rsidRDefault="003D688F">
      <w:pPr>
        <w:spacing w:after="10" w:line="259" w:lineRule="auto"/>
        <w:ind w:left="0" w:firstLine="0"/>
      </w:pPr>
      <w:r>
        <w:t xml:space="preserve"> </w:t>
      </w:r>
    </w:p>
    <w:p w:rsidR="002521E4" w:rsidRDefault="003D688F">
      <w:pPr>
        <w:ind w:left="-5" w:right="86"/>
      </w:pPr>
      <w:r>
        <w:t xml:space="preserve">Spoločnosť bola založená 22.10.1992 a do obchodného registra bola zapísaná 16.3.1993 (Obchodný register Okresného súdu Prešov v Prešove, oddiel </w:t>
      </w:r>
      <w:proofErr w:type="spellStart"/>
      <w:r>
        <w:t>sro</w:t>
      </w:r>
      <w:proofErr w:type="spellEnd"/>
      <w:r>
        <w:t xml:space="preserve">, vložka 992/P).  </w:t>
      </w:r>
    </w:p>
    <w:p w:rsidR="002521E4" w:rsidRDefault="003D688F">
      <w:pPr>
        <w:spacing w:after="0" w:line="259" w:lineRule="auto"/>
        <w:ind w:left="0" w:firstLine="0"/>
      </w:pPr>
      <w:r>
        <w:t xml:space="preserve"> </w:t>
      </w:r>
    </w:p>
    <w:p w:rsidR="002521E4" w:rsidRDefault="003D688F">
      <w:pPr>
        <w:spacing w:after="9" w:line="259" w:lineRule="auto"/>
        <w:ind w:left="0" w:firstLine="0"/>
      </w:pPr>
      <w:r>
        <w:t xml:space="preserve"> </w:t>
      </w:r>
    </w:p>
    <w:p w:rsidR="002521E4" w:rsidRDefault="003D688F">
      <w:pPr>
        <w:pStyle w:val="Nadpis1"/>
        <w:tabs>
          <w:tab w:val="center" w:pos="793"/>
          <w:tab w:val="center" w:pos="2575"/>
        </w:tabs>
        <w:ind w:left="0" w:firstLine="0"/>
      </w:pPr>
      <w:r>
        <w:rPr>
          <w:rFonts w:ascii="Calibri" w:eastAsia="Calibri" w:hAnsi="Calibri" w:cs="Calibri"/>
          <w:b w:val="0"/>
          <w:sz w:val="22"/>
        </w:rPr>
        <w:tab/>
      </w:r>
      <w:r>
        <w:t xml:space="preserve">2. </w:t>
      </w:r>
      <w:r>
        <w:tab/>
        <w:t xml:space="preserve">Predmet činnosti Spoločnosti </w:t>
      </w:r>
    </w:p>
    <w:p w:rsidR="002521E4" w:rsidRDefault="003D688F">
      <w:pPr>
        <w:spacing w:after="16" w:line="259" w:lineRule="auto"/>
        <w:ind w:left="0" w:firstLine="0"/>
      </w:pPr>
      <w:r>
        <w:t xml:space="preserve"> </w:t>
      </w:r>
    </w:p>
    <w:p w:rsidR="002521E4" w:rsidRDefault="003D688F">
      <w:pPr>
        <w:numPr>
          <w:ilvl w:val="0"/>
          <w:numId w:val="1"/>
        </w:numPr>
        <w:ind w:right="86" w:hanging="360"/>
      </w:pPr>
      <w:r>
        <w:t xml:space="preserve">mlynárstvo, </w:t>
      </w:r>
    </w:p>
    <w:p w:rsidR="002521E4" w:rsidRDefault="003D688F">
      <w:pPr>
        <w:numPr>
          <w:ilvl w:val="0"/>
          <w:numId w:val="1"/>
        </w:numPr>
        <w:ind w:right="86" w:hanging="360"/>
      </w:pPr>
      <w:r>
        <w:t xml:space="preserve">pekárenská výroba, </w:t>
      </w:r>
    </w:p>
    <w:p w:rsidR="002521E4" w:rsidRDefault="003D688F">
      <w:pPr>
        <w:numPr>
          <w:ilvl w:val="0"/>
          <w:numId w:val="1"/>
        </w:numPr>
        <w:ind w:right="86" w:hanging="360"/>
      </w:pPr>
      <w:r>
        <w:t xml:space="preserve">obchod so surovinami a materiálmi pre potravinársku výrobu, </w:t>
      </w:r>
    </w:p>
    <w:p w:rsidR="002521E4" w:rsidRDefault="003D688F">
      <w:pPr>
        <w:numPr>
          <w:ilvl w:val="0"/>
          <w:numId w:val="1"/>
        </w:numPr>
        <w:ind w:right="86" w:hanging="360"/>
      </w:pPr>
      <w:r>
        <w:t xml:space="preserve">obchod s potravinárskymi výrobkami, </w:t>
      </w:r>
    </w:p>
    <w:p w:rsidR="002521E4" w:rsidRDefault="003D688F">
      <w:pPr>
        <w:numPr>
          <w:ilvl w:val="0"/>
          <w:numId w:val="1"/>
        </w:numPr>
        <w:ind w:right="86" w:hanging="360"/>
      </w:pPr>
      <w:r>
        <w:t xml:space="preserve">obchod so strojmi a zariadením pre potravinársku výrobu, </w:t>
      </w:r>
    </w:p>
    <w:p w:rsidR="002521E4" w:rsidRDefault="003D688F">
      <w:pPr>
        <w:numPr>
          <w:ilvl w:val="0"/>
          <w:numId w:val="1"/>
        </w:numPr>
        <w:ind w:right="86" w:hanging="360"/>
      </w:pPr>
      <w:r>
        <w:t xml:space="preserve">kúpa tovaru za účelom jeho predaja konečnému spotrebiteľovi (maloobchod) v rozsahu voľnej živnosti, </w:t>
      </w:r>
    </w:p>
    <w:p w:rsidR="002521E4" w:rsidRDefault="003D688F">
      <w:pPr>
        <w:numPr>
          <w:ilvl w:val="0"/>
          <w:numId w:val="1"/>
        </w:numPr>
        <w:ind w:right="86" w:hanging="360"/>
      </w:pPr>
      <w:r>
        <w:t xml:space="preserve">kúpa tovaru za účelom jeho predaja inými prevádzkovateľom živnosti (veľkoobchod) v rozsahu voľnej živnosti, </w:t>
      </w:r>
    </w:p>
    <w:p w:rsidR="002521E4" w:rsidRDefault="003D688F">
      <w:pPr>
        <w:numPr>
          <w:ilvl w:val="0"/>
          <w:numId w:val="1"/>
        </w:numPr>
        <w:ind w:right="86" w:hanging="360"/>
      </w:pPr>
      <w:r>
        <w:t xml:space="preserve">prenájom, oprava a údržba zmrzlinových strojov – mechanických častí, </w:t>
      </w:r>
    </w:p>
    <w:p w:rsidR="002521E4" w:rsidRDefault="003D688F">
      <w:pPr>
        <w:numPr>
          <w:ilvl w:val="0"/>
          <w:numId w:val="1"/>
        </w:numPr>
        <w:ind w:right="86" w:hanging="360"/>
      </w:pPr>
      <w:r>
        <w:t xml:space="preserve">prenájom motorových vozidiel. </w:t>
      </w:r>
    </w:p>
    <w:p w:rsidR="002521E4" w:rsidRDefault="003D688F">
      <w:pPr>
        <w:spacing w:after="0" w:line="259" w:lineRule="auto"/>
        <w:ind w:left="0" w:firstLine="0"/>
      </w:pPr>
      <w:r>
        <w:t xml:space="preserve">  </w:t>
      </w:r>
    </w:p>
    <w:p w:rsidR="002521E4" w:rsidRDefault="003D688F">
      <w:pPr>
        <w:spacing w:after="10" w:line="259" w:lineRule="auto"/>
        <w:ind w:left="0" w:firstLine="0"/>
      </w:pPr>
      <w:r>
        <w:t xml:space="preserve"> </w:t>
      </w:r>
    </w:p>
    <w:p w:rsidR="002521E4" w:rsidRDefault="003D688F">
      <w:pPr>
        <w:pStyle w:val="Nadpis1"/>
        <w:ind w:left="-5"/>
      </w:pPr>
      <w:r>
        <w:t xml:space="preserve">             3.       Schválenie účtovnej závierky zostavenej za predchádzajúce obdobie </w:t>
      </w:r>
    </w:p>
    <w:p w:rsidR="002521E4" w:rsidRDefault="003D688F">
      <w:pPr>
        <w:spacing w:after="32" w:line="259" w:lineRule="auto"/>
        <w:ind w:left="0" w:firstLine="0"/>
      </w:pPr>
      <w:r>
        <w:rPr>
          <w:b/>
        </w:rPr>
        <w:t xml:space="preserve"> </w:t>
      </w:r>
    </w:p>
    <w:p w:rsidR="002521E4" w:rsidRDefault="003D688F">
      <w:pPr>
        <w:tabs>
          <w:tab w:val="center" w:pos="2201"/>
        </w:tabs>
        <w:ind w:left="-15" w:firstLine="0"/>
      </w:pPr>
      <w:r>
        <w:rPr>
          <w:rFonts w:ascii="Segoe UI Symbol" w:eastAsia="Segoe UI Symbol" w:hAnsi="Segoe UI Symbol" w:cs="Segoe UI Symbol"/>
        </w:rPr>
        <w:t></w:t>
      </w:r>
      <w:r>
        <w:t xml:space="preserve"> </w:t>
      </w:r>
      <w:r>
        <w:tab/>
        <w:t xml:space="preserve">Účtovná závierka bola schválená riadnym </w:t>
      </w:r>
    </w:p>
    <w:p w:rsidR="002521E4" w:rsidRDefault="003D688F">
      <w:pPr>
        <w:tabs>
          <w:tab w:val="center" w:pos="1394"/>
          <w:tab w:val="center" w:pos="2833"/>
          <w:tab w:val="center" w:pos="3541"/>
          <w:tab w:val="center" w:pos="4249"/>
          <w:tab w:val="center" w:pos="4957"/>
          <w:tab w:val="center" w:pos="5665"/>
          <w:tab w:val="center" w:pos="6741"/>
          <w:tab w:val="center" w:pos="8109"/>
        </w:tabs>
        <w:ind w:left="0" w:firstLine="0"/>
      </w:pPr>
      <w:r>
        <w:rPr>
          <w:rFonts w:ascii="Calibri" w:eastAsia="Calibri" w:hAnsi="Calibri" w:cs="Calibri"/>
          <w:sz w:val="22"/>
        </w:rPr>
        <w:tab/>
      </w:r>
      <w:r>
        <w:t xml:space="preserve">valným zhromaždením.  </w:t>
      </w:r>
      <w:r>
        <w:tab/>
        <w:t xml:space="preserve"> </w:t>
      </w:r>
      <w:r>
        <w:tab/>
        <w:t xml:space="preserve"> </w:t>
      </w:r>
      <w:r>
        <w:tab/>
        <w:t xml:space="preserve"> </w:t>
      </w:r>
      <w:r>
        <w:tab/>
        <w:t xml:space="preserve"> </w:t>
      </w:r>
      <w:r>
        <w:tab/>
        <w:t xml:space="preserve"> </w:t>
      </w:r>
      <w:r>
        <w:tab/>
      </w:r>
      <w:r>
        <w:rPr>
          <w:rFonts w:ascii="Calibri" w:eastAsia="Calibri" w:hAnsi="Calibri" w:cs="Calibri"/>
          <w:noProof/>
          <w:sz w:val="22"/>
        </w:rPr>
        <mc:AlternateContent>
          <mc:Choice Requires="wpg">
            <w:drawing>
              <wp:inline distT="0" distB="0" distL="0" distR="0">
                <wp:extent cx="120396" cy="120396"/>
                <wp:effectExtent l="0" t="0" r="0" b="0"/>
                <wp:docPr id="15768" name="Group 15768"/>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148" name="Shape 148"/>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49" name="Shape 149"/>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0" name="Shape 150"/>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5768" style="width:9.48001pt;height:9.48001pt;mso-position-horizontal-relative:char;mso-position-vertical-relative:line" coordsize="1203,1203">
                <v:shape id="Shape 148" style="position:absolute;width:1173;height:1173;left:15;top:15;" coordsize="117348,117348" path="m0,117348l117348,117348l117348,0l0,0x">
                  <v:stroke weight="0.72pt" endcap="flat" joinstyle="round" on="true" color="#000000"/>
                  <v:fill on="false" color="#000000" opacity="0"/>
                </v:shape>
                <v:shape id="Shape 149" style="position:absolute;width:1203;height:1203;left:0;top:0;" coordsize="120396,120396" path="m0,0l120396,120396">
                  <v:stroke weight="0.48pt" endcap="flat" joinstyle="round" on="true" color="#000000"/>
                  <v:fill on="false" color="#000000" opacity="0"/>
                </v:shape>
                <v:shape id="Shape 150" style="position:absolute;width:1203;height:1203;left:0;top:0;" coordsize="120396,120396" path="m120396,0l0,120396">
                  <v:stroke weight="0.48pt" endcap="flat" joinstyle="round" on="true" color="#000000"/>
                  <v:fill on="false" color="#000000" opacity="0"/>
                </v:shape>
              </v:group>
            </w:pict>
          </mc:Fallback>
        </mc:AlternateContent>
      </w:r>
      <w:r>
        <w:t xml:space="preserve"> ÁNO </w:t>
      </w:r>
      <w:r>
        <w:tab/>
      </w:r>
      <w:r>
        <w:rPr>
          <w:rFonts w:ascii="Calibri" w:eastAsia="Calibri" w:hAnsi="Calibri" w:cs="Calibri"/>
          <w:noProof/>
          <w:sz w:val="22"/>
        </w:rPr>
        <mc:AlternateContent>
          <mc:Choice Requires="wpg">
            <w:drawing>
              <wp:inline distT="0" distB="0" distL="0" distR="0">
                <wp:extent cx="117348" cy="117348"/>
                <wp:effectExtent l="0" t="0" r="0" b="0"/>
                <wp:docPr id="15769" name="Group 15769"/>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154" name="Shape 154"/>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5769" style="width:9.23999pt;height:9.23999pt;mso-position-horizontal-relative:char;mso-position-vertical-relative:line" coordsize="1173,1173">
                <v:shape id="Shape 154" style="position:absolute;width:1173;height:1173;left:0;top:0;" coordsize="117348,117348" path="m0,117348l117348,117348l117348,0l0,0x">
                  <v:stroke weight="0.72pt" endcap="flat" joinstyle="round" on="true" color="#000000"/>
                  <v:fill on="false" color="#000000" opacity="0"/>
                </v:shape>
              </v:group>
            </w:pict>
          </mc:Fallback>
        </mc:AlternateContent>
      </w:r>
      <w:r>
        <w:t xml:space="preserve"> NIE </w:t>
      </w:r>
    </w:p>
    <w:p w:rsidR="002521E4" w:rsidRDefault="003D688F">
      <w:pPr>
        <w:spacing w:after="14" w:line="259" w:lineRule="auto"/>
        <w:ind w:left="360" w:firstLine="0"/>
      </w:pPr>
      <w:r>
        <w:t xml:space="preserve"> </w:t>
      </w:r>
    </w:p>
    <w:p w:rsidR="002521E4" w:rsidRDefault="003D688F">
      <w:pPr>
        <w:ind w:left="-5" w:right="86"/>
      </w:pPr>
      <w:r>
        <w:t>Účtovná závierka k 31.12.201</w:t>
      </w:r>
      <w:r w:rsidR="00197E51">
        <w:t>7</w:t>
      </w:r>
      <w:r>
        <w:t xml:space="preserve"> za predchádzajúce účtovné obdobie bola schválená uznesením valného zhromaždenia Spoločnosti dňa </w:t>
      </w:r>
      <w:r w:rsidR="00907F78">
        <w:t>4.4.2018</w:t>
      </w:r>
    </w:p>
    <w:p w:rsidR="002521E4" w:rsidRDefault="003D688F">
      <w:pPr>
        <w:spacing w:after="0" w:line="259" w:lineRule="auto"/>
        <w:ind w:left="0" w:firstLine="0"/>
      </w:pPr>
      <w:r>
        <w:t xml:space="preserve"> </w:t>
      </w:r>
    </w:p>
    <w:p w:rsidR="002521E4" w:rsidRDefault="003D688F">
      <w:pPr>
        <w:spacing w:after="12" w:line="259" w:lineRule="auto"/>
        <w:ind w:left="0" w:firstLine="0"/>
      </w:pPr>
      <w:r>
        <w:t xml:space="preserve"> </w:t>
      </w:r>
    </w:p>
    <w:p w:rsidR="002521E4" w:rsidRDefault="003D688F">
      <w:pPr>
        <w:pStyle w:val="Nadpis1"/>
        <w:tabs>
          <w:tab w:val="center" w:pos="793"/>
          <w:tab w:val="center" w:pos="4383"/>
        </w:tabs>
        <w:ind w:left="0" w:firstLine="0"/>
      </w:pPr>
      <w:r>
        <w:rPr>
          <w:rFonts w:ascii="Calibri" w:eastAsia="Calibri" w:hAnsi="Calibri" w:cs="Calibri"/>
          <w:b w:val="0"/>
          <w:sz w:val="22"/>
        </w:rPr>
        <w:tab/>
      </w:r>
      <w:r>
        <w:t xml:space="preserve">4. </w:t>
      </w:r>
      <w:r>
        <w:tab/>
        <w:t xml:space="preserve">  Zverejnenie účtovnej závierky za predchádzajúce účtovné obdobie </w:t>
      </w:r>
    </w:p>
    <w:p w:rsidR="002521E4" w:rsidRDefault="003D688F">
      <w:pPr>
        <w:spacing w:after="13" w:line="259" w:lineRule="auto"/>
        <w:ind w:left="0" w:firstLine="0"/>
      </w:pPr>
      <w:r>
        <w:t xml:space="preserve"> </w:t>
      </w:r>
    </w:p>
    <w:p w:rsidR="002521E4" w:rsidRDefault="003D688F">
      <w:pPr>
        <w:ind w:left="-5" w:right="86"/>
      </w:pPr>
      <w:r>
        <w:t>Účtovná závierka Spoločnosti k 31.12.201</w:t>
      </w:r>
      <w:r w:rsidR="000360AB">
        <w:t>7</w:t>
      </w:r>
      <w:r>
        <w:t xml:space="preserve"> bola uložená do registra účtovných závierok dňa</w:t>
      </w:r>
    </w:p>
    <w:p w:rsidR="00907F78" w:rsidRDefault="00907F78">
      <w:pPr>
        <w:ind w:left="-5" w:right="86"/>
      </w:pPr>
      <w:r>
        <w:t>28.3.2018.</w:t>
      </w:r>
    </w:p>
    <w:p w:rsidR="002521E4" w:rsidRDefault="003D688F">
      <w:pPr>
        <w:spacing w:after="18" w:line="259" w:lineRule="auto"/>
        <w:ind w:left="0" w:firstLine="0"/>
      </w:pPr>
      <w:r>
        <w:t xml:space="preserve"> </w:t>
      </w:r>
    </w:p>
    <w:p w:rsidR="002521E4" w:rsidRDefault="003D688F">
      <w:pPr>
        <w:ind w:left="-5" w:right="86"/>
      </w:pPr>
      <w:r>
        <w:t>Výročná správa spolu s dodatkom správy audítora o overení súladu výročnej správy s účtovnou závierkou bola uložená do registra účtovných závierok dňa</w:t>
      </w:r>
      <w:r w:rsidR="00907F78">
        <w:t xml:space="preserve"> 11.07.2018</w:t>
      </w:r>
      <w:r>
        <w:t xml:space="preserve"> </w:t>
      </w:r>
    </w:p>
    <w:p w:rsidR="002521E4" w:rsidRDefault="003D688F">
      <w:pPr>
        <w:spacing w:after="0" w:line="259" w:lineRule="auto"/>
        <w:ind w:left="0" w:firstLine="0"/>
      </w:pPr>
      <w:r>
        <w:t xml:space="preserve"> </w:t>
      </w:r>
    </w:p>
    <w:p w:rsidR="002521E4" w:rsidRDefault="003D688F">
      <w:pPr>
        <w:spacing w:after="18" w:line="259" w:lineRule="auto"/>
        <w:ind w:left="0" w:firstLine="0"/>
      </w:pPr>
      <w:r>
        <w:t xml:space="preserve"> </w:t>
      </w:r>
    </w:p>
    <w:p w:rsidR="002521E4" w:rsidRDefault="003D688F">
      <w:pPr>
        <w:ind w:left="-5" w:right="86"/>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 </w:t>
      </w:r>
    </w:p>
    <w:p w:rsidR="002521E4" w:rsidRDefault="003D688F">
      <w:pPr>
        <w:spacing w:after="0" w:line="259" w:lineRule="auto"/>
        <w:ind w:left="0" w:firstLine="0"/>
      </w:pPr>
      <w:r>
        <w:t xml:space="preserve"> </w:t>
      </w:r>
    </w:p>
    <w:p w:rsidR="002521E4" w:rsidRDefault="003D688F">
      <w:pPr>
        <w:spacing w:after="14" w:line="259" w:lineRule="auto"/>
        <w:ind w:left="0" w:firstLine="0"/>
      </w:pPr>
      <w:r>
        <w:t xml:space="preserve"> </w:t>
      </w:r>
    </w:p>
    <w:p w:rsidR="002521E4" w:rsidRDefault="003D688F">
      <w:pPr>
        <w:pStyle w:val="Nadpis1"/>
        <w:tabs>
          <w:tab w:val="center" w:pos="793"/>
          <w:tab w:val="center" w:pos="3224"/>
        </w:tabs>
        <w:ind w:left="0" w:firstLine="0"/>
      </w:pPr>
      <w:r>
        <w:rPr>
          <w:rFonts w:ascii="Calibri" w:eastAsia="Calibri" w:hAnsi="Calibri" w:cs="Calibri"/>
          <w:b w:val="0"/>
          <w:sz w:val="22"/>
        </w:rPr>
        <w:tab/>
      </w:r>
      <w:r>
        <w:t xml:space="preserve">5. </w:t>
      </w:r>
      <w:r>
        <w:tab/>
        <w:t xml:space="preserve">Právny dôvod zostavenia účtovnej závierky </w:t>
      </w:r>
    </w:p>
    <w:p w:rsidR="002521E4" w:rsidRDefault="003D688F">
      <w:pPr>
        <w:spacing w:after="32" w:line="259" w:lineRule="auto"/>
        <w:ind w:left="0" w:firstLine="0"/>
      </w:pPr>
      <w:r>
        <w:t xml:space="preserve"> </w:t>
      </w:r>
    </w:p>
    <w:p w:rsidR="002521E4" w:rsidRDefault="003D688F">
      <w:pPr>
        <w:ind w:left="345" w:right="3142" w:hanging="360"/>
      </w:pPr>
      <w:r>
        <w:rPr>
          <w:rFonts w:ascii="Segoe UI Symbol" w:eastAsia="Segoe UI Symbol" w:hAnsi="Segoe UI Symbol" w:cs="Segoe UI Symbol"/>
        </w:rPr>
        <w:lastRenderedPageBreak/>
        <w:t></w:t>
      </w:r>
      <w:r>
        <w:t xml:space="preserve"> </w:t>
      </w:r>
      <w:r>
        <w:tab/>
        <w:t xml:space="preserve">Účtovná závierka Spoločnosti je zostavená k poslednému dňu  účtovného obdobia ako riadna účtovná závierka </w:t>
      </w:r>
      <w:r>
        <w:tab/>
        <w:t xml:space="preserve"> podľa §17 ods. 6 zákona NR SR č. 431/2002 Z. z. o účtovníctve  </w:t>
      </w:r>
    </w:p>
    <w:p w:rsidR="002521E4" w:rsidRDefault="003D688F">
      <w:pPr>
        <w:tabs>
          <w:tab w:val="center" w:pos="2072"/>
          <w:tab w:val="center" w:pos="4249"/>
          <w:tab w:val="center" w:pos="4957"/>
          <w:tab w:val="center" w:pos="5665"/>
          <w:tab w:val="center" w:pos="6741"/>
          <w:tab w:val="center" w:pos="8109"/>
        </w:tabs>
        <w:ind w:left="0" w:firstLine="0"/>
      </w:pPr>
      <w:r>
        <w:rPr>
          <w:rFonts w:ascii="Calibri" w:eastAsia="Calibri" w:hAnsi="Calibri" w:cs="Calibri"/>
          <w:sz w:val="22"/>
        </w:rPr>
        <w:tab/>
      </w:r>
      <w:r>
        <w:t>za obdobie od 1.1.201</w:t>
      </w:r>
      <w:r w:rsidR="009A7DEC">
        <w:t>8</w:t>
      </w:r>
      <w:r>
        <w:t xml:space="preserve"> do 31.12.201</w:t>
      </w:r>
      <w:r w:rsidR="009A7DEC">
        <w:t>8</w:t>
      </w:r>
      <w:r>
        <w:t xml:space="preserve">  </w:t>
      </w:r>
      <w:r>
        <w:tab/>
        <w:t xml:space="preserve"> </w:t>
      </w:r>
      <w:r>
        <w:tab/>
        <w:t xml:space="preserve"> </w:t>
      </w:r>
      <w:r>
        <w:tab/>
        <w:t xml:space="preserve"> </w:t>
      </w:r>
      <w:r>
        <w:tab/>
      </w:r>
      <w:r>
        <w:rPr>
          <w:rFonts w:ascii="Calibri" w:eastAsia="Calibri" w:hAnsi="Calibri" w:cs="Calibri"/>
          <w:noProof/>
          <w:sz w:val="22"/>
        </w:rPr>
        <mc:AlternateContent>
          <mc:Choice Requires="wpg">
            <w:drawing>
              <wp:inline distT="0" distB="0" distL="0" distR="0">
                <wp:extent cx="120396" cy="120397"/>
                <wp:effectExtent l="0" t="0" r="0" b="0"/>
                <wp:docPr id="15770" name="Group 15770"/>
                <wp:cNvGraphicFramePr/>
                <a:graphic xmlns:a="http://schemas.openxmlformats.org/drawingml/2006/main">
                  <a:graphicData uri="http://schemas.microsoft.com/office/word/2010/wordprocessingGroup">
                    <wpg:wgp>
                      <wpg:cNvGrpSpPr/>
                      <wpg:grpSpPr>
                        <a:xfrm>
                          <a:off x="0" y="0"/>
                          <a:ext cx="120396" cy="120397"/>
                          <a:chOff x="0" y="0"/>
                          <a:chExt cx="120396" cy="120397"/>
                        </a:xfrm>
                      </wpg:grpSpPr>
                      <wps:wsp>
                        <wps:cNvPr id="262" name="Shape 262"/>
                        <wps:cNvSpPr/>
                        <wps:spPr>
                          <a:xfrm>
                            <a:off x="1524" y="1523"/>
                            <a:ext cx="117348" cy="117349"/>
                          </a:xfrm>
                          <a:custGeom>
                            <a:avLst/>
                            <a:gdLst/>
                            <a:ahLst/>
                            <a:cxnLst/>
                            <a:rect l="0" t="0" r="0" b="0"/>
                            <a:pathLst>
                              <a:path w="117348" h="117349">
                                <a:moveTo>
                                  <a:pt x="0" y="117349"/>
                                </a:moveTo>
                                <a:lnTo>
                                  <a:pt x="117348" y="117349"/>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263" name="Shape 263"/>
                        <wps:cNvSpPr/>
                        <wps:spPr>
                          <a:xfrm>
                            <a:off x="0" y="0"/>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264" name="Shape 264"/>
                        <wps:cNvSpPr/>
                        <wps:spPr>
                          <a:xfrm>
                            <a:off x="0" y="0"/>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5770" style="width:9.48001pt;height:9.48004pt;mso-position-horizontal-relative:char;mso-position-vertical-relative:line" coordsize="1203,1203">
                <v:shape id="Shape 262" style="position:absolute;width:1173;height:1173;left:15;top:15;" coordsize="117348,117349" path="m0,117349l117348,117349l117348,0l0,0x">
                  <v:stroke weight="0.72pt" endcap="flat" joinstyle="round" on="true" color="#000000"/>
                  <v:fill on="false" color="#000000" opacity="0"/>
                </v:shape>
                <v:shape id="Shape 263" style="position:absolute;width:1203;height:1203;left:0;top:0;" coordsize="120396,120397" path="m0,0l120396,120397">
                  <v:stroke weight="0.48pt" endcap="flat" joinstyle="round" on="true" color="#000000"/>
                  <v:fill on="false" color="#000000" opacity="0"/>
                </v:shape>
                <v:shape id="Shape 264" style="position:absolute;width:1203;height:1203;left:0;top:0;" coordsize="120396,120397" path="m120396,0l0,120397">
                  <v:stroke weight="0.48pt" endcap="flat" joinstyle="round" on="true" color="#000000"/>
                  <v:fill on="false" color="#000000" opacity="0"/>
                </v:shape>
              </v:group>
            </w:pict>
          </mc:Fallback>
        </mc:AlternateContent>
      </w:r>
      <w:r>
        <w:t xml:space="preserve"> ÁNO </w:t>
      </w:r>
      <w:r>
        <w:tab/>
      </w:r>
      <w:r>
        <w:rPr>
          <w:rFonts w:ascii="Calibri" w:eastAsia="Calibri" w:hAnsi="Calibri" w:cs="Calibri"/>
          <w:noProof/>
          <w:sz w:val="22"/>
        </w:rPr>
        <mc:AlternateContent>
          <mc:Choice Requires="wpg">
            <w:drawing>
              <wp:inline distT="0" distB="0" distL="0" distR="0">
                <wp:extent cx="117348" cy="117349"/>
                <wp:effectExtent l="0" t="0" r="0" b="0"/>
                <wp:docPr id="15771" name="Group 15771"/>
                <wp:cNvGraphicFramePr/>
                <a:graphic xmlns:a="http://schemas.openxmlformats.org/drawingml/2006/main">
                  <a:graphicData uri="http://schemas.microsoft.com/office/word/2010/wordprocessingGroup">
                    <wpg:wgp>
                      <wpg:cNvGrpSpPr/>
                      <wpg:grpSpPr>
                        <a:xfrm>
                          <a:off x="0" y="0"/>
                          <a:ext cx="117348" cy="117349"/>
                          <a:chOff x="0" y="0"/>
                          <a:chExt cx="117348" cy="117349"/>
                        </a:xfrm>
                      </wpg:grpSpPr>
                      <wps:wsp>
                        <wps:cNvPr id="268" name="Shape 268"/>
                        <wps:cNvSpPr/>
                        <wps:spPr>
                          <a:xfrm>
                            <a:off x="0" y="0"/>
                            <a:ext cx="117348" cy="117349"/>
                          </a:xfrm>
                          <a:custGeom>
                            <a:avLst/>
                            <a:gdLst/>
                            <a:ahLst/>
                            <a:cxnLst/>
                            <a:rect l="0" t="0" r="0" b="0"/>
                            <a:pathLst>
                              <a:path w="117348" h="117349">
                                <a:moveTo>
                                  <a:pt x="0" y="117349"/>
                                </a:moveTo>
                                <a:lnTo>
                                  <a:pt x="117348" y="117349"/>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5771" style="width:9.23999pt;height:9.24011pt;mso-position-horizontal-relative:char;mso-position-vertical-relative:line" coordsize="1173,1173">
                <v:shape id="Shape 268" style="position:absolute;width:1173;height:1173;left:0;top:0;" coordsize="117348,117349" path="m0,117349l117348,117349l117348,0l0,0x">
                  <v:stroke weight="0.72pt" endcap="flat" joinstyle="round" on="true" color="#000000"/>
                  <v:fill on="false" color="#000000" opacity="0"/>
                </v:shape>
              </v:group>
            </w:pict>
          </mc:Fallback>
        </mc:AlternateContent>
      </w:r>
      <w:r>
        <w:t xml:space="preserve"> NIE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307" w:line="259" w:lineRule="auto"/>
        <w:ind w:left="0" w:firstLine="0"/>
      </w:pPr>
      <w:r>
        <w:t xml:space="preserve"> </w:t>
      </w:r>
    </w:p>
    <w:p w:rsidR="002521E4" w:rsidRDefault="003D688F">
      <w:pPr>
        <w:spacing w:after="0" w:line="259" w:lineRule="auto"/>
        <w:ind w:left="0" w:firstLine="0"/>
      </w:pPr>
      <w:r>
        <w:rPr>
          <w:rFonts w:ascii="Garamond" w:eastAsia="Garamond" w:hAnsi="Garamond" w:cs="Garamond"/>
          <w:sz w:val="22"/>
        </w:rPr>
        <w:t xml:space="preserve"> </w:t>
      </w:r>
    </w:p>
    <w:p w:rsidR="002521E4" w:rsidRDefault="003D688F">
      <w:pPr>
        <w:spacing w:after="0" w:line="259" w:lineRule="auto"/>
        <w:ind w:left="0" w:firstLine="0"/>
      </w:pPr>
      <w:r>
        <w:t xml:space="preserve"> </w:t>
      </w:r>
    </w:p>
    <w:p w:rsidR="002521E4" w:rsidRDefault="003D688F">
      <w:pPr>
        <w:pStyle w:val="Nadpis1"/>
        <w:tabs>
          <w:tab w:val="center" w:pos="793"/>
          <w:tab w:val="center" w:pos="1929"/>
        </w:tabs>
        <w:ind w:left="0" w:firstLine="0"/>
      </w:pPr>
      <w:r>
        <w:rPr>
          <w:rFonts w:ascii="Calibri" w:eastAsia="Calibri" w:hAnsi="Calibri" w:cs="Calibri"/>
          <w:b w:val="0"/>
          <w:sz w:val="22"/>
        </w:rPr>
        <w:tab/>
      </w:r>
      <w:r>
        <w:t xml:space="preserve">6. </w:t>
      </w:r>
      <w:r>
        <w:tab/>
        <w:t xml:space="preserve">Údaje o skupine  </w:t>
      </w:r>
    </w:p>
    <w:p w:rsidR="002521E4" w:rsidRDefault="003D688F">
      <w:pPr>
        <w:spacing w:after="0" w:line="259" w:lineRule="auto"/>
        <w:ind w:left="0" w:firstLine="0"/>
      </w:pPr>
      <w:r>
        <w:t xml:space="preserve"> </w:t>
      </w:r>
    </w:p>
    <w:tbl>
      <w:tblPr>
        <w:tblStyle w:val="TableGrid"/>
        <w:tblW w:w="9014" w:type="dxa"/>
        <w:tblInd w:w="29" w:type="dxa"/>
        <w:tblCellMar>
          <w:top w:w="14" w:type="dxa"/>
          <w:left w:w="36" w:type="dxa"/>
          <w:right w:w="115" w:type="dxa"/>
        </w:tblCellMar>
        <w:tblLook w:val="04A0" w:firstRow="1" w:lastRow="0" w:firstColumn="1" w:lastColumn="0" w:noHBand="0" w:noVBand="1"/>
      </w:tblPr>
      <w:tblGrid>
        <w:gridCol w:w="2291"/>
        <w:gridCol w:w="2424"/>
        <w:gridCol w:w="2157"/>
        <w:gridCol w:w="2142"/>
      </w:tblGrid>
      <w:tr w:rsidR="002521E4">
        <w:trPr>
          <w:trHeight w:val="751"/>
        </w:trPr>
        <w:tc>
          <w:tcPr>
            <w:tcW w:w="2291"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4"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80" w:firstLine="0"/>
              <w:jc w:val="center"/>
            </w:pPr>
            <w:r>
              <w:rPr>
                <w:b/>
              </w:rPr>
              <w:t>Názov</w:t>
            </w:r>
          </w:p>
        </w:tc>
        <w:tc>
          <w:tcPr>
            <w:tcW w:w="2157"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84" w:firstLine="0"/>
              <w:jc w:val="center"/>
            </w:pPr>
            <w:r>
              <w:rPr>
                <w:b/>
              </w:rPr>
              <w:t>Sídlo</w:t>
            </w:r>
          </w:p>
        </w:tc>
        <w:tc>
          <w:tcPr>
            <w:tcW w:w="2142"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jc w:val="center"/>
            </w:pPr>
            <w:r>
              <w:rPr>
                <w:b/>
              </w:rPr>
              <w:t>Miesto uloženia konsolidovanej závierky</w:t>
            </w:r>
          </w:p>
        </w:tc>
      </w:tr>
      <w:tr w:rsidR="002521E4">
        <w:trPr>
          <w:trHeight w:val="501"/>
        </w:trPr>
        <w:tc>
          <w:tcPr>
            <w:tcW w:w="2291"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0" w:firstLine="0"/>
            </w:pPr>
            <w:r>
              <w:t>Koncern</w:t>
            </w:r>
          </w:p>
        </w:tc>
        <w:tc>
          <w:tcPr>
            <w:tcW w:w="2424"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 xml:space="preserve">IREKS </w:t>
            </w:r>
            <w:proofErr w:type="spellStart"/>
            <w:r>
              <w:t>GmbH</w:t>
            </w:r>
            <w:proofErr w:type="spellEnd"/>
          </w:p>
        </w:tc>
        <w:tc>
          <w:tcPr>
            <w:tcW w:w="2157"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proofErr w:type="spellStart"/>
            <w:r>
              <w:t>Lichterfelser</w:t>
            </w:r>
            <w:proofErr w:type="spellEnd"/>
            <w:r>
              <w:t xml:space="preserve"> Str.20 </w:t>
            </w:r>
          </w:p>
          <w:p w:rsidR="002521E4" w:rsidRDefault="003D688F">
            <w:pPr>
              <w:spacing w:after="0" w:line="259" w:lineRule="auto"/>
              <w:ind w:left="0" w:firstLine="0"/>
            </w:pPr>
            <w:proofErr w:type="spellStart"/>
            <w:r>
              <w:t>Kulmbach</w:t>
            </w:r>
            <w:proofErr w:type="spellEnd"/>
            <w:r>
              <w:t xml:space="preserve"> </w:t>
            </w:r>
          </w:p>
        </w:tc>
        <w:tc>
          <w:tcPr>
            <w:tcW w:w="2142"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proofErr w:type="spellStart"/>
            <w:r>
              <w:t>Lichterfelser</w:t>
            </w:r>
            <w:proofErr w:type="spellEnd"/>
            <w:r>
              <w:t xml:space="preserve"> Str.20 </w:t>
            </w:r>
          </w:p>
          <w:p w:rsidR="002521E4" w:rsidRDefault="003D688F">
            <w:pPr>
              <w:spacing w:after="0" w:line="259" w:lineRule="auto"/>
              <w:ind w:left="0" w:firstLine="0"/>
            </w:pPr>
            <w:proofErr w:type="spellStart"/>
            <w:r>
              <w:t>Kulmbach</w:t>
            </w:r>
            <w:proofErr w:type="spellEnd"/>
            <w:r>
              <w:t xml:space="preserve"> </w:t>
            </w:r>
          </w:p>
        </w:tc>
      </w:tr>
      <w:tr w:rsidR="002521E4">
        <w:trPr>
          <w:trHeight w:val="501"/>
        </w:trPr>
        <w:tc>
          <w:tcPr>
            <w:tcW w:w="2291"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Bezprostredný  materský podnik</w:t>
            </w:r>
          </w:p>
        </w:tc>
        <w:tc>
          <w:tcPr>
            <w:tcW w:w="2424"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IREKS ENZYMA s.r.o.</w:t>
            </w:r>
          </w:p>
        </w:tc>
        <w:tc>
          <w:tcPr>
            <w:tcW w:w="2157"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proofErr w:type="spellStart"/>
            <w:r>
              <w:t>Kšírova</w:t>
            </w:r>
            <w:proofErr w:type="spellEnd"/>
            <w:r>
              <w:t xml:space="preserve"> 668/257 Brno</w:t>
            </w:r>
          </w:p>
        </w:tc>
        <w:tc>
          <w:tcPr>
            <w:tcW w:w="2142"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bl>
    <w:p w:rsidR="002521E4" w:rsidRDefault="003D688F">
      <w:pPr>
        <w:spacing w:after="12" w:line="259" w:lineRule="auto"/>
        <w:ind w:left="0" w:firstLine="0"/>
      </w:pPr>
      <w:r>
        <w:t xml:space="preserve"> </w:t>
      </w:r>
    </w:p>
    <w:p w:rsidR="002521E4" w:rsidRDefault="003D688F">
      <w:pPr>
        <w:ind w:left="-5" w:right="86"/>
      </w:pPr>
      <w:r>
        <w:t xml:space="preserve">Spoločnosť sa zahŕňa do konsolidovanej účtovnej závierky spoločnosti IREKS </w:t>
      </w:r>
      <w:proofErr w:type="spellStart"/>
      <w:r>
        <w:t>GmbH</w:t>
      </w:r>
      <w:proofErr w:type="spellEnd"/>
      <w:r>
        <w:t xml:space="preserve">. Konsolidovaná účtovná závierka spoločnosti je k dispozícii v sídle materskej spoločnosti . </w:t>
      </w:r>
    </w:p>
    <w:p w:rsidR="002521E4" w:rsidRDefault="003D688F">
      <w:pPr>
        <w:spacing w:after="0" w:line="259" w:lineRule="auto"/>
        <w:ind w:left="0" w:firstLine="0"/>
      </w:pPr>
      <w:r>
        <w:t xml:space="preserve"> </w:t>
      </w:r>
    </w:p>
    <w:p w:rsidR="002521E4" w:rsidRDefault="003D688F">
      <w:pPr>
        <w:spacing w:after="10" w:line="259" w:lineRule="auto"/>
        <w:ind w:left="0" w:firstLine="0"/>
      </w:pPr>
      <w:r>
        <w:t xml:space="preserve"> </w:t>
      </w:r>
    </w:p>
    <w:p w:rsidR="002521E4" w:rsidRDefault="003D688F">
      <w:pPr>
        <w:pStyle w:val="Nadpis1"/>
        <w:tabs>
          <w:tab w:val="center" w:pos="793"/>
          <w:tab w:val="center" w:pos="2151"/>
        </w:tabs>
        <w:ind w:left="0" w:firstLine="0"/>
      </w:pPr>
      <w:r>
        <w:rPr>
          <w:rFonts w:ascii="Calibri" w:eastAsia="Calibri" w:hAnsi="Calibri" w:cs="Calibri"/>
          <w:b w:val="0"/>
          <w:sz w:val="22"/>
        </w:rPr>
        <w:tab/>
      </w:r>
      <w:r>
        <w:t xml:space="preserve">7. </w:t>
      </w:r>
      <w:r>
        <w:tab/>
        <w:t xml:space="preserve">Počet zamestnancov  </w:t>
      </w:r>
    </w:p>
    <w:p w:rsidR="002521E4" w:rsidRDefault="003D688F">
      <w:pPr>
        <w:spacing w:after="0" w:line="259" w:lineRule="auto"/>
        <w:ind w:left="0" w:firstLine="0"/>
      </w:pPr>
      <w:r>
        <w:t xml:space="preserve"> </w:t>
      </w:r>
    </w:p>
    <w:p w:rsidR="002521E4" w:rsidRDefault="003D688F">
      <w:pPr>
        <w:spacing w:after="20" w:line="259" w:lineRule="auto"/>
        <w:ind w:left="0" w:firstLine="0"/>
      </w:pPr>
      <w:r>
        <w:rPr>
          <w:i/>
          <w:color w:val="FF0000"/>
        </w:rPr>
        <w:t xml:space="preserve"> </w:t>
      </w:r>
    </w:p>
    <w:p w:rsidR="002521E4" w:rsidRDefault="003D688F">
      <w:pPr>
        <w:ind w:left="-5" w:right="86"/>
      </w:pPr>
      <w:r>
        <w:t xml:space="preserve">Údaje o priemernom prepočítanom počte zamestnancov sú uvedené v nasledujúcom prehľade: </w:t>
      </w:r>
    </w:p>
    <w:tbl>
      <w:tblPr>
        <w:tblStyle w:val="TableGrid"/>
        <w:tblW w:w="9048" w:type="dxa"/>
        <w:tblInd w:w="8" w:type="dxa"/>
        <w:tblCellMar>
          <w:top w:w="26" w:type="dxa"/>
          <w:left w:w="38" w:type="dxa"/>
          <w:bottom w:w="11" w:type="dxa"/>
          <w:right w:w="115" w:type="dxa"/>
        </w:tblCellMar>
        <w:tblLook w:val="04A0" w:firstRow="1" w:lastRow="0" w:firstColumn="1" w:lastColumn="0" w:noHBand="0" w:noVBand="1"/>
      </w:tblPr>
      <w:tblGrid>
        <w:gridCol w:w="4682"/>
        <w:gridCol w:w="2183"/>
        <w:gridCol w:w="2183"/>
      </w:tblGrid>
      <w:tr w:rsidR="002521E4">
        <w:trPr>
          <w:trHeight w:val="754"/>
        </w:trPr>
        <w:tc>
          <w:tcPr>
            <w:tcW w:w="4682" w:type="dxa"/>
            <w:tcBorders>
              <w:top w:val="single" w:sz="6" w:space="0" w:color="000000"/>
              <w:left w:val="single" w:sz="6" w:space="0" w:color="000000"/>
              <w:bottom w:val="single" w:sz="6" w:space="0" w:color="000000"/>
              <w:right w:val="single" w:sz="6" w:space="0" w:color="000000"/>
            </w:tcBorders>
            <w:vAlign w:val="bottom"/>
          </w:tcPr>
          <w:p w:rsidR="002521E4" w:rsidRDefault="003D688F">
            <w:pPr>
              <w:spacing w:after="0" w:line="259" w:lineRule="auto"/>
              <w:ind w:left="79" w:firstLine="0"/>
              <w:jc w:val="center"/>
            </w:pPr>
            <w:r>
              <w:rPr>
                <w:b/>
                <w:sz w:val="19"/>
              </w:rPr>
              <w:t>Názov položky</w:t>
            </w:r>
          </w:p>
        </w:tc>
        <w:tc>
          <w:tcPr>
            <w:tcW w:w="2183" w:type="dxa"/>
            <w:tcBorders>
              <w:top w:val="single" w:sz="6" w:space="0" w:color="000000"/>
              <w:left w:val="single" w:sz="6" w:space="0" w:color="000000"/>
              <w:bottom w:val="single" w:sz="6" w:space="0" w:color="000000"/>
              <w:right w:val="single" w:sz="6" w:space="0" w:color="000000"/>
            </w:tcBorders>
            <w:vAlign w:val="bottom"/>
          </w:tcPr>
          <w:p w:rsidR="002521E4" w:rsidRDefault="003D688F">
            <w:pPr>
              <w:spacing w:after="0" w:line="259" w:lineRule="auto"/>
              <w:ind w:left="0" w:firstLine="0"/>
              <w:jc w:val="center"/>
            </w:pPr>
            <w:r>
              <w:rPr>
                <w:b/>
                <w:sz w:val="19"/>
              </w:rPr>
              <w:t>Bežné účtovné obdobie</w:t>
            </w:r>
          </w:p>
        </w:tc>
        <w:tc>
          <w:tcPr>
            <w:tcW w:w="2183" w:type="dxa"/>
            <w:tcBorders>
              <w:top w:val="single" w:sz="6" w:space="0" w:color="000000"/>
              <w:left w:val="single" w:sz="6" w:space="0" w:color="000000"/>
              <w:bottom w:val="single" w:sz="6" w:space="0" w:color="000000"/>
              <w:right w:val="single" w:sz="6" w:space="0" w:color="000000"/>
            </w:tcBorders>
          </w:tcPr>
          <w:p w:rsidR="002521E4" w:rsidRDefault="003D688F">
            <w:pPr>
              <w:spacing w:after="0" w:line="259" w:lineRule="auto"/>
              <w:ind w:left="0" w:firstLine="6"/>
              <w:jc w:val="center"/>
            </w:pPr>
            <w:r>
              <w:rPr>
                <w:b/>
                <w:sz w:val="19"/>
              </w:rPr>
              <w:t>Bezprostredne predchádzajúce účtovné obdobie</w:t>
            </w:r>
          </w:p>
        </w:tc>
      </w:tr>
      <w:tr w:rsidR="002521E4">
        <w:trPr>
          <w:trHeight w:val="251"/>
        </w:trPr>
        <w:tc>
          <w:tcPr>
            <w:tcW w:w="4682" w:type="dxa"/>
            <w:tcBorders>
              <w:top w:val="single" w:sz="6" w:space="0" w:color="000000"/>
              <w:left w:val="single" w:sz="6" w:space="0" w:color="000000"/>
              <w:bottom w:val="single" w:sz="6" w:space="0" w:color="000000"/>
              <w:right w:val="single" w:sz="6" w:space="0" w:color="000000"/>
            </w:tcBorders>
          </w:tcPr>
          <w:p w:rsidR="002521E4" w:rsidRDefault="003D688F">
            <w:pPr>
              <w:spacing w:after="0" w:line="259" w:lineRule="auto"/>
              <w:ind w:left="0" w:firstLine="0"/>
            </w:pPr>
            <w:r>
              <w:rPr>
                <w:sz w:val="19"/>
              </w:rPr>
              <w:t>Priemerný prepočítaný počet zamestnancov</w:t>
            </w:r>
          </w:p>
        </w:tc>
        <w:tc>
          <w:tcPr>
            <w:tcW w:w="2183" w:type="dxa"/>
            <w:tcBorders>
              <w:top w:val="single" w:sz="6" w:space="0" w:color="000000"/>
              <w:left w:val="single" w:sz="6" w:space="0" w:color="000000"/>
              <w:bottom w:val="single" w:sz="6" w:space="0" w:color="000000"/>
              <w:right w:val="single" w:sz="6" w:space="0" w:color="000000"/>
            </w:tcBorders>
          </w:tcPr>
          <w:p w:rsidR="002521E4" w:rsidRDefault="00765334" w:rsidP="00197E51">
            <w:pPr>
              <w:spacing w:after="0" w:line="259" w:lineRule="auto"/>
              <w:ind w:left="82" w:firstLine="0"/>
            </w:pPr>
            <w:r>
              <w:t>34,42</w:t>
            </w:r>
          </w:p>
        </w:tc>
        <w:tc>
          <w:tcPr>
            <w:tcW w:w="2183" w:type="dxa"/>
            <w:tcBorders>
              <w:top w:val="single" w:sz="6" w:space="0" w:color="000000"/>
              <w:left w:val="single" w:sz="6" w:space="0" w:color="000000"/>
              <w:bottom w:val="single" w:sz="6" w:space="0" w:color="000000"/>
              <w:right w:val="single" w:sz="6" w:space="0" w:color="000000"/>
            </w:tcBorders>
          </w:tcPr>
          <w:p w:rsidR="002521E4" w:rsidRDefault="00197E51">
            <w:pPr>
              <w:spacing w:after="0" w:line="259" w:lineRule="auto"/>
              <w:ind w:left="82" w:firstLine="0"/>
              <w:jc w:val="center"/>
            </w:pPr>
            <w:r>
              <w:t>35</w:t>
            </w:r>
          </w:p>
        </w:tc>
      </w:tr>
    </w:tbl>
    <w:p w:rsidR="002521E4" w:rsidRDefault="003D688F">
      <w:pPr>
        <w:spacing w:after="0" w:line="259" w:lineRule="auto"/>
        <w:ind w:left="0" w:firstLine="0"/>
      </w:pPr>
      <w:r>
        <w:rPr>
          <w:i/>
          <w:color w:val="FF0000"/>
        </w:rPr>
        <w:t xml:space="preserve"> </w:t>
      </w:r>
    </w:p>
    <w:p w:rsidR="002521E4" w:rsidRDefault="003D688F">
      <w:pPr>
        <w:spacing w:after="6" w:line="259" w:lineRule="auto"/>
        <w:ind w:left="0" w:firstLine="0"/>
      </w:pPr>
      <w:r>
        <w:t xml:space="preserve"> </w:t>
      </w:r>
    </w:p>
    <w:p w:rsidR="002521E4" w:rsidRDefault="003D688F">
      <w:pPr>
        <w:spacing w:after="0" w:line="259" w:lineRule="auto"/>
        <w:ind w:left="-5"/>
      </w:pPr>
      <w:r>
        <w:rPr>
          <w:b/>
        </w:rPr>
        <w:t xml:space="preserve">B. INFORMÁCE O PRIJATÝCH ÚČTOVNÝCH POSTUPOCH </w:t>
      </w:r>
    </w:p>
    <w:p w:rsidR="002521E4" w:rsidRDefault="003D688F">
      <w:pPr>
        <w:spacing w:after="3" w:line="259" w:lineRule="auto"/>
        <w:ind w:left="0" w:firstLine="0"/>
      </w:pPr>
      <w:r>
        <w:rPr>
          <w:rFonts w:ascii="Garamond" w:eastAsia="Garamond" w:hAnsi="Garamond" w:cs="Garamond"/>
          <w:sz w:val="22"/>
        </w:rPr>
        <w:t xml:space="preserve"> </w:t>
      </w:r>
    </w:p>
    <w:p w:rsidR="002521E4" w:rsidRDefault="003D688F">
      <w:pPr>
        <w:pStyle w:val="Nadpis1"/>
        <w:tabs>
          <w:tab w:val="center" w:pos="793"/>
          <w:tab w:val="center" w:pos="3303"/>
        </w:tabs>
        <w:ind w:left="0" w:firstLine="0"/>
      </w:pPr>
      <w:r>
        <w:rPr>
          <w:rFonts w:ascii="Calibri" w:eastAsia="Calibri" w:hAnsi="Calibri" w:cs="Calibri"/>
          <w:b w:val="0"/>
          <w:sz w:val="22"/>
        </w:rPr>
        <w:tab/>
      </w:r>
      <w:r>
        <w:t xml:space="preserve">1. </w:t>
      </w:r>
      <w:r>
        <w:tab/>
        <w:t>Východiská pre zostavenie účto</w:t>
      </w:r>
      <w:bookmarkStart w:id="0" w:name="_GoBack"/>
      <w:bookmarkEnd w:id="0"/>
      <w:r>
        <w:t xml:space="preserve">vnej závierky </w:t>
      </w:r>
    </w:p>
    <w:p w:rsidR="002521E4" w:rsidRDefault="003D688F">
      <w:pPr>
        <w:spacing w:after="0" w:line="259" w:lineRule="auto"/>
        <w:ind w:left="0" w:firstLine="0"/>
      </w:pPr>
      <w:r>
        <w:t xml:space="preserve"> </w:t>
      </w:r>
    </w:p>
    <w:p w:rsidR="002521E4" w:rsidRDefault="003D688F">
      <w:pPr>
        <w:ind w:left="-5" w:right="86"/>
      </w:pPr>
      <w:r>
        <w:t xml:space="preserve">Účtovná závierka bola zostavená za predpokladu, že Spoločnosť bude nepretržite pokračovať vo svojej činnosti. </w:t>
      </w:r>
    </w:p>
    <w:p w:rsidR="002521E4" w:rsidRDefault="003D688F">
      <w:pPr>
        <w:spacing w:after="0" w:line="259" w:lineRule="auto"/>
        <w:ind w:left="0" w:firstLine="0"/>
      </w:pPr>
      <w:r>
        <w:t xml:space="preserve"> </w:t>
      </w:r>
    </w:p>
    <w:p w:rsidR="002521E4" w:rsidRDefault="003D688F">
      <w:pPr>
        <w:spacing w:after="13" w:line="259" w:lineRule="auto"/>
        <w:ind w:left="0" w:firstLine="0"/>
      </w:pPr>
      <w:r>
        <w:t xml:space="preserve"> </w:t>
      </w:r>
    </w:p>
    <w:p w:rsidR="002521E4" w:rsidRDefault="003D688F">
      <w:pPr>
        <w:pStyle w:val="Nadpis1"/>
        <w:tabs>
          <w:tab w:val="center" w:pos="793"/>
          <w:tab w:val="center" w:pos="2797"/>
        </w:tabs>
        <w:ind w:left="0" w:firstLine="0"/>
      </w:pPr>
      <w:r>
        <w:rPr>
          <w:rFonts w:ascii="Calibri" w:eastAsia="Calibri" w:hAnsi="Calibri" w:cs="Calibri"/>
          <w:b w:val="0"/>
          <w:sz w:val="22"/>
        </w:rPr>
        <w:tab/>
      </w:r>
      <w:r>
        <w:t xml:space="preserve">2. </w:t>
      </w:r>
      <w:r>
        <w:tab/>
        <w:t xml:space="preserve">Účtovné zásady a účtovné metódy  </w:t>
      </w:r>
    </w:p>
    <w:p w:rsidR="002521E4" w:rsidRDefault="003D688F">
      <w:pPr>
        <w:spacing w:after="18" w:line="259" w:lineRule="auto"/>
        <w:ind w:left="0" w:firstLine="0"/>
      </w:pPr>
      <w:r>
        <w:t xml:space="preserve"> </w:t>
      </w:r>
    </w:p>
    <w:p w:rsidR="002521E4" w:rsidRDefault="003D688F">
      <w:pPr>
        <w:ind w:left="-5" w:right="86"/>
      </w:pPr>
      <w:r>
        <w:t xml:space="preserve">Spoločnosť uplatnila účtovné zásady a účtovné metódy v súlade s platnými účtovnými predpismi.  </w:t>
      </w:r>
    </w:p>
    <w:p w:rsidR="002521E4" w:rsidRDefault="003D688F">
      <w:pPr>
        <w:spacing w:after="16" w:line="259" w:lineRule="auto"/>
        <w:ind w:left="0" w:firstLine="0"/>
      </w:pPr>
      <w:r>
        <w:t xml:space="preserve"> </w:t>
      </w:r>
    </w:p>
    <w:p w:rsidR="002521E4" w:rsidRDefault="003D688F">
      <w:pPr>
        <w:ind w:left="-5" w:right="314"/>
      </w:pPr>
      <w:r>
        <w:t xml:space="preserve">Spoločnosť vedie účtovníctvo na základe dodržania časovej a vecnej súvislosti nákladov a výnosov. Za základ sa berú všetky náklady a výnosy, ktoré sa vzťahujú na účtovné obdobie bez ohľadu na dátum ich platenia. </w:t>
      </w:r>
    </w:p>
    <w:p w:rsidR="002521E4" w:rsidRDefault="003D688F">
      <w:pPr>
        <w:spacing w:after="18" w:line="259" w:lineRule="auto"/>
        <w:ind w:left="0" w:firstLine="0"/>
      </w:pPr>
      <w:r>
        <w:t xml:space="preserve"> </w:t>
      </w:r>
    </w:p>
    <w:p w:rsidR="002521E4" w:rsidRDefault="003D688F">
      <w:pPr>
        <w:ind w:left="-5" w:right="86"/>
      </w:pPr>
      <w:r>
        <w:lastRenderedPageBreak/>
        <w:t xml:space="preserve">Účtovné metódy a všeobecné účtovné zásady boli účtovnou jednotkou konzistentne aplikované. </w:t>
      </w:r>
    </w:p>
    <w:p w:rsidR="002521E4" w:rsidRDefault="003D688F">
      <w:pPr>
        <w:spacing w:after="0" w:line="259" w:lineRule="auto"/>
        <w:ind w:left="0" w:firstLine="0"/>
      </w:pPr>
      <w:r>
        <w:t xml:space="preserve"> </w:t>
      </w:r>
    </w:p>
    <w:p w:rsidR="002521E4" w:rsidRDefault="003D688F">
      <w:pPr>
        <w:spacing w:after="15" w:line="259" w:lineRule="auto"/>
        <w:ind w:left="0" w:firstLine="0"/>
      </w:pPr>
      <w:r>
        <w:t xml:space="preserve"> </w:t>
      </w:r>
    </w:p>
    <w:p w:rsidR="002521E4" w:rsidRDefault="003D688F">
      <w:pPr>
        <w:pStyle w:val="Nadpis1"/>
        <w:tabs>
          <w:tab w:val="center" w:pos="793"/>
          <w:tab w:val="center" w:pos="3711"/>
        </w:tabs>
        <w:ind w:left="0" w:firstLine="0"/>
      </w:pPr>
      <w:r>
        <w:rPr>
          <w:rFonts w:ascii="Calibri" w:eastAsia="Calibri" w:hAnsi="Calibri" w:cs="Calibri"/>
          <w:b w:val="0"/>
          <w:sz w:val="22"/>
        </w:rPr>
        <w:tab/>
      </w:r>
      <w:r>
        <w:t xml:space="preserve">3. </w:t>
      </w:r>
      <w:r>
        <w:tab/>
        <w:t xml:space="preserve">Zmeny oproti predchádzajúcemu účtovnému obdobiu </w:t>
      </w:r>
    </w:p>
    <w:p w:rsidR="002521E4" w:rsidRDefault="003D688F">
      <w:pPr>
        <w:spacing w:after="0" w:line="259" w:lineRule="auto"/>
        <w:ind w:left="0" w:firstLine="0"/>
      </w:pPr>
      <w:r>
        <w:t xml:space="preserve"> </w:t>
      </w:r>
    </w:p>
    <w:tbl>
      <w:tblPr>
        <w:tblStyle w:val="TableGrid"/>
        <w:tblW w:w="8934" w:type="dxa"/>
        <w:tblInd w:w="9" w:type="dxa"/>
        <w:tblCellMar>
          <w:top w:w="4" w:type="dxa"/>
          <w:left w:w="36" w:type="dxa"/>
          <w:right w:w="168" w:type="dxa"/>
        </w:tblCellMar>
        <w:tblLook w:val="04A0" w:firstRow="1" w:lastRow="0" w:firstColumn="1" w:lastColumn="0" w:noHBand="0" w:noVBand="1"/>
      </w:tblPr>
      <w:tblGrid>
        <w:gridCol w:w="2172"/>
        <w:gridCol w:w="1936"/>
        <w:gridCol w:w="2398"/>
        <w:gridCol w:w="2428"/>
      </w:tblGrid>
      <w:tr w:rsidR="002521E4">
        <w:trPr>
          <w:trHeight w:val="1226"/>
        </w:trPr>
        <w:tc>
          <w:tcPr>
            <w:tcW w:w="2173"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137" w:firstLine="0"/>
              <w:jc w:val="center"/>
            </w:pPr>
            <w:r>
              <w:rPr>
                <w:b/>
              </w:rPr>
              <w:t>Druh zmeny</w:t>
            </w:r>
          </w:p>
        </w:tc>
        <w:tc>
          <w:tcPr>
            <w:tcW w:w="1936"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134" w:firstLine="0"/>
              <w:jc w:val="center"/>
            </w:pPr>
            <w:r>
              <w:rPr>
                <w:b/>
              </w:rPr>
              <w:t>Dôvod zmeny</w:t>
            </w:r>
          </w:p>
        </w:tc>
        <w:tc>
          <w:tcPr>
            <w:tcW w:w="2398" w:type="dxa"/>
            <w:tcBorders>
              <w:top w:val="single" w:sz="8" w:space="0" w:color="000000"/>
              <w:left w:val="single" w:sz="7" w:space="0" w:color="000000"/>
              <w:bottom w:val="single" w:sz="8" w:space="0" w:color="000000"/>
              <w:right w:val="single" w:sz="7" w:space="0" w:color="000000"/>
            </w:tcBorders>
            <w:vAlign w:val="center"/>
          </w:tcPr>
          <w:p w:rsidR="002521E4" w:rsidRDefault="003D688F">
            <w:pPr>
              <w:spacing w:after="0" w:line="259" w:lineRule="auto"/>
              <w:ind w:left="135" w:firstLine="0"/>
              <w:jc w:val="center"/>
            </w:pPr>
            <w:r>
              <w:rPr>
                <w:b/>
              </w:rPr>
              <w:t>Popis zmeny</w:t>
            </w:r>
          </w:p>
        </w:tc>
        <w:tc>
          <w:tcPr>
            <w:tcW w:w="2428"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70" w:lineRule="auto"/>
              <w:ind w:left="10" w:firstLine="0"/>
              <w:jc w:val="center"/>
            </w:pPr>
            <w:r>
              <w:rPr>
                <w:b/>
              </w:rPr>
              <w:t xml:space="preserve">Peňažné vyjadrenie vplyvu na hodnoty </w:t>
            </w:r>
          </w:p>
          <w:p w:rsidR="002521E4" w:rsidRDefault="003D688F">
            <w:pPr>
              <w:spacing w:after="0" w:line="259" w:lineRule="auto"/>
              <w:ind w:left="0" w:firstLine="0"/>
              <w:jc w:val="center"/>
            </w:pPr>
            <w:r>
              <w:rPr>
                <w:b/>
              </w:rPr>
              <w:t>majetku, záväzkov, vlastného imania, výsledku hospodárenia</w:t>
            </w:r>
          </w:p>
        </w:tc>
      </w:tr>
      <w:tr w:rsidR="002521E4">
        <w:trPr>
          <w:trHeight w:val="245"/>
        </w:trPr>
        <w:tc>
          <w:tcPr>
            <w:tcW w:w="2173"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Spôsob oceňovania</w:t>
            </w:r>
          </w:p>
        </w:tc>
        <w:tc>
          <w:tcPr>
            <w:tcW w:w="1936"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bez zmeny</w:t>
            </w:r>
          </w:p>
        </w:tc>
        <w:tc>
          <w:tcPr>
            <w:tcW w:w="239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r w:rsidR="002521E4">
        <w:trPr>
          <w:trHeight w:val="246"/>
        </w:trPr>
        <w:tc>
          <w:tcPr>
            <w:tcW w:w="2173"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Postupy účtovania</w:t>
            </w:r>
          </w:p>
        </w:tc>
        <w:tc>
          <w:tcPr>
            <w:tcW w:w="1936"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bez zmeny</w:t>
            </w:r>
          </w:p>
        </w:tc>
        <w:tc>
          <w:tcPr>
            <w:tcW w:w="239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r w:rsidR="002521E4">
        <w:trPr>
          <w:trHeight w:val="491"/>
        </w:trPr>
        <w:tc>
          <w:tcPr>
            <w:tcW w:w="2173"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Usporiadanie položiek účtovnej závierky</w:t>
            </w:r>
          </w:p>
        </w:tc>
        <w:tc>
          <w:tcPr>
            <w:tcW w:w="1936" w:type="dxa"/>
            <w:tcBorders>
              <w:top w:val="single" w:sz="8" w:space="0" w:color="000000"/>
              <w:left w:val="single" w:sz="7" w:space="0" w:color="000000"/>
              <w:bottom w:val="single" w:sz="8" w:space="0" w:color="000000"/>
              <w:right w:val="single" w:sz="7" w:space="0" w:color="000000"/>
            </w:tcBorders>
            <w:vAlign w:val="bottom"/>
          </w:tcPr>
          <w:p w:rsidR="002521E4" w:rsidRDefault="003D688F">
            <w:pPr>
              <w:spacing w:after="0" w:line="259" w:lineRule="auto"/>
              <w:ind w:left="0" w:firstLine="0"/>
            </w:pPr>
            <w:r>
              <w:t>bez zmeny</w:t>
            </w:r>
          </w:p>
        </w:tc>
        <w:tc>
          <w:tcPr>
            <w:tcW w:w="239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r w:rsidR="002521E4">
        <w:trPr>
          <w:trHeight w:val="736"/>
        </w:trPr>
        <w:tc>
          <w:tcPr>
            <w:tcW w:w="2173"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right="67" w:firstLine="0"/>
              <w:jc w:val="both"/>
            </w:pPr>
            <w:r>
              <w:t>Obsahové vymedzenie položiek účtovnej závierky</w:t>
            </w:r>
          </w:p>
        </w:tc>
        <w:tc>
          <w:tcPr>
            <w:tcW w:w="1936" w:type="dxa"/>
            <w:tcBorders>
              <w:top w:val="single" w:sz="8" w:space="0" w:color="000000"/>
              <w:left w:val="single" w:sz="7" w:space="0" w:color="000000"/>
              <w:bottom w:val="single" w:sz="8" w:space="0" w:color="000000"/>
              <w:right w:val="single" w:sz="7" w:space="0" w:color="000000"/>
            </w:tcBorders>
            <w:vAlign w:val="bottom"/>
          </w:tcPr>
          <w:p w:rsidR="002521E4" w:rsidRDefault="003D688F">
            <w:pPr>
              <w:spacing w:after="0" w:line="259" w:lineRule="auto"/>
              <w:ind w:left="0" w:firstLine="0"/>
            </w:pPr>
            <w:r>
              <w:t>bez zmeny</w:t>
            </w:r>
          </w:p>
        </w:tc>
        <w:tc>
          <w:tcPr>
            <w:tcW w:w="239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r w:rsidR="002521E4">
        <w:trPr>
          <w:trHeight w:val="245"/>
        </w:trPr>
        <w:tc>
          <w:tcPr>
            <w:tcW w:w="2173"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Spôsob odpisovania</w:t>
            </w:r>
          </w:p>
        </w:tc>
        <w:tc>
          <w:tcPr>
            <w:tcW w:w="1936" w:type="dxa"/>
            <w:tcBorders>
              <w:top w:val="single" w:sz="8" w:space="0" w:color="000000"/>
              <w:left w:val="single" w:sz="7" w:space="0" w:color="000000"/>
              <w:bottom w:val="single" w:sz="8" w:space="0" w:color="000000"/>
              <w:right w:val="single" w:sz="7" w:space="0" w:color="000000"/>
            </w:tcBorders>
          </w:tcPr>
          <w:p w:rsidR="002521E4" w:rsidRDefault="003D688F">
            <w:pPr>
              <w:spacing w:after="0" w:line="259" w:lineRule="auto"/>
              <w:ind w:left="0" w:firstLine="0"/>
            </w:pPr>
            <w:r>
              <w:t>bez zmeny</w:t>
            </w:r>
          </w:p>
        </w:tc>
        <w:tc>
          <w:tcPr>
            <w:tcW w:w="239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c>
          <w:tcPr>
            <w:tcW w:w="2428" w:type="dxa"/>
            <w:tcBorders>
              <w:top w:val="single" w:sz="8" w:space="0" w:color="000000"/>
              <w:left w:val="single" w:sz="7" w:space="0" w:color="000000"/>
              <w:bottom w:val="single" w:sz="8" w:space="0" w:color="000000"/>
              <w:right w:val="single" w:sz="7" w:space="0" w:color="000000"/>
            </w:tcBorders>
          </w:tcPr>
          <w:p w:rsidR="002521E4" w:rsidRDefault="002521E4">
            <w:pPr>
              <w:spacing w:after="160" w:line="259" w:lineRule="auto"/>
              <w:ind w:left="0" w:firstLine="0"/>
            </w:pPr>
          </w:p>
        </w:tc>
      </w:tr>
    </w:tbl>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pStyle w:val="Nadpis1"/>
        <w:tabs>
          <w:tab w:val="center" w:pos="791"/>
          <w:tab w:val="center" w:pos="4168"/>
        </w:tabs>
        <w:ind w:left="0" w:firstLine="0"/>
      </w:pPr>
      <w:r>
        <w:rPr>
          <w:rFonts w:ascii="Calibri" w:eastAsia="Calibri" w:hAnsi="Calibri" w:cs="Calibri"/>
          <w:b w:val="0"/>
          <w:sz w:val="22"/>
        </w:rPr>
        <w:tab/>
      </w:r>
      <w:r>
        <w:t xml:space="preserve">4. </w:t>
      </w:r>
      <w:r>
        <w:tab/>
        <w:t xml:space="preserve">Informácie o významných transakciách neuvádzaných v súvahe </w:t>
      </w:r>
    </w:p>
    <w:p w:rsidR="002521E4" w:rsidRDefault="003D688F">
      <w:pPr>
        <w:spacing w:after="0" w:line="259" w:lineRule="auto"/>
        <w:ind w:left="0" w:firstLine="0"/>
      </w:pPr>
      <w:r>
        <w:rPr>
          <w:i/>
          <w:color w:val="FF0000"/>
        </w:rPr>
        <w:t xml:space="preserve"> </w:t>
      </w:r>
    </w:p>
    <w:p w:rsidR="002521E4" w:rsidRDefault="003D688F">
      <w:pPr>
        <w:spacing w:after="17" w:line="259" w:lineRule="auto"/>
        <w:ind w:left="0" w:firstLine="0"/>
      </w:pPr>
      <w:r>
        <w:rPr>
          <w:color w:val="FF0000"/>
        </w:rPr>
        <w:t xml:space="preserve"> </w:t>
      </w:r>
    </w:p>
    <w:p w:rsidR="002521E4" w:rsidRDefault="003D688F">
      <w:pPr>
        <w:ind w:left="-5" w:right="86"/>
      </w:pPr>
      <w:r>
        <w:t xml:space="preserve">V bežnom účtovnom období neboli realizované transakcie, ktoré by mali významný vplyv na posúdenie finančnej situáciu Spoločnosti.  </w:t>
      </w:r>
    </w:p>
    <w:p w:rsidR="002521E4" w:rsidRDefault="003D688F">
      <w:pPr>
        <w:spacing w:after="0" w:line="259" w:lineRule="auto"/>
        <w:ind w:left="0" w:firstLine="0"/>
      </w:pPr>
      <w:r>
        <w:t xml:space="preserve"> </w:t>
      </w:r>
    </w:p>
    <w:p w:rsidR="002521E4" w:rsidRDefault="003D688F">
      <w:pPr>
        <w:spacing w:after="14" w:line="259" w:lineRule="auto"/>
        <w:ind w:left="0" w:firstLine="0"/>
      </w:pPr>
      <w:r>
        <w:t xml:space="preserve"> </w:t>
      </w:r>
    </w:p>
    <w:p w:rsidR="002521E4" w:rsidRDefault="003D688F">
      <w:pPr>
        <w:pStyle w:val="Nadpis1"/>
        <w:tabs>
          <w:tab w:val="center" w:pos="793"/>
          <w:tab w:val="center" w:pos="4453"/>
        </w:tabs>
        <w:ind w:left="0" w:firstLine="0"/>
      </w:pPr>
      <w:r>
        <w:rPr>
          <w:rFonts w:ascii="Calibri" w:eastAsia="Calibri" w:hAnsi="Calibri" w:cs="Calibri"/>
          <w:b w:val="0"/>
          <w:sz w:val="22"/>
        </w:rPr>
        <w:tab/>
      </w:r>
      <w:r>
        <w:t xml:space="preserve">5. </w:t>
      </w:r>
      <w:r>
        <w:tab/>
        <w:t xml:space="preserve">Spôsob a určenie ocenenia jednotlivých položiek majetku a záväzkov </w:t>
      </w:r>
    </w:p>
    <w:p w:rsidR="002521E4" w:rsidRDefault="003D688F">
      <w:pPr>
        <w:spacing w:after="11" w:line="259" w:lineRule="auto"/>
        <w:ind w:left="0" w:firstLine="0"/>
      </w:pPr>
      <w:r>
        <w:t xml:space="preserve"> </w:t>
      </w:r>
    </w:p>
    <w:p w:rsidR="002521E4" w:rsidRDefault="003D688F">
      <w:pPr>
        <w:pStyle w:val="Nadpis2"/>
        <w:tabs>
          <w:tab w:val="center" w:pos="3291"/>
        </w:tabs>
        <w:ind w:left="-15" w:firstLine="0"/>
      </w:pPr>
      <w:r>
        <w:t xml:space="preserve">5.1. </w:t>
      </w:r>
      <w:r>
        <w:tab/>
        <w:t xml:space="preserve">Dlhodobý nehmotný majetok a dlhodobý hmotný majetok </w:t>
      </w:r>
    </w:p>
    <w:p w:rsidR="002521E4" w:rsidRDefault="003D688F">
      <w:pPr>
        <w:spacing w:after="0" w:line="259" w:lineRule="auto"/>
        <w:ind w:left="0" w:firstLine="0"/>
      </w:pPr>
      <w:r>
        <w:t xml:space="preserve"> </w:t>
      </w:r>
    </w:p>
    <w:p w:rsidR="002521E4" w:rsidRDefault="003D688F">
      <w:pPr>
        <w:ind w:left="-5" w:right="86"/>
      </w:pPr>
      <w:r>
        <w:t xml:space="preserve">Dlhodobý majetok nakupovaný sa oceňuje obstarávacou cenou, ktorá zahŕňa cenu obstarania a náklady súvisiace s obstaraním (clo, prepravu, montáž, poistné a pod.). </w:t>
      </w:r>
    </w:p>
    <w:p w:rsidR="002521E4" w:rsidRDefault="003D688F">
      <w:pPr>
        <w:spacing w:after="0" w:line="259" w:lineRule="auto"/>
        <w:ind w:left="0" w:firstLine="0"/>
      </w:pPr>
      <w:r>
        <w:t xml:space="preserve"> </w:t>
      </w:r>
    </w:p>
    <w:p w:rsidR="002521E4" w:rsidRDefault="003D688F">
      <w:pPr>
        <w:ind w:left="-5" w:right="86"/>
      </w:pPr>
      <w:r>
        <w:t xml:space="preserve">Súčasťou obstarávacej ceny dlhodobého hmotného majetku od 1. januára 2003 nie sú úroky z cudzích zdrojov ani realizované kurzové rozdiely, ktoré vznikli do momentu uvedenia dlhodobého majetku do používania. </w:t>
      </w:r>
    </w:p>
    <w:p w:rsidR="002521E4" w:rsidRDefault="003D688F">
      <w:pPr>
        <w:spacing w:after="0" w:line="259" w:lineRule="auto"/>
        <w:ind w:left="0" w:firstLine="0"/>
      </w:pPr>
      <w:r>
        <w:t xml:space="preserve"> </w:t>
      </w:r>
    </w:p>
    <w:p w:rsidR="002521E4" w:rsidRDefault="003D688F">
      <w:pPr>
        <w:ind w:left="-5" w:right="86"/>
      </w:pPr>
      <w:r>
        <w:t xml:space="preserve">Súčasťou obstarávacej ceny dlhodobého nehmotného majetku nie sú od 1. júla 2010 úroky z cudzích zdrojov, ktoré vznikli do momentu zaradenia dlhodobého nehmotného majetku do používania. </w:t>
      </w:r>
    </w:p>
    <w:p w:rsidR="002521E4" w:rsidRDefault="003D688F">
      <w:pPr>
        <w:spacing w:after="0" w:line="259" w:lineRule="auto"/>
        <w:ind w:left="0" w:firstLine="0"/>
      </w:pPr>
      <w:r>
        <w:t xml:space="preserve"> </w:t>
      </w:r>
    </w:p>
    <w:p w:rsidR="002521E4" w:rsidRDefault="003D688F">
      <w:pPr>
        <w:ind w:left="-5" w:right="86"/>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521E4" w:rsidRDefault="003D688F">
      <w:pPr>
        <w:spacing w:after="18" w:line="259" w:lineRule="auto"/>
        <w:ind w:left="0" w:firstLine="0"/>
      </w:pPr>
      <w:r>
        <w:t xml:space="preserve"> </w:t>
      </w:r>
    </w:p>
    <w:p w:rsidR="002521E4" w:rsidRDefault="003D688F">
      <w:pPr>
        <w:ind w:left="-5" w:right="86"/>
      </w:pPr>
      <w:r>
        <w:t xml:space="preserve">Dlhodobý majetok nadobudnutý bezodplatne sa oceňuje reálnou hodnotou. </w:t>
      </w:r>
    </w:p>
    <w:p w:rsidR="002521E4" w:rsidRDefault="003D688F">
      <w:pPr>
        <w:spacing w:after="0" w:line="259" w:lineRule="auto"/>
        <w:ind w:left="0" w:firstLine="0"/>
      </w:pPr>
      <w:r>
        <w:t xml:space="preserve"> </w:t>
      </w:r>
    </w:p>
    <w:p w:rsidR="002521E4" w:rsidRDefault="003D688F">
      <w:pPr>
        <w:ind w:left="-5" w:right="86"/>
      </w:pPr>
      <w:r>
        <w:t xml:space="preserve">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 </w:t>
      </w:r>
    </w:p>
    <w:p w:rsidR="002521E4" w:rsidRDefault="003D688F">
      <w:pPr>
        <w:spacing w:after="0" w:line="259" w:lineRule="auto"/>
        <w:ind w:left="0" w:firstLine="0"/>
      </w:pPr>
      <w:r>
        <w:t xml:space="preserve"> </w:t>
      </w:r>
    </w:p>
    <w:p w:rsidR="002521E4" w:rsidRDefault="003D688F">
      <w:pPr>
        <w:ind w:left="-5" w:right="86"/>
      </w:pPr>
      <w:r>
        <w:t xml:space="preserve">Dlhodobý majetok nadobudnutý bezodplatne od spoločníkov alebo členov, ktorým sa nezvyšuje základné imanie, sa účtuje bez vplyvu na výsledok hospodárenia priamo do vlastného imania na účet Ostatné kapitálové fondy. </w:t>
      </w:r>
    </w:p>
    <w:p w:rsidR="002521E4" w:rsidRDefault="003D688F">
      <w:pPr>
        <w:spacing w:after="0" w:line="259" w:lineRule="auto"/>
        <w:ind w:left="0" w:firstLine="0"/>
      </w:pPr>
      <w:r>
        <w:lastRenderedPageBreak/>
        <w:t xml:space="preserve"> </w:t>
      </w:r>
    </w:p>
    <w:p w:rsidR="002521E4" w:rsidRDefault="003D688F">
      <w:pPr>
        <w:ind w:left="-5"/>
      </w:pPr>
      <w: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rsidR="002521E4" w:rsidRDefault="003D688F">
      <w:pPr>
        <w:spacing w:after="0" w:line="259" w:lineRule="auto"/>
        <w:ind w:left="0" w:firstLine="0"/>
      </w:pPr>
      <w:r>
        <w:t xml:space="preserve"> </w:t>
      </w:r>
    </w:p>
    <w:p w:rsidR="002521E4" w:rsidRDefault="003D688F">
      <w:pPr>
        <w:ind w:left="-5" w:right="86"/>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2521E4" w:rsidRDefault="003D688F">
      <w:pPr>
        <w:spacing w:after="0" w:line="259" w:lineRule="auto"/>
        <w:ind w:left="0" w:firstLine="0"/>
      </w:pPr>
      <w:r>
        <w:t xml:space="preserve"> </w:t>
      </w:r>
    </w:p>
    <w:p w:rsidR="002521E4" w:rsidRDefault="003D688F">
      <w:pPr>
        <w:ind w:left="-5" w:right="86"/>
      </w:pPr>
      <w: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2521E4" w:rsidRDefault="003D688F">
      <w:pPr>
        <w:spacing w:after="0" w:line="259" w:lineRule="auto"/>
        <w:ind w:left="0" w:firstLine="0"/>
      </w:pPr>
      <w: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pStyle w:val="Nadpis2"/>
        <w:tabs>
          <w:tab w:val="center" w:pos="3180"/>
        </w:tabs>
        <w:ind w:left="-15" w:firstLine="0"/>
      </w:pPr>
      <w:r>
        <w:t xml:space="preserve">5.2. </w:t>
      </w:r>
      <w:r>
        <w:tab/>
        <w:t xml:space="preserve">Spôsob zostavenia odpisového plánu (účtovné odpisy) </w:t>
      </w:r>
    </w:p>
    <w:p w:rsidR="002521E4" w:rsidRDefault="003D688F">
      <w:pPr>
        <w:spacing w:after="0" w:line="259" w:lineRule="auto"/>
        <w:ind w:left="0" w:firstLine="0"/>
      </w:pPr>
      <w:r>
        <w:t xml:space="preserve"> </w:t>
      </w:r>
    </w:p>
    <w:p w:rsidR="002521E4" w:rsidRDefault="003D688F">
      <w:pPr>
        <w:ind w:left="-5" w:right="86"/>
      </w:pPr>
      <w:r>
        <w:t xml:space="preserve">Predpokladaná doba používania, metóda odpisovania a odpisová sadzba dlhodobého majetku sú uvedené v nasledujúcej tabuľke: </w:t>
      </w:r>
    </w:p>
    <w:p w:rsidR="002521E4" w:rsidRDefault="003D688F">
      <w:pPr>
        <w:spacing w:after="0" w:line="259" w:lineRule="auto"/>
        <w:ind w:left="0" w:firstLine="0"/>
      </w:pPr>
      <w:r>
        <w:t xml:space="preserve"> </w:t>
      </w:r>
    </w:p>
    <w:tbl>
      <w:tblPr>
        <w:tblStyle w:val="TableGrid"/>
        <w:tblW w:w="9082" w:type="dxa"/>
        <w:tblInd w:w="10" w:type="dxa"/>
        <w:tblCellMar>
          <w:top w:w="5" w:type="dxa"/>
          <w:left w:w="39" w:type="dxa"/>
          <w:right w:w="9" w:type="dxa"/>
        </w:tblCellMar>
        <w:tblLook w:val="04A0" w:firstRow="1" w:lastRow="0" w:firstColumn="1" w:lastColumn="0" w:noHBand="0" w:noVBand="1"/>
      </w:tblPr>
      <w:tblGrid>
        <w:gridCol w:w="523"/>
        <w:gridCol w:w="2991"/>
        <w:gridCol w:w="1866"/>
        <w:gridCol w:w="1867"/>
        <w:gridCol w:w="1835"/>
      </w:tblGrid>
      <w:tr w:rsidR="002521E4">
        <w:trPr>
          <w:trHeight w:val="786"/>
        </w:trPr>
        <w:tc>
          <w:tcPr>
            <w:tcW w:w="522" w:type="dxa"/>
            <w:tcBorders>
              <w:top w:val="single" w:sz="8" w:space="0" w:color="000000"/>
              <w:left w:val="single" w:sz="8" w:space="0" w:color="000000"/>
              <w:bottom w:val="single" w:sz="8" w:space="0" w:color="000000"/>
              <w:right w:val="single" w:sz="8" w:space="0" w:color="000000"/>
            </w:tcBorders>
            <w:vAlign w:val="center"/>
          </w:tcPr>
          <w:p w:rsidR="002521E4" w:rsidRDefault="003D688F">
            <w:pPr>
              <w:spacing w:after="0" w:line="259" w:lineRule="auto"/>
              <w:ind w:left="0" w:firstLine="0"/>
              <w:jc w:val="center"/>
            </w:pPr>
            <w:r>
              <w:rPr>
                <w:b/>
              </w:rPr>
              <w:t xml:space="preserve">Por. </w:t>
            </w:r>
            <w:proofErr w:type="spellStart"/>
            <w:r>
              <w:rPr>
                <w:b/>
              </w:rPr>
              <w:t>čís</w:t>
            </w:r>
            <w:proofErr w:type="spellEnd"/>
            <w:r>
              <w:rPr>
                <w:b/>
              </w:rPr>
              <w:t>.</w:t>
            </w:r>
          </w:p>
        </w:tc>
        <w:tc>
          <w:tcPr>
            <w:tcW w:w="2991" w:type="dxa"/>
            <w:tcBorders>
              <w:top w:val="single" w:sz="8" w:space="0" w:color="000000"/>
              <w:left w:val="single" w:sz="8" w:space="0" w:color="000000"/>
              <w:bottom w:val="single" w:sz="8" w:space="0" w:color="000000"/>
              <w:right w:val="single" w:sz="8" w:space="0" w:color="000000"/>
            </w:tcBorders>
            <w:vAlign w:val="center"/>
          </w:tcPr>
          <w:p w:rsidR="002521E4" w:rsidRDefault="003D688F">
            <w:pPr>
              <w:spacing w:after="0" w:line="259" w:lineRule="auto"/>
              <w:ind w:left="0" w:firstLine="0"/>
              <w:jc w:val="center"/>
            </w:pPr>
            <w:r>
              <w:rPr>
                <w:b/>
              </w:rPr>
              <w:t>Druh dlhodobého hmotného a nehmotného majetku</w:t>
            </w:r>
          </w:p>
        </w:tc>
        <w:tc>
          <w:tcPr>
            <w:tcW w:w="1866" w:type="dxa"/>
            <w:tcBorders>
              <w:top w:val="single" w:sz="8" w:space="0" w:color="000000"/>
              <w:left w:val="single" w:sz="8" w:space="0" w:color="000000"/>
              <w:bottom w:val="single" w:sz="8" w:space="0" w:color="000000"/>
              <w:right w:val="single" w:sz="8" w:space="0" w:color="000000"/>
            </w:tcBorders>
            <w:vAlign w:val="center"/>
          </w:tcPr>
          <w:p w:rsidR="002521E4" w:rsidRDefault="003D688F">
            <w:pPr>
              <w:spacing w:after="0" w:line="259" w:lineRule="auto"/>
              <w:ind w:left="0" w:firstLine="0"/>
              <w:jc w:val="center"/>
            </w:pPr>
            <w:r>
              <w:rPr>
                <w:b/>
              </w:rPr>
              <w:t>Predpokladaná doba používania</w:t>
            </w:r>
          </w:p>
        </w:tc>
        <w:tc>
          <w:tcPr>
            <w:tcW w:w="1867" w:type="dxa"/>
            <w:tcBorders>
              <w:top w:val="single" w:sz="8" w:space="0" w:color="000000"/>
              <w:left w:val="single" w:sz="8" w:space="0" w:color="000000"/>
              <w:bottom w:val="single" w:sz="8" w:space="0" w:color="000000"/>
              <w:right w:val="single" w:sz="8" w:space="0" w:color="000000"/>
            </w:tcBorders>
            <w:vAlign w:val="center"/>
          </w:tcPr>
          <w:p w:rsidR="002521E4" w:rsidRDefault="003D688F">
            <w:pPr>
              <w:spacing w:after="0" w:line="259" w:lineRule="auto"/>
              <w:ind w:left="0" w:firstLine="0"/>
              <w:jc w:val="center"/>
            </w:pPr>
            <w:r>
              <w:rPr>
                <w:b/>
              </w:rPr>
              <w:t>Ročná odpisová sadzba v %</w:t>
            </w:r>
          </w:p>
        </w:tc>
        <w:tc>
          <w:tcPr>
            <w:tcW w:w="1835" w:type="dxa"/>
            <w:tcBorders>
              <w:top w:val="single" w:sz="8" w:space="0" w:color="000000"/>
              <w:left w:val="single" w:sz="8" w:space="0" w:color="000000"/>
              <w:bottom w:val="single" w:sz="8" w:space="0" w:color="000000"/>
              <w:right w:val="single" w:sz="8" w:space="0" w:color="000000"/>
            </w:tcBorders>
            <w:vAlign w:val="center"/>
          </w:tcPr>
          <w:p w:rsidR="002521E4" w:rsidRDefault="003D688F">
            <w:pPr>
              <w:spacing w:after="0" w:line="259" w:lineRule="auto"/>
              <w:ind w:left="0" w:firstLine="0"/>
              <w:jc w:val="center"/>
            </w:pPr>
            <w:r>
              <w:rPr>
                <w:b/>
              </w:rPr>
              <w:t>Metóda odpisovania</w:t>
            </w:r>
          </w:p>
        </w:tc>
      </w:tr>
      <w:tr w:rsidR="002521E4">
        <w:trPr>
          <w:trHeight w:val="248"/>
        </w:trPr>
        <w:tc>
          <w:tcPr>
            <w:tcW w:w="522"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1.</w:t>
            </w:r>
          </w:p>
        </w:tc>
        <w:tc>
          <w:tcPr>
            <w:tcW w:w="2991"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firstLine="0"/>
            </w:pPr>
            <w:r>
              <w:t>Software</w:t>
            </w:r>
          </w:p>
        </w:tc>
        <w:tc>
          <w:tcPr>
            <w:tcW w:w="1866"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3" w:firstLine="0"/>
              <w:jc w:val="center"/>
            </w:pPr>
            <w:r>
              <w:t>6 rokov</w:t>
            </w:r>
          </w:p>
        </w:tc>
        <w:tc>
          <w:tcPr>
            <w:tcW w:w="1867"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3" w:firstLine="0"/>
              <w:jc w:val="center"/>
            </w:pPr>
            <w:r>
              <w:t>1/6</w:t>
            </w:r>
          </w:p>
        </w:tc>
        <w:tc>
          <w:tcPr>
            <w:tcW w:w="1835"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5" w:firstLine="0"/>
              <w:jc w:val="center"/>
            </w:pPr>
            <w:r>
              <w:t>rovnomerne</w:t>
            </w:r>
          </w:p>
        </w:tc>
      </w:tr>
      <w:tr w:rsidR="002521E4">
        <w:trPr>
          <w:trHeight w:val="247"/>
        </w:trPr>
        <w:tc>
          <w:tcPr>
            <w:tcW w:w="522"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2.</w:t>
            </w:r>
          </w:p>
        </w:tc>
        <w:tc>
          <w:tcPr>
            <w:tcW w:w="2991"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firstLine="0"/>
            </w:pPr>
            <w:r>
              <w:t>Budovy, haly a stavby</w:t>
            </w:r>
          </w:p>
        </w:tc>
        <w:tc>
          <w:tcPr>
            <w:tcW w:w="1866"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12 a 20 rokov</w:t>
            </w:r>
          </w:p>
        </w:tc>
        <w:tc>
          <w:tcPr>
            <w:tcW w:w="1867"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7" w:firstLine="0"/>
              <w:jc w:val="center"/>
            </w:pPr>
            <w:r>
              <w:t>1/12 a 1/20</w:t>
            </w:r>
          </w:p>
        </w:tc>
        <w:tc>
          <w:tcPr>
            <w:tcW w:w="1835"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5" w:firstLine="0"/>
              <w:jc w:val="center"/>
            </w:pPr>
            <w:r>
              <w:t>rovnomerne</w:t>
            </w:r>
          </w:p>
        </w:tc>
      </w:tr>
      <w:tr w:rsidR="002521E4">
        <w:trPr>
          <w:trHeight w:val="248"/>
        </w:trPr>
        <w:tc>
          <w:tcPr>
            <w:tcW w:w="522"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3.</w:t>
            </w:r>
          </w:p>
        </w:tc>
        <w:tc>
          <w:tcPr>
            <w:tcW w:w="2991"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firstLine="0"/>
            </w:pPr>
            <w:r>
              <w:t>Stroje, prístroje, zariadenia</w:t>
            </w:r>
          </w:p>
        </w:tc>
        <w:tc>
          <w:tcPr>
            <w:tcW w:w="1866"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4 a 6 rokov</w:t>
            </w:r>
          </w:p>
        </w:tc>
        <w:tc>
          <w:tcPr>
            <w:tcW w:w="1867"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7" w:firstLine="0"/>
              <w:jc w:val="center"/>
            </w:pPr>
            <w:r>
              <w:t>1/4 a 1/6</w:t>
            </w:r>
          </w:p>
        </w:tc>
        <w:tc>
          <w:tcPr>
            <w:tcW w:w="1835"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5" w:firstLine="0"/>
              <w:jc w:val="center"/>
            </w:pPr>
            <w:r>
              <w:t>rovnomerne</w:t>
            </w:r>
          </w:p>
        </w:tc>
      </w:tr>
      <w:tr w:rsidR="002521E4">
        <w:trPr>
          <w:trHeight w:val="247"/>
        </w:trPr>
        <w:tc>
          <w:tcPr>
            <w:tcW w:w="522"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4.</w:t>
            </w:r>
          </w:p>
        </w:tc>
        <w:tc>
          <w:tcPr>
            <w:tcW w:w="2991"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firstLine="0"/>
            </w:pPr>
            <w:r>
              <w:t>Dopravné prostriedky</w:t>
            </w:r>
          </w:p>
        </w:tc>
        <w:tc>
          <w:tcPr>
            <w:tcW w:w="1866"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4 a 6 rokov</w:t>
            </w:r>
          </w:p>
        </w:tc>
        <w:tc>
          <w:tcPr>
            <w:tcW w:w="1867"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7" w:firstLine="0"/>
              <w:jc w:val="center"/>
            </w:pPr>
            <w:r>
              <w:t>1/4 a 1/6</w:t>
            </w:r>
          </w:p>
        </w:tc>
        <w:tc>
          <w:tcPr>
            <w:tcW w:w="1835"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5" w:firstLine="0"/>
              <w:jc w:val="center"/>
            </w:pPr>
            <w:r>
              <w:t>rovnomerne</w:t>
            </w:r>
          </w:p>
        </w:tc>
      </w:tr>
      <w:tr w:rsidR="002521E4">
        <w:trPr>
          <w:trHeight w:val="248"/>
        </w:trPr>
        <w:tc>
          <w:tcPr>
            <w:tcW w:w="522"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4" w:firstLine="0"/>
              <w:jc w:val="center"/>
            </w:pPr>
            <w:r>
              <w:t>5.</w:t>
            </w:r>
          </w:p>
        </w:tc>
        <w:tc>
          <w:tcPr>
            <w:tcW w:w="2991"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firstLine="0"/>
            </w:pPr>
            <w:r>
              <w:t>Ostatný dlhodobý majetok</w:t>
            </w:r>
          </w:p>
        </w:tc>
        <w:tc>
          <w:tcPr>
            <w:tcW w:w="1866"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19" w:firstLine="0"/>
              <w:jc w:val="center"/>
            </w:pPr>
            <w:r>
              <w:t>4 roky</w:t>
            </w:r>
          </w:p>
        </w:tc>
        <w:tc>
          <w:tcPr>
            <w:tcW w:w="1867"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3" w:firstLine="0"/>
              <w:jc w:val="center"/>
            </w:pPr>
            <w:r>
              <w:t>1/4</w:t>
            </w:r>
          </w:p>
        </w:tc>
        <w:tc>
          <w:tcPr>
            <w:tcW w:w="1835" w:type="dxa"/>
            <w:tcBorders>
              <w:top w:val="single" w:sz="8" w:space="0" w:color="000000"/>
              <w:left w:val="single" w:sz="8" w:space="0" w:color="000000"/>
              <w:bottom w:val="single" w:sz="8" w:space="0" w:color="000000"/>
              <w:right w:val="single" w:sz="8" w:space="0" w:color="000000"/>
            </w:tcBorders>
          </w:tcPr>
          <w:p w:rsidR="002521E4" w:rsidRDefault="003D688F">
            <w:pPr>
              <w:spacing w:after="0" w:line="259" w:lineRule="auto"/>
              <w:ind w:left="0" w:right="25" w:firstLine="0"/>
              <w:jc w:val="center"/>
            </w:pPr>
            <w:r>
              <w:t>rovnomerne</w:t>
            </w:r>
          </w:p>
        </w:tc>
      </w:tr>
    </w:tbl>
    <w:p w:rsidR="002521E4" w:rsidRDefault="003D688F">
      <w:pPr>
        <w:spacing w:after="0" w:line="259" w:lineRule="auto"/>
        <w:ind w:left="0" w:right="21" w:firstLine="0"/>
        <w:jc w:val="center"/>
      </w:pPr>
      <w:r>
        <w:t xml:space="preserve"> </w:t>
      </w:r>
    </w:p>
    <w:p w:rsidR="002521E4" w:rsidRDefault="003D688F">
      <w:pPr>
        <w:spacing w:after="0" w:line="259" w:lineRule="auto"/>
        <w:ind w:left="0" w:right="21" w:firstLine="0"/>
        <w:jc w:val="center"/>
      </w:pPr>
      <w:r>
        <w:t xml:space="preserve"> </w:t>
      </w:r>
    </w:p>
    <w:p w:rsidR="002521E4" w:rsidRDefault="003D688F">
      <w:pPr>
        <w:spacing w:after="13" w:line="259" w:lineRule="auto"/>
        <w:ind w:left="0" w:right="21" w:firstLine="0"/>
        <w:jc w:val="center"/>
      </w:pPr>
      <w:r>
        <w:t xml:space="preserve"> </w:t>
      </w:r>
    </w:p>
    <w:p w:rsidR="002521E4" w:rsidRDefault="003D688F">
      <w:pPr>
        <w:tabs>
          <w:tab w:val="center" w:pos="3136"/>
        </w:tabs>
        <w:spacing w:after="0" w:line="259" w:lineRule="auto"/>
        <w:ind w:left="-15" w:firstLine="0"/>
      </w:pPr>
      <w:r>
        <w:rPr>
          <w:b/>
        </w:rPr>
        <w:t xml:space="preserve">5.3. </w:t>
      </w:r>
      <w:r>
        <w:rPr>
          <w:b/>
        </w:rPr>
        <w:tab/>
        <w:t xml:space="preserve">Odpisy dlhodobého nehmotného majetku vychádzajú: </w:t>
      </w:r>
    </w:p>
    <w:p w:rsidR="002521E4" w:rsidRDefault="003D688F">
      <w:pPr>
        <w:spacing w:after="22" w:line="259" w:lineRule="auto"/>
        <w:ind w:left="708" w:firstLine="0"/>
      </w:pPr>
      <w:r>
        <w:t xml:space="preserve"> </w:t>
      </w:r>
    </w:p>
    <w:p w:rsidR="002521E4" w:rsidRDefault="003D688F">
      <w:pPr>
        <w:numPr>
          <w:ilvl w:val="0"/>
          <w:numId w:val="2"/>
        </w:numPr>
        <w:ind w:right="375" w:hanging="360"/>
      </w:pPr>
      <w:r>
        <w:t xml:space="preserve">Z predpokladanej doby používania a predpokladaného priebehu jeho   opotrebenia </w:t>
      </w:r>
      <w:r>
        <w:tab/>
      </w:r>
      <w:r>
        <w:rPr>
          <w:rFonts w:ascii="Calibri" w:eastAsia="Calibri" w:hAnsi="Calibri" w:cs="Calibri"/>
          <w:noProof/>
          <w:sz w:val="22"/>
        </w:rPr>
        <mc:AlternateContent>
          <mc:Choice Requires="wpg">
            <w:drawing>
              <wp:inline distT="0" distB="0" distL="0" distR="0">
                <wp:extent cx="120396" cy="120397"/>
                <wp:effectExtent l="0" t="0" r="0" b="0"/>
                <wp:docPr id="14524" name="Group 14524"/>
                <wp:cNvGraphicFramePr/>
                <a:graphic xmlns:a="http://schemas.openxmlformats.org/drawingml/2006/main">
                  <a:graphicData uri="http://schemas.microsoft.com/office/word/2010/wordprocessingGroup">
                    <wpg:wgp>
                      <wpg:cNvGrpSpPr/>
                      <wpg:grpSpPr>
                        <a:xfrm>
                          <a:off x="0" y="0"/>
                          <a:ext cx="120396" cy="120397"/>
                          <a:chOff x="0" y="0"/>
                          <a:chExt cx="120396" cy="120397"/>
                        </a:xfrm>
                      </wpg:grpSpPr>
                      <wps:wsp>
                        <wps:cNvPr id="770" name="Shape 770"/>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71" name="Shape 771"/>
                        <wps:cNvSpPr/>
                        <wps:spPr>
                          <a:xfrm>
                            <a:off x="0" y="0"/>
                            <a:ext cx="120396" cy="120397"/>
                          </a:xfrm>
                          <a:custGeom>
                            <a:avLst/>
                            <a:gdLst/>
                            <a:ahLst/>
                            <a:cxnLst/>
                            <a:rect l="0" t="0" r="0" b="0"/>
                            <a:pathLst>
                              <a:path w="120396" h="120397">
                                <a:moveTo>
                                  <a:pt x="0" y="0"/>
                                </a:moveTo>
                                <a:lnTo>
                                  <a:pt x="120396" y="120397"/>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72" name="Shape 772"/>
                        <wps:cNvSpPr/>
                        <wps:spPr>
                          <a:xfrm>
                            <a:off x="0" y="0"/>
                            <a:ext cx="120396" cy="120397"/>
                          </a:xfrm>
                          <a:custGeom>
                            <a:avLst/>
                            <a:gdLst/>
                            <a:ahLst/>
                            <a:cxnLst/>
                            <a:rect l="0" t="0" r="0" b="0"/>
                            <a:pathLst>
                              <a:path w="120396" h="120397">
                                <a:moveTo>
                                  <a:pt x="120396" y="0"/>
                                </a:moveTo>
                                <a:lnTo>
                                  <a:pt x="0" y="120397"/>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4524" style="width:9.48001pt;height:9.48004pt;mso-position-horizontal-relative:char;mso-position-vertical-relative:line" coordsize="1203,1203">
                <v:shape id="Shape 770" style="position:absolute;width:1173;height:1173;left:15;top:15;" coordsize="117348,117348" path="m0,117348l117348,117348l117348,0l0,0x">
                  <v:stroke weight="0.72pt" endcap="flat" joinstyle="round" on="true" color="#000000"/>
                  <v:fill on="false" color="#000000" opacity="0"/>
                </v:shape>
                <v:shape id="Shape 771" style="position:absolute;width:1203;height:1203;left:0;top:0;" coordsize="120396,120397" path="m0,0l120396,120397">
                  <v:stroke weight="0.48pt" endcap="flat" joinstyle="round" on="true" color="#000000"/>
                  <v:fill on="false" color="#000000" opacity="0"/>
                </v:shape>
                <v:shape id="Shape 772" style="position:absolute;width:1203;height:1203;left:0;top:0;" coordsize="120396,120397" path="m120396,0l0,120397">
                  <v:stroke weight="0.48pt" endcap="flat" joinstyle="round" on="true" color="#000000"/>
                  <v:fill on="false" color="#000000" opacity="0"/>
                </v:shape>
              </v:group>
            </w:pict>
          </mc:Fallback>
        </mc:AlternateContent>
      </w:r>
    </w:p>
    <w:p w:rsidR="002521E4" w:rsidRDefault="003D688F">
      <w:pPr>
        <w:spacing w:after="0" w:line="259" w:lineRule="auto"/>
        <w:ind w:left="0" w:firstLine="0"/>
      </w:pPr>
      <w:r>
        <w:t xml:space="preserve"> </w:t>
      </w:r>
      <w:r>
        <w:tab/>
        <w:t xml:space="preserve"> </w:t>
      </w:r>
    </w:p>
    <w:p w:rsidR="002521E4" w:rsidRDefault="003D688F">
      <w:pPr>
        <w:spacing w:after="15" w:line="259" w:lineRule="auto"/>
        <w:ind w:left="0" w:firstLine="0"/>
      </w:pPr>
      <w:r>
        <w:t xml:space="preserve"> </w:t>
      </w:r>
    </w:p>
    <w:p w:rsidR="002521E4" w:rsidRDefault="003D688F">
      <w:pPr>
        <w:spacing w:after="26"/>
        <w:ind w:left="-5" w:right="86"/>
      </w:pPr>
      <w:r>
        <w:t>Odpisovať sa začína:</w:t>
      </w:r>
      <w:r>
        <w:rPr>
          <w:b/>
        </w:rPr>
        <w:t xml:space="preserve"> </w:t>
      </w:r>
    </w:p>
    <w:p w:rsidR="002521E4" w:rsidRDefault="003D688F">
      <w:pPr>
        <w:numPr>
          <w:ilvl w:val="0"/>
          <w:numId w:val="2"/>
        </w:numPr>
        <w:ind w:right="375" w:hanging="360"/>
      </w:pPr>
      <w:r>
        <w:t xml:space="preserve">prvým dňom mesiaca nasledujúcom po mesiaci, kedy bol majetok uvedený </w:t>
      </w:r>
    </w:p>
    <w:p w:rsidR="002521E4" w:rsidRDefault="003D688F">
      <w:pPr>
        <w:tabs>
          <w:tab w:val="center" w:pos="1048"/>
          <w:tab w:val="center" w:pos="8429"/>
        </w:tabs>
        <w:ind w:left="-15" w:firstLine="0"/>
      </w:pPr>
      <w:r>
        <w:t xml:space="preserve"> </w:t>
      </w:r>
      <w:r>
        <w:tab/>
        <w:t xml:space="preserve">do používania </w:t>
      </w:r>
      <w:r>
        <w:tab/>
      </w:r>
      <w:r>
        <w:rPr>
          <w:rFonts w:ascii="Calibri" w:eastAsia="Calibri" w:hAnsi="Calibri" w:cs="Calibri"/>
          <w:noProof/>
          <w:sz w:val="22"/>
        </w:rPr>
        <mc:AlternateContent>
          <mc:Choice Requires="wpg">
            <w:drawing>
              <wp:inline distT="0" distB="0" distL="0" distR="0">
                <wp:extent cx="120396" cy="120396"/>
                <wp:effectExtent l="0" t="0" r="0" b="0"/>
                <wp:docPr id="14525" name="Group 14525"/>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787" name="Shape 787"/>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8" name="Shape 788"/>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89" name="Shape 789"/>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4525" style="width:9.48001pt;height:9.48001pt;mso-position-horizontal-relative:char;mso-position-vertical-relative:line" coordsize="1203,1203">
                <v:shape id="Shape 787" style="position:absolute;width:1173;height:1173;left:15;top:15;" coordsize="117348,117348" path="m0,117348l117348,117348l117348,0l0,0x">
                  <v:stroke weight="0.72pt" endcap="flat" joinstyle="round" on="true" color="#000000"/>
                  <v:fill on="false" color="#000000" opacity="0"/>
                </v:shape>
                <v:shape id="Shape 788" style="position:absolute;width:1203;height:1203;left:0;top:0;" coordsize="120396,120396" path="m0,0l120396,120396">
                  <v:stroke weight="0.48pt" endcap="flat" joinstyle="round" on="true" color="#000000"/>
                  <v:fill on="false" color="#000000" opacity="0"/>
                </v:shape>
                <v:shape id="Shape 789" style="position:absolute;width:1203;height:1203;left:0;top:0;" coordsize="120396,120396" path="m120396,0l0,120396">
                  <v:stroke weight="0.48pt" endcap="flat" joinstyle="round" on="true" color="#000000"/>
                  <v:fill on="false" color="#000000" opacity="0"/>
                </v:shape>
              </v:group>
            </w:pict>
          </mc:Fallback>
        </mc:AlternateContent>
      </w:r>
      <w: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lastRenderedPageBreak/>
        <w:t xml:space="preserve"> </w:t>
      </w:r>
    </w:p>
    <w:p w:rsidR="002521E4" w:rsidRDefault="003D688F">
      <w:pPr>
        <w:ind w:left="-5" w:right="86"/>
      </w:pPr>
      <w:r>
        <w:t xml:space="preserve">Drobný dlhodobý nehmotný majetok, ktorého obstarávacia cena (resp. vlastné náklady) je 2 400 EUR a nižšia, sa odpisuje jednorazovo pri uvedení do používania. </w:t>
      </w:r>
    </w:p>
    <w:p w:rsidR="002521E4" w:rsidRDefault="003D688F">
      <w:pPr>
        <w:spacing w:after="18" w:line="259" w:lineRule="auto"/>
        <w:ind w:left="0" w:firstLine="0"/>
      </w:pPr>
      <w:r>
        <w:t xml:space="preserve"> </w:t>
      </w:r>
    </w:p>
    <w:p w:rsidR="002521E4" w:rsidRDefault="003D688F">
      <w:pPr>
        <w:ind w:left="-5" w:right="86"/>
      </w:pPr>
      <w:r>
        <w:t xml:space="preserve">Účtovné a daňové odpisy dlhodobého nehmotného majetku sa rovnajú. </w:t>
      </w:r>
    </w:p>
    <w:p w:rsidR="002521E4" w:rsidRDefault="003D688F">
      <w:pPr>
        <w:spacing w:after="0" w:line="259" w:lineRule="auto"/>
        <w:ind w:left="0" w:firstLine="0"/>
      </w:pPr>
      <w:r>
        <w:t xml:space="preserve"> </w:t>
      </w:r>
    </w:p>
    <w:p w:rsidR="002521E4" w:rsidRDefault="003D688F">
      <w:pPr>
        <w:spacing w:after="13" w:line="259" w:lineRule="auto"/>
        <w:ind w:left="0" w:firstLine="0"/>
      </w:pPr>
      <w:r>
        <w:t xml:space="preserve"> </w:t>
      </w:r>
    </w:p>
    <w:p w:rsidR="002521E4" w:rsidRDefault="003D688F">
      <w:pPr>
        <w:tabs>
          <w:tab w:val="center" w:pos="3020"/>
        </w:tabs>
        <w:spacing w:after="0" w:line="259" w:lineRule="auto"/>
        <w:ind w:left="-15" w:firstLine="0"/>
      </w:pPr>
      <w:r>
        <w:rPr>
          <w:b/>
        </w:rPr>
        <w:t xml:space="preserve">5.4. </w:t>
      </w:r>
      <w:r>
        <w:rPr>
          <w:b/>
        </w:rPr>
        <w:tab/>
        <w:t xml:space="preserve">Odpisy dlhodobého hmotného majetku vychádzajú: </w:t>
      </w:r>
    </w:p>
    <w:tbl>
      <w:tblPr>
        <w:tblStyle w:val="TableGrid"/>
        <w:tblW w:w="8562" w:type="dxa"/>
        <w:tblInd w:w="0" w:type="dxa"/>
        <w:tblLook w:val="04A0" w:firstRow="1" w:lastRow="0" w:firstColumn="1" w:lastColumn="0" w:noHBand="0" w:noVBand="1"/>
      </w:tblPr>
      <w:tblGrid>
        <w:gridCol w:w="8048"/>
        <w:gridCol w:w="514"/>
      </w:tblGrid>
      <w:tr w:rsidR="002521E4">
        <w:trPr>
          <w:trHeight w:val="235"/>
        </w:trPr>
        <w:tc>
          <w:tcPr>
            <w:tcW w:w="8049" w:type="dxa"/>
            <w:tcBorders>
              <w:top w:val="nil"/>
              <w:left w:val="nil"/>
              <w:bottom w:val="nil"/>
              <w:right w:val="nil"/>
            </w:tcBorders>
          </w:tcPr>
          <w:p w:rsidR="002521E4" w:rsidRDefault="003D688F">
            <w:pPr>
              <w:spacing w:after="0" w:line="259" w:lineRule="auto"/>
              <w:ind w:left="0" w:firstLine="0"/>
            </w:pPr>
            <w:r>
              <w:t xml:space="preserve"> </w:t>
            </w:r>
          </w:p>
        </w:tc>
        <w:tc>
          <w:tcPr>
            <w:tcW w:w="514" w:type="dxa"/>
            <w:tcBorders>
              <w:top w:val="nil"/>
              <w:left w:val="nil"/>
              <w:bottom w:val="nil"/>
              <w:right w:val="nil"/>
            </w:tcBorders>
          </w:tcPr>
          <w:p w:rsidR="002521E4" w:rsidRDefault="003D688F">
            <w:pPr>
              <w:spacing w:after="0" w:line="259" w:lineRule="auto"/>
              <w:ind w:left="0" w:firstLine="0"/>
              <w:jc w:val="right"/>
            </w:pPr>
            <w:r>
              <w:rPr>
                <w:b/>
              </w:rPr>
              <w:t xml:space="preserve"> </w:t>
            </w:r>
          </w:p>
        </w:tc>
      </w:tr>
      <w:tr w:rsidR="002521E4">
        <w:trPr>
          <w:trHeight w:val="942"/>
        </w:trPr>
        <w:tc>
          <w:tcPr>
            <w:tcW w:w="8049" w:type="dxa"/>
            <w:tcBorders>
              <w:top w:val="nil"/>
              <w:left w:val="nil"/>
              <w:bottom w:val="nil"/>
              <w:right w:val="nil"/>
            </w:tcBorders>
          </w:tcPr>
          <w:p w:rsidR="002521E4" w:rsidRDefault="003D688F">
            <w:pPr>
              <w:numPr>
                <w:ilvl w:val="0"/>
                <w:numId w:val="6"/>
              </w:numPr>
              <w:spacing w:after="0" w:line="259" w:lineRule="auto"/>
              <w:ind w:hanging="360"/>
            </w:pPr>
            <w:r>
              <w:t xml:space="preserve">z doby odpisovania stanovenej zákonom o dani z príjmov </w:t>
            </w:r>
          </w:p>
          <w:p w:rsidR="002521E4" w:rsidRDefault="003D688F">
            <w:pPr>
              <w:spacing w:after="17" w:line="259" w:lineRule="auto"/>
              <w:ind w:left="0" w:firstLine="0"/>
            </w:pPr>
            <w:r>
              <w:t xml:space="preserve"> </w:t>
            </w:r>
          </w:p>
          <w:p w:rsidR="002521E4" w:rsidRDefault="003D688F">
            <w:pPr>
              <w:spacing w:after="27" w:line="259" w:lineRule="auto"/>
              <w:ind w:left="0" w:firstLine="0"/>
            </w:pPr>
            <w:r>
              <w:t>Odpisovať sa začína:</w:t>
            </w:r>
            <w:r>
              <w:rPr>
                <w:b/>
              </w:rPr>
              <w:t xml:space="preserve"> </w:t>
            </w:r>
          </w:p>
          <w:p w:rsidR="002521E4" w:rsidRDefault="003D688F">
            <w:pPr>
              <w:numPr>
                <w:ilvl w:val="0"/>
                <w:numId w:val="6"/>
              </w:numPr>
              <w:spacing w:after="0" w:line="259" w:lineRule="auto"/>
              <w:ind w:hanging="360"/>
            </w:pPr>
            <w:r>
              <w:t xml:space="preserve">prvým dňom mesiaca nasledujúcom po mesiaci, kedy bol majetok uvedený </w:t>
            </w:r>
          </w:p>
        </w:tc>
        <w:tc>
          <w:tcPr>
            <w:tcW w:w="514" w:type="dxa"/>
            <w:tcBorders>
              <w:top w:val="nil"/>
              <w:left w:val="nil"/>
              <w:bottom w:val="nil"/>
              <w:right w:val="nil"/>
            </w:tcBorders>
          </w:tcPr>
          <w:p w:rsidR="002521E4" w:rsidRDefault="003D688F">
            <w:pPr>
              <w:spacing w:after="0" w:line="259" w:lineRule="auto"/>
              <w:ind w:left="0" w:firstLine="0"/>
              <w:jc w:val="right"/>
            </w:pPr>
            <w:r>
              <w:rPr>
                <w:rFonts w:ascii="Calibri" w:eastAsia="Calibri" w:hAnsi="Calibri" w:cs="Calibri"/>
                <w:noProof/>
                <w:sz w:val="22"/>
              </w:rPr>
              <mc:AlternateContent>
                <mc:Choice Requires="wpg">
                  <w:drawing>
                    <wp:inline distT="0" distB="0" distL="0" distR="0">
                      <wp:extent cx="120396" cy="120396"/>
                      <wp:effectExtent l="0" t="0" r="0" b="0"/>
                      <wp:docPr id="14913" name="Group 14913"/>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813" name="Shape 813"/>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14" name="Shape 814"/>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15" name="Shape 815"/>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4913" style="width:9.48001pt;height:9.48001pt;mso-position-horizontal-relative:char;mso-position-vertical-relative:line" coordsize="1203,1203">
                      <v:shape id="Shape 813" style="position:absolute;width:1173;height:1173;left:15;top:15;" coordsize="117348,117348" path="m0,117348l117348,117348l117348,0l0,0x">
                        <v:stroke weight="0.72pt" endcap="flat" joinstyle="round" on="true" color="#000000"/>
                        <v:fill on="false" color="#000000" opacity="0"/>
                      </v:shape>
                      <v:shape id="Shape 814" style="position:absolute;width:1203;height:1203;left:0;top:0;" coordsize="120396,120396" path="m0,0l120396,120396">
                        <v:stroke weight="0.48pt" endcap="flat" joinstyle="round" on="true" color="#000000"/>
                        <v:fill on="false" color="#000000" opacity="0"/>
                      </v:shape>
                      <v:shape id="Shape 815" style="position:absolute;width:1203;height:1203;left:0;top:0;" coordsize="120396,120396" path="m120396,0l0,120396">
                        <v:stroke weight="0.48pt" endcap="flat" joinstyle="round" on="true" color="#000000"/>
                        <v:fill on="false" color="#000000" opacity="0"/>
                      </v:shape>
                    </v:group>
                  </w:pict>
                </mc:Fallback>
              </mc:AlternateContent>
            </w:r>
            <w:r>
              <w:t xml:space="preserve"> </w:t>
            </w:r>
          </w:p>
        </w:tc>
      </w:tr>
      <w:tr w:rsidR="002521E4">
        <w:trPr>
          <w:trHeight w:val="228"/>
        </w:trPr>
        <w:tc>
          <w:tcPr>
            <w:tcW w:w="8049" w:type="dxa"/>
            <w:tcBorders>
              <w:top w:val="nil"/>
              <w:left w:val="nil"/>
              <w:bottom w:val="nil"/>
              <w:right w:val="nil"/>
            </w:tcBorders>
          </w:tcPr>
          <w:p w:rsidR="002521E4" w:rsidRDefault="003D688F">
            <w:pPr>
              <w:tabs>
                <w:tab w:val="center" w:pos="1048"/>
              </w:tabs>
              <w:spacing w:after="0" w:line="259" w:lineRule="auto"/>
              <w:ind w:left="0" w:firstLine="0"/>
            </w:pPr>
            <w:r>
              <w:t xml:space="preserve"> </w:t>
            </w:r>
            <w:r>
              <w:tab/>
              <w:t xml:space="preserve">do používania </w:t>
            </w:r>
          </w:p>
        </w:tc>
        <w:tc>
          <w:tcPr>
            <w:tcW w:w="514" w:type="dxa"/>
            <w:tcBorders>
              <w:top w:val="nil"/>
              <w:left w:val="nil"/>
              <w:bottom w:val="nil"/>
              <w:right w:val="nil"/>
            </w:tcBorders>
          </w:tcPr>
          <w:p w:rsidR="002521E4" w:rsidRDefault="003D688F">
            <w:pPr>
              <w:spacing w:after="0" w:line="259" w:lineRule="auto"/>
              <w:ind w:left="247" w:firstLine="0"/>
            </w:pPr>
            <w:r>
              <w:rPr>
                <w:rFonts w:ascii="Calibri" w:eastAsia="Calibri" w:hAnsi="Calibri" w:cs="Calibri"/>
                <w:noProof/>
                <w:sz w:val="22"/>
              </w:rPr>
              <mc:AlternateContent>
                <mc:Choice Requires="wpg">
                  <w:drawing>
                    <wp:inline distT="0" distB="0" distL="0" distR="0">
                      <wp:extent cx="120396" cy="120396"/>
                      <wp:effectExtent l="0" t="0" r="0" b="0"/>
                      <wp:docPr id="14940" name="Group 14940"/>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832" name="Shape 832"/>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33" name="Shape 833"/>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34" name="Shape 834"/>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4940" style="width:9.48001pt;height:9.47998pt;mso-position-horizontal-relative:char;mso-position-vertical-relative:line" coordsize="1203,1203">
                      <v:shape id="Shape 832" style="position:absolute;width:1173;height:1173;left:15;top:15;" coordsize="117348,117348" path="m0,117348l117348,117348l117348,0l0,0x">
                        <v:stroke weight="0.72pt" endcap="flat" joinstyle="round" on="true" color="#000000"/>
                        <v:fill on="false" color="#000000" opacity="0"/>
                      </v:shape>
                      <v:shape id="Shape 833" style="position:absolute;width:1203;height:1203;left:0;top:0;" coordsize="120396,120396" path="m0,0l120396,120396">
                        <v:stroke weight="0.48pt" endcap="flat" joinstyle="round" on="true" color="#000000"/>
                        <v:fill on="false" color="#000000" opacity="0"/>
                      </v:shape>
                      <v:shape id="Shape 834" style="position:absolute;width:1203;height:1203;left:0;top:0;" coordsize="120396,120396" path="m120396,0l0,120396">
                        <v:stroke weight="0.48pt" endcap="flat" joinstyle="round" on="true" color="#000000"/>
                        <v:fill on="false" color="#000000" opacity="0"/>
                      </v:shape>
                    </v:group>
                  </w:pict>
                </mc:Fallback>
              </mc:AlternateContent>
            </w:r>
          </w:p>
        </w:tc>
      </w:tr>
      <w:tr w:rsidR="002521E4">
        <w:trPr>
          <w:trHeight w:val="226"/>
        </w:trPr>
        <w:tc>
          <w:tcPr>
            <w:tcW w:w="8049" w:type="dxa"/>
            <w:tcBorders>
              <w:top w:val="nil"/>
              <w:left w:val="nil"/>
              <w:bottom w:val="nil"/>
              <w:right w:val="nil"/>
            </w:tcBorders>
          </w:tcPr>
          <w:p w:rsidR="002521E4" w:rsidRDefault="003D688F">
            <w:pPr>
              <w:spacing w:after="0" w:line="259" w:lineRule="auto"/>
              <w:ind w:left="427" w:firstLine="0"/>
            </w:pPr>
            <w:r>
              <w:t xml:space="preserve"> </w:t>
            </w:r>
          </w:p>
        </w:tc>
        <w:tc>
          <w:tcPr>
            <w:tcW w:w="514" w:type="dxa"/>
            <w:tcBorders>
              <w:top w:val="nil"/>
              <w:left w:val="nil"/>
              <w:bottom w:val="nil"/>
              <w:right w:val="nil"/>
            </w:tcBorders>
          </w:tcPr>
          <w:p w:rsidR="002521E4" w:rsidRDefault="003D688F">
            <w:pPr>
              <w:spacing w:after="0" w:line="259" w:lineRule="auto"/>
              <w:ind w:left="0" w:firstLine="0"/>
              <w:jc w:val="right"/>
            </w:pPr>
            <w:r>
              <w:t xml:space="preserve"> </w:t>
            </w:r>
          </w:p>
        </w:tc>
      </w:tr>
    </w:tbl>
    <w:p w:rsidR="002521E4" w:rsidRDefault="003D688F">
      <w:pPr>
        <w:spacing w:after="15" w:line="259" w:lineRule="auto"/>
        <w:ind w:left="0" w:firstLine="0"/>
      </w:pPr>
      <w:r>
        <w:t xml:space="preserve"> </w:t>
      </w:r>
    </w:p>
    <w:p w:rsidR="002521E4" w:rsidRDefault="003D688F">
      <w:pPr>
        <w:ind w:left="-5" w:right="86"/>
      </w:pPr>
      <w:r>
        <w:t xml:space="preserve">Drobný dlhodobý hmotný majetok, ktorého obstarávacia cena (resp. vlastné náklady) je 1 700 EUR a nižšia, sa odpisuje jednorazovo pri uvedení do používania. Pozemky sa neodpisujú. </w:t>
      </w:r>
    </w:p>
    <w:p w:rsidR="002521E4" w:rsidRDefault="003D688F">
      <w:pPr>
        <w:spacing w:after="0" w:line="259" w:lineRule="auto"/>
        <w:ind w:left="0" w:firstLine="0"/>
      </w:pPr>
      <w:r>
        <w:t xml:space="preserve"> </w:t>
      </w:r>
    </w:p>
    <w:p w:rsidR="002521E4" w:rsidRDefault="003D688F">
      <w:pPr>
        <w:ind w:left="-5" w:right="86"/>
      </w:pPr>
      <w:r>
        <w:t xml:space="preserve">Hodnota obstarávaného dlhodobého hmotného majetku, ktorý sa používa, sa zníži o opravnú položku vo výške zodpovedajúcej opotrebeniu. </w:t>
      </w:r>
    </w:p>
    <w:p w:rsidR="002521E4" w:rsidRDefault="003D688F">
      <w:pPr>
        <w:ind w:left="-5" w:right="86"/>
      </w:pPr>
      <w:r>
        <w:t xml:space="preserve">V prípade prechodného zníženia úžitkovej hodnoty dlhodobého majetku, ktorá bola zistená pri inventarizácii a je výrazne nižšia ako jeho ocenenie v účtovníctve po odpočítaní oprávok, je vytvorená opravná položka na úroveň jeho zistenej úžitkovej hodnoty. </w:t>
      </w:r>
    </w:p>
    <w:p w:rsidR="002521E4" w:rsidRDefault="003D688F">
      <w:pPr>
        <w:spacing w:after="0" w:line="259" w:lineRule="auto"/>
        <w:ind w:left="0" w:firstLine="0"/>
      </w:pPr>
      <w:r>
        <w:t xml:space="preserve"> </w:t>
      </w:r>
    </w:p>
    <w:p w:rsidR="002521E4" w:rsidRDefault="003D688F">
      <w:pPr>
        <w:spacing w:after="2" w:line="259" w:lineRule="auto"/>
        <w:ind w:left="0" w:firstLine="0"/>
      </w:pPr>
      <w:r>
        <w:t xml:space="preserve"> </w:t>
      </w:r>
    </w:p>
    <w:p w:rsidR="002521E4" w:rsidRDefault="003D688F">
      <w:pPr>
        <w:pStyle w:val="Nadpis2"/>
        <w:tabs>
          <w:tab w:val="center" w:pos="917"/>
        </w:tabs>
        <w:ind w:left="-15" w:firstLine="0"/>
      </w:pPr>
      <w:r>
        <w:t xml:space="preserve">5.5. </w:t>
      </w:r>
      <w:r>
        <w:tab/>
        <w:t xml:space="preserve">Zásoby </w:t>
      </w:r>
    </w:p>
    <w:p w:rsidR="002521E4" w:rsidRDefault="003D688F">
      <w:pPr>
        <w:spacing w:after="0" w:line="259" w:lineRule="auto"/>
        <w:ind w:left="708" w:firstLine="0"/>
      </w:pPr>
      <w:r>
        <w:t xml:space="preserve"> </w:t>
      </w:r>
    </w:p>
    <w:p w:rsidR="002521E4" w:rsidRDefault="003D688F">
      <w:pPr>
        <w:ind w:left="-5" w:right="86"/>
      </w:pPr>
      <w:r>
        <w:t xml:space="preserve">Zásoby sa oceňujú nižšou z nasledujúcich hodnôt: obstarávacou cenou (nakupované zásoby) alebo vlastnými nákladmi (zásoby vytvorené vlastnou činnosťou) alebo čistou realizačnou hodnotou. </w:t>
      </w:r>
    </w:p>
    <w:p w:rsidR="002521E4" w:rsidRDefault="003D688F">
      <w:pPr>
        <w:spacing w:after="0" w:line="259" w:lineRule="auto"/>
        <w:ind w:left="0" w:firstLine="0"/>
      </w:pPr>
      <w:r>
        <w:t xml:space="preserve"> </w:t>
      </w:r>
    </w:p>
    <w:p w:rsidR="002521E4" w:rsidRDefault="003D688F">
      <w:pPr>
        <w:ind w:left="-5" w:right="86"/>
      </w:pPr>
      <w:r>
        <w:t xml:space="preserve">Obstarávacia cena zahŕňa cenu zásob a náklady súvisiace s obstaraním (clo, prepravu, poistné, provízie, skonto, zľavy z ceny a pod.). Úroky z cudzích zdrojov nie sú súčasťou obstarávacej ceny.  </w:t>
      </w:r>
    </w:p>
    <w:p w:rsidR="002521E4" w:rsidRDefault="003D688F">
      <w:pPr>
        <w:spacing w:after="18" w:line="259" w:lineRule="auto"/>
        <w:ind w:left="0" w:firstLine="0"/>
      </w:pPr>
      <w:r>
        <w:t xml:space="preserve"> </w:t>
      </w:r>
    </w:p>
    <w:p w:rsidR="002521E4" w:rsidRDefault="003D688F">
      <w:pPr>
        <w:ind w:left="-5" w:right="86"/>
      </w:pPr>
      <w:r>
        <w:t xml:space="preserve">Zľavy z ceny sú súčasťou ocenenia zásob na sklade. Zľava z ceny poskytnutá k už predaným alebo spotrebovaným zásobám sa účtuje ako zníženie nákladov na predané alebo spotrebované zásoby.  </w:t>
      </w:r>
    </w:p>
    <w:p w:rsidR="002521E4" w:rsidRDefault="003D688F">
      <w:pPr>
        <w:ind w:left="-5" w:right="86"/>
      </w:pPr>
      <w:r>
        <w:t xml:space="preserve">Spoločnosť účtuje o zásobách spôsobom A tak, ako to definujú postupy účtovania.  Úbytok zásob sa účtuje v cene zistenej metódou váženého aritmetického priemeru.  </w:t>
      </w:r>
    </w:p>
    <w:p w:rsidR="002521E4" w:rsidRDefault="003D688F">
      <w:pPr>
        <w:spacing w:after="0" w:line="259" w:lineRule="auto"/>
        <w:ind w:left="0" w:firstLine="0"/>
      </w:pPr>
      <w:r>
        <w:t xml:space="preserve"> </w:t>
      </w:r>
    </w:p>
    <w:p w:rsidR="002521E4" w:rsidRDefault="003D688F">
      <w:pPr>
        <w:ind w:left="-5" w:right="86"/>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2521E4" w:rsidRDefault="003D688F">
      <w:pPr>
        <w:spacing w:after="0" w:line="259" w:lineRule="auto"/>
        <w:ind w:left="0" w:firstLine="0"/>
      </w:pPr>
      <w:r>
        <w:t xml:space="preserve"> </w:t>
      </w:r>
    </w:p>
    <w:p w:rsidR="002521E4" w:rsidRDefault="003D688F">
      <w:pPr>
        <w:ind w:left="-5" w:right="86"/>
      </w:pPr>
      <w: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 </w:t>
      </w:r>
    </w:p>
    <w:p w:rsidR="002521E4" w:rsidRDefault="003D688F">
      <w:pPr>
        <w:spacing w:after="0" w:line="259" w:lineRule="auto"/>
        <w:ind w:left="0" w:firstLine="0"/>
      </w:pPr>
      <w:r>
        <w:t xml:space="preserve"> </w:t>
      </w:r>
    </w:p>
    <w:p w:rsidR="002521E4" w:rsidRDefault="003D688F">
      <w:pPr>
        <w:ind w:left="-5" w:right="407"/>
      </w:pPr>
      <w:r>
        <w:t xml:space="preserve">Čistá realizačná hodnota je predpokladaná predajná cena znížená o predpokladané náklady na ich dokončenie a o predpokladané náklady súvisiace s ich predajom. 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r>
        <w:rPr>
          <w:b/>
        </w:rPr>
        <w:t xml:space="preserve"> </w:t>
      </w:r>
    </w:p>
    <w:p w:rsidR="002521E4" w:rsidRDefault="003D688F">
      <w:pPr>
        <w:spacing w:after="18" w:line="259" w:lineRule="auto"/>
        <w:ind w:left="0" w:firstLine="0"/>
      </w:pPr>
      <w:r>
        <w:t xml:space="preserve"> </w:t>
      </w:r>
    </w:p>
    <w:p w:rsidR="002521E4" w:rsidRDefault="003D688F">
      <w:pPr>
        <w:ind w:left="-5" w:right="86"/>
      </w:pPr>
      <w:r>
        <w:t xml:space="preserve">Zníženie hodnoty zásob sa upravuje vytvorením opravnej položky. </w:t>
      </w:r>
    </w:p>
    <w:p w:rsidR="002521E4" w:rsidRDefault="003D688F">
      <w:pPr>
        <w:spacing w:after="20" w:line="259" w:lineRule="auto"/>
        <w:ind w:left="0" w:firstLine="0"/>
      </w:pPr>
      <w:r>
        <w:rPr>
          <w:b/>
        </w:rPr>
        <w:lastRenderedPageBreak/>
        <w:t xml:space="preserve"> </w:t>
      </w:r>
    </w:p>
    <w:p w:rsidR="002521E4" w:rsidRDefault="003D688F">
      <w:pPr>
        <w:ind w:left="-5" w:right="86"/>
      </w:pPr>
      <w:r>
        <w:t xml:space="preserve">Ako 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2521E4" w:rsidRDefault="003D688F">
      <w:pPr>
        <w:spacing w:after="0" w:line="259" w:lineRule="auto"/>
        <w:ind w:left="0" w:firstLine="0"/>
      </w:pPr>
      <w:r>
        <w:t xml:space="preserve"> </w:t>
      </w:r>
    </w:p>
    <w:p w:rsidR="002521E4" w:rsidRDefault="003D688F">
      <w:pPr>
        <w:spacing w:after="8" w:line="259" w:lineRule="auto"/>
        <w:ind w:left="0" w:firstLine="0"/>
      </w:pPr>
      <w:r>
        <w:rPr>
          <w:b/>
        </w:rPr>
        <w:t xml:space="preserve"> </w:t>
      </w:r>
    </w:p>
    <w:p w:rsidR="002521E4" w:rsidRDefault="003D688F">
      <w:pPr>
        <w:pStyle w:val="Nadpis2"/>
        <w:tabs>
          <w:tab w:val="center" w:pos="1133"/>
        </w:tabs>
        <w:ind w:left="-15" w:firstLine="0"/>
      </w:pPr>
      <w:r>
        <w:t xml:space="preserve">5.6. </w:t>
      </w:r>
      <w:r>
        <w:tab/>
        <w:t xml:space="preserve">Pohľadávky </w:t>
      </w:r>
    </w:p>
    <w:p w:rsidR="002521E4" w:rsidRDefault="003D688F">
      <w:pPr>
        <w:spacing w:after="0" w:line="259" w:lineRule="auto"/>
        <w:ind w:left="708" w:firstLine="0"/>
      </w:pPr>
      <w:r>
        <w:t xml:space="preserve"> </w:t>
      </w:r>
    </w:p>
    <w:p w:rsidR="002521E4" w:rsidRDefault="003D688F">
      <w:pPr>
        <w:ind w:left="-5" w:right="86"/>
      </w:pPr>
      <w:r>
        <w:t xml:space="preserve">Pohľadávky pri ich vzniku sa oceňujú ich menovitou hodnotou; postúpené pohľadávky a pohľadávky nadobudnuté vkladom do základného imania sa oceňujú obstarávacou cenou vrátane nákladov súvisiacich s obstaraním.  </w:t>
      </w:r>
    </w:p>
    <w:p w:rsidR="002521E4" w:rsidRDefault="003D688F">
      <w:pPr>
        <w:spacing w:after="13" w:line="259" w:lineRule="auto"/>
        <w:ind w:left="0" w:firstLine="0"/>
      </w:pPr>
      <w:r>
        <w:t xml:space="preserve"> </w:t>
      </w:r>
    </w:p>
    <w:p w:rsidR="002521E4" w:rsidRDefault="003D688F">
      <w:pPr>
        <w:ind w:left="-5" w:right="86"/>
      </w:pPr>
      <w:r>
        <w:t xml:space="preserve">Toto ocenenie sa znižuje prostredníctvom tvorby opravnej položky k pochybným a nevymožiteľným pohľadávkam.  </w:t>
      </w:r>
    </w:p>
    <w:p w:rsidR="002521E4" w:rsidRDefault="003D688F">
      <w:pPr>
        <w:spacing w:after="0" w:line="259" w:lineRule="auto"/>
        <w:ind w:left="0" w:firstLine="0"/>
      </w:pPr>
      <w:r>
        <w:t xml:space="preserve"> </w:t>
      </w:r>
    </w:p>
    <w:p w:rsidR="002521E4" w:rsidRDefault="003D688F">
      <w:pPr>
        <w:ind w:left="-5" w:right="86"/>
      </w:pPr>
      <w:r>
        <w:t xml:space="preserve">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 </w:t>
      </w:r>
    </w:p>
    <w:p w:rsidR="002521E4" w:rsidRDefault="003D688F">
      <w:pPr>
        <w:spacing w:after="0" w:line="259" w:lineRule="auto"/>
        <w:ind w:left="0" w:firstLine="0"/>
      </w:pPr>
      <w:r>
        <w:t xml:space="preserve"> </w:t>
      </w:r>
    </w:p>
    <w:p w:rsidR="002521E4" w:rsidRDefault="003D688F">
      <w:pPr>
        <w:spacing w:after="11" w:line="259" w:lineRule="auto"/>
        <w:ind w:left="0" w:firstLine="0"/>
      </w:pPr>
      <w:r>
        <w:t xml:space="preserve"> </w:t>
      </w:r>
    </w:p>
    <w:p w:rsidR="002521E4" w:rsidRDefault="003D688F">
      <w:pPr>
        <w:pStyle w:val="Nadpis2"/>
        <w:tabs>
          <w:tab w:val="center" w:pos="1972"/>
        </w:tabs>
        <w:ind w:left="-15" w:firstLine="0"/>
      </w:pPr>
      <w:r>
        <w:t xml:space="preserve">5.7. </w:t>
      </w:r>
      <w:r>
        <w:tab/>
        <w:t xml:space="preserve">Peňažné prostriedky a ceniny </w:t>
      </w:r>
    </w:p>
    <w:p w:rsidR="002521E4" w:rsidRDefault="003D688F">
      <w:pPr>
        <w:spacing w:after="0" w:line="259" w:lineRule="auto"/>
        <w:ind w:left="0" w:firstLine="0"/>
      </w:pPr>
      <w:r>
        <w:t xml:space="preserve"> </w:t>
      </w:r>
    </w:p>
    <w:p w:rsidR="002521E4" w:rsidRDefault="003D688F">
      <w:pPr>
        <w:ind w:left="-5" w:right="86"/>
      </w:pPr>
      <w:r>
        <w:t xml:space="preserve">Peňažné prostriedky a ceniny sa oceňujú ich menovitou hodnotou. Zníženie ich hodnoty sa vyjadruje opravnou položkou. </w:t>
      </w:r>
    </w:p>
    <w:p w:rsidR="002521E4" w:rsidRDefault="003D688F">
      <w:pPr>
        <w:spacing w:after="0" w:line="259" w:lineRule="auto"/>
        <w:ind w:left="0" w:firstLine="0"/>
      </w:pPr>
      <w:r>
        <w:rPr>
          <w:b/>
        </w:rPr>
        <w:t xml:space="preserve"> </w:t>
      </w:r>
    </w:p>
    <w:p w:rsidR="002521E4" w:rsidRDefault="003D688F">
      <w:pPr>
        <w:spacing w:after="15" w:line="259" w:lineRule="auto"/>
        <w:ind w:left="0" w:firstLine="0"/>
      </w:pPr>
      <w:r>
        <w:rPr>
          <w:b/>
        </w:rPr>
        <w:t xml:space="preserve"> </w:t>
      </w:r>
    </w:p>
    <w:p w:rsidR="002521E4" w:rsidRDefault="003D688F">
      <w:pPr>
        <w:pStyle w:val="Nadpis2"/>
        <w:tabs>
          <w:tab w:val="center" w:pos="3025"/>
        </w:tabs>
        <w:ind w:left="-15" w:firstLine="0"/>
      </w:pPr>
      <w:r>
        <w:t xml:space="preserve">5.8. </w:t>
      </w:r>
      <w:r>
        <w:tab/>
        <w:t xml:space="preserve">Náklady budúcich období a príjmy budúcich období </w:t>
      </w:r>
    </w:p>
    <w:p w:rsidR="002521E4" w:rsidRDefault="003D688F">
      <w:pPr>
        <w:spacing w:after="0" w:line="259" w:lineRule="auto"/>
        <w:ind w:left="708" w:firstLine="0"/>
      </w:pPr>
      <w:r>
        <w:t xml:space="preserve"> </w:t>
      </w:r>
    </w:p>
    <w:p w:rsidR="002521E4" w:rsidRDefault="003D688F">
      <w:pPr>
        <w:ind w:left="-5" w:right="86"/>
      </w:pPr>
      <w:r>
        <w:t xml:space="preserve">Náklady budúcich období a príjmy budúcich období sa vykazujú vo výške, ktorá je potrebná na dodržanie zásady vecnej a časovej súvislosti s účtovným obdobím.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pStyle w:val="Nadpis2"/>
        <w:tabs>
          <w:tab w:val="center" w:pos="950"/>
        </w:tabs>
        <w:ind w:left="-15" w:firstLine="0"/>
      </w:pPr>
      <w:r>
        <w:t xml:space="preserve">5.9. </w:t>
      </w:r>
      <w:r>
        <w:tab/>
        <w:t xml:space="preserve">Rezervy </w:t>
      </w:r>
    </w:p>
    <w:p w:rsidR="002521E4" w:rsidRDefault="003D688F">
      <w:pPr>
        <w:spacing w:after="20" w:line="259" w:lineRule="auto"/>
        <w:ind w:left="0" w:firstLine="0"/>
      </w:pPr>
      <w:r>
        <w:rPr>
          <w:b/>
        </w:rPr>
        <w:t xml:space="preserve"> </w:t>
      </w:r>
    </w:p>
    <w:p w:rsidR="002521E4" w:rsidRDefault="003D688F">
      <w:pPr>
        <w:ind w:left="-5" w:right="86"/>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 </w:t>
      </w:r>
    </w:p>
    <w:p w:rsidR="002521E4" w:rsidRDefault="003D688F">
      <w:pPr>
        <w:spacing w:after="0" w:line="259" w:lineRule="auto"/>
        <w:ind w:left="0" w:firstLine="0"/>
      </w:pPr>
      <w:r>
        <w:t xml:space="preserve"> </w:t>
      </w:r>
    </w:p>
    <w:p w:rsidR="002521E4" w:rsidRDefault="003D688F">
      <w:pPr>
        <w:ind w:left="-5" w:right="86"/>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521E4" w:rsidRDefault="003D688F">
      <w:pPr>
        <w:spacing w:after="18" w:line="259" w:lineRule="auto"/>
        <w:ind w:left="0" w:firstLine="0"/>
      </w:pPr>
      <w:r>
        <w:t xml:space="preserve"> </w:t>
      </w:r>
    </w:p>
    <w:p w:rsidR="002521E4" w:rsidRDefault="003D688F">
      <w:pPr>
        <w:ind w:left="-5" w:right="86"/>
      </w:pPr>
      <w:r>
        <w:t xml:space="preserve">Rezerva na bonusy, rabaty, skontá a vrátenie kúpnej ceny pri reklamácii sa tvorí ako zníženie pôvodne dosiahnutých výnosov so súvzťažným zápisom v prospech účtu rezerv. </w:t>
      </w:r>
    </w:p>
    <w:p w:rsidR="002521E4" w:rsidRDefault="003D688F">
      <w:pPr>
        <w:spacing w:after="0" w:line="259" w:lineRule="auto"/>
        <w:ind w:left="0" w:firstLine="0"/>
      </w:pPr>
      <w:r>
        <w:t xml:space="preserve"> </w:t>
      </w:r>
    </w:p>
    <w:p w:rsidR="002521E4" w:rsidRDefault="003D688F">
      <w:pPr>
        <w:spacing w:after="1" w:line="259" w:lineRule="auto"/>
        <w:ind w:left="0" w:firstLine="0"/>
      </w:pPr>
      <w:r>
        <w:t xml:space="preserve"> </w:t>
      </w:r>
    </w:p>
    <w:p w:rsidR="002521E4" w:rsidRDefault="003D688F">
      <w:pPr>
        <w:pStyle w:val="Nadpis2"/>
        <w:ind w:left="-5"/>
      </w:pPr>
      <w:r>
        <w:t xml:space="preserve">5.10. Záväzky </w:t>
      </w:r>
    </w:p>
    <w:p w:rsidR="002521E4" w:rsidRDefault="003D688F">
      <w:pPr>
        <w:spacing w:after="0" w:line="259" w:lineRule="auto"/>
        <w:ind w:left="0" w:firstLine="0"/>
      </w:pPr>
      <w:r>
        <w:t xml:space="preserve"> </w:t>
      </w:r>
    </w:p>
    <w:p w:rsidR="002521E4" w:rsidRDefault="003D688F">
      <w:pPr>
        <w:ind w:left="-5" w:right="86"/>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521E4" w:rsidRDefault="003D688F">
      <w:pPr>
        <w:spacing w:after="0" w:line="259" w:lineRule="auto"/>
        <w:ind w:left="0" w:firstLine="0"/>
      </w:pPr>
      <w:r>
        <w:lastRenderedPageBreak/>
        <w:t xml:space="preserve"> </w:t>
      </w:r>
    </w:p>
    <w:p w:rsidR="002521E4" w:rsidRDefault="003D688F">
      <w:pPr>
        <w:spacing w:after="9" w:line="259" w:lineRule="auto"/>
        <w:ind w:left="0" w:firstLine="0"/>
      </w:pPr>
      <w:r>
        <w:t xml:space="preserve"> </w:t>
      </w:r>
    </w:p>
    <w:p w:rsidR="002521E4" w:rsidRDefault="003D688F">
      <w:pPr>
        <w:pStyle w:val="Nadpis2"/>
        <w:ind w:left="-5"/>
      </w:pPr>
      <w:r>
        <w:t xml:space="preserve">5.11. Zamestnanecké požitky </w:t>
      </w:r>
    </w:p>
    <w:p w:rsidR="002521E4" w:rsidRDefault="003D688F">
      <w:pPr>
        <w:spacing w:after="19" w:line="259" w:lineRule="auto"/>
        <w:ind w:left="0" w:firstLine="0"/>
      </w:pPr>
      <w:r>
        <w:t xml:space="preserve"> </w:t>
      </w:r>
    </w:p>
    <w:p w:rsidR="002521E4" w:rsidRDefault="003D688F">
      <w:pPr>
        <w:ind w:left="-5" w:right="86"/>
      </w:pPr>
      <w:r>
        <w:t xml:space="preserve">Platy, mzdy, príspevky do štátnych dôchodkových a poistných fondov, platená ročná dovolenka a platená zdravotná dovolenka, bonusy a ostatné nepeňažné požitky (napr. zdravotná starostlivosť) sa účtujú v účtovnom období, s ktorým časovo a vecne súvisia. </w:t>
      </w:r>
    </w:p>
    <w:p w:rsidR="002521E4" w:rsidRDefault="003D688F">
      <w:pPr>
        <w:spacing w:after="0" w:line="259" w:lineRule="auto"/>
        <w:ind w:left="0" w:firstLine="0"/>
      </w:pPr>
      <w:r>
        <w:t xml:space="preserve"> </w:t>
      </w:r>
    </w:p>
    <w:p w:rsidR="002521E4" w:rsidRDefault="003D688F">
      <w:pPr>
        <w:spacing w:after="15" w:line="259" w:lineRule="auto"/>
        <w:ind w:left="0" w:firstLine="0"/>
      </w:pPr>
      <w:r>
        <w:rPr>
          <w:b/>
        </w:rPr>
        <w:t xml:space="preserve"> </w:t>
      </w:r>
    </w:p>
    <w:p w:rsidR="002521E4" w:rsidRDefault="003D688F">
      <w:pPr>
        <w:pStyle w:val="Nadpis1"/>
        <w:ind w:left="-5"/>
      </w:pPr>
      <w:r>
        <w:t xml:space="preserve">Dlhodobé zamestnanecké požitky </w:t>
      </w:r>
    </w:p>
    <w:p w:rsidR="002521E4" w:rsidRDefault="003D688F">
      <w:pPr>
        <w:spacing w:after="0" w:line="259" w:lineRule="auto"/>
        <w:ind w:left="0" w:firstLine="0"/>
      </w:pPr>
      <w:r>
        <w:rPr>
          <w:b/>
        </w:rPr>
        <w:t xml:space="preserve"> </w:t>
      </w:r>
    </w:p>
    <w:p w:rsidR="002521E4" w:rsidRDefault="003D688F">
      <w:pPr>
        <w:ind w:left="-5" w:right="86"/>
      </w:pPr>
      <w:r>
        <w:t xml:space="preserve">V zmysle Zákonníka práce má zamestnanec pri odchode do starobného dôchodku nárok na odmenu vo výške jednej priemernej mesačnej mzdy. </w:t>
      </w:r>
      <w:r>
        <w:rPr>
          <w:i/>
        </w:rPr>
        <w:t xml:space="preserve">  </w:t>
      </w:r>
    </w:p>
    <w:p w:rsidR="002521E4" w:rsidRDefault="003D688F">
      <w:pPr>
        <w:spacing w:after="0" w:line="259" w:lineRule="auto"/>
        <w:ind w:left="425" w:firstLine="0"/>
      </w:pPr>
      <w:r>
        <w:t xml:space="preserve"> </w:t>
      </w:r>
    </w:p>
    <w:p w:rsidR="002521E4" w:rsidRDefault="003D688F">
      <w:pPr>
        <w:spacing w:after="3" w:line="259" w:lineRule="auto"/>
        <w:ind w:left="425" w:firstLine="0"/>
      </w:pPr>
      <w:r>
        <w:t xml:space="preserve"> </w:t>
      </w:r>
    </w:p>
    <w:p w:rsidR="002521E4" w:rsidRDefault="003D688F">
      <w:pPr>
        <w:pStyle w:val="Nadpis2"/>
        <w:ind w:left="-5"/>
      </w:pPr>
      <w:r>
        <w:t xml:space="preserve">5.12. Splatná daň z príjmov </w:t>
      </w:r>
    </w:p>
    <w:p w:rsidR="002521E4" w:rsidRDefault="003D688F">
      <w:pPr>
        <w:spacing w:after="0" w:line="259" w:lineRule="auto"/>
        <w:ind w:left="425" w:firstLine="0"/>
      </w:pPr>
      <w:r>
        <w:t xml:space="preserve"> </w:t>
      </w:r>
    </w:p>
    <w:p w:rsidR="002521E4" w:rsidRDefault="003D688F">
      <w:pPr>
        <w:ind w:left="-5" w:right="86"/>
      </w:pPr>
      <w:r>
        <w:t xml:space="preserve">Daň z príjmov sa účtuje do nákladov Spoločnosti v období vzniku daňovej povinnosti a v priloženom výkaze ziskov a strát Spoločnosti je vypočítaná zo základu vyplývajúceho z výsledku hospodárenia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2521E4" w:rsidRDefault="003D688F">
      <w:pPr>
        <w:spacing w:after="0" w:line="259" w:lineRule="auto"/>
        <w:ind w:left="0" w:firstLine="0"/>
      </w:pPr>
      <w:r>
        <w:t xml:space="preserve"> </w:t>
      </w:r>
    </w:p>
    <w:p w:rsidR="002521E4" w:rsidRDefault="003D688F">
      <w:pPr>
        <w:spacing w:after="4" w:line="259" w:lineRule="auto"/>
        <w:ind w:left="0" w:firstLine="0"/>
      </w:pPr>
      <w:r>
        <w:t xml:space="preserve"> </w:t>
      </w:r>
    </w:p>
    <w:p w:rsidR="002521E4" w:rsidRDefault="003D688F">
      <w:pPr>
        <w:pStyle w:val="Nadpis2"/>
        <w:ind w:left="-5"/>
      </w:pPr>
      <w:r>
        <w:t xml:space="preserve">5.13. Odložené dane </w:t>
      </w:r>
    </w:p>
    <w:p w:rsidR="002521E4" w:rsidRDefault="003D688F">
      <w:pPr>
        <w:spacing w:after="20" w:line="259" w:lineRule="auto"/>
        <w:ind w:left="0" w:firstLine="0"/>
      </w:pPr>
      <w:r>
        <w:rPr>
          <w:b/>
        </w:rPr>
        <w:t xml:space="preserve"> </w:t>
      </w:r>
    </w:p>
    <w:p w:rsidR="002521E4" w:rsidRDefault="003D688F">
      <w:pPr>
        <w:ind w:left="-5" w:right="86"/>
      </w:pPr>
      <w:r>
        <w:t xml:space="preserve">Odložené dane (odložená daňová pohľadávka a odložený daňový záväzok) sa vzťahujú na: </w:t>
      </w:r>
    </w:p>
    <w:p w:rsidR="002521E4" w:rsidRDefault="003D688F">
      <w:pPr>
        <w:spacing w:after="0" w:line="259" w:lineRule="auto"/>
        <w:ind w:left="0" w:firstLine="0"/>
      </w:pPr>
      <w:r>
        <w:t xml:space="preserve"> </w:t>
      </w:r>
    </w:p>
    <w:p w:rsidR="002521E4" w:rsidRDefault="003D688F">
      <w:pPr>
        <w:numPr>
          <w:ilvl w:val="0"/>
          <w:numId w:val="3"/>
        </w:numPr>
        <w:ind w:right="86" w:hanging="220"/>
      </w:pPr>
      <w:r>
        <w:t xml:space="preserve">dočasné rozdiely medzi účtovnou hodnotou majetku a účtovnou hodnotou záväzkov vykázanou v súvahe a ich daňovou základňou, </w:t>
      </w:r>
    </w:p>
    <w:p w:rsidR="002521E4" w:rsidRDefault="003D688F">
      <w:pPr>
        <w:numPr>
          <w:ilvl w:val="0"/>
          <w:numId w:val="3"/>
        </w:numPr>
        <w:ind w:right="86" w:hanging="220"/>
      </w:pPr>
      <w:r>
        <w:t xml:space="preserve">možnosť umorovať daňovú stratu v budúcnosti, ktorou sa rozumie možnosť odpočítať daňovú stratu od základu dane v budúcnosti, </w:t>
      </w:r>
    </w:p>
    <w:p w:rsidR="002521E4" w:rsidRDefault="003D688F">
      <w:pPr>
        <w:numPr>
          <w:ilvl w:val="0"/>
          <w:numId w:val="3"/>
        </w:numPr>
        <w:ind w:right="86" w:hanging="220"/>
      </w:pPr>
      <w:r>
        <w:t xml:space="preserve">možnosť previesť nevyužité daňové odpočty a iné daňové nároky do budúcich období. </w:t>
      </w:r>
    </w:p>
    <w:p w:rsidR="002521E4" w:rsidRDefault="003D688F">
      <w:pPr>
        <w:spacing w:after="0" w:line="259" w:lineRule="auto"/>
        <w:ind w:left="0" w:firstLine="0"/>
      </w:pPr>
      <w:r>
        <w:t xml:space="preserve"> </w:t>
      </w:r>
    </w:p>
    <w:p w:rsidR="002521E4" w:rsidRDefault="003D688F">
      <w:pPr>
        <w:ind w:left="-5" w:right="86"/>
      </w:pPr>
      <w:r>
        <w:t xml:space="preserve">Odložená daňová pohľadávka sa účtuje iba do takej výšky, do akej je pravdepodobné, že bude možné dočasné rozdiely vyrovnať voči budúcemu základu dane. </w:t>
      </w:r>
    </w:p>
    <w:p w:rsidR="002521E4" w:rsidRDefault="003D688F">
      <w:pPr>
        <w:spacing w:after="18" w:line="259" w:lineRule="auto"/>
        <w:ind w:left="0" w:firstLine="0"/>
      </w:pPr>
      <w:r>
        <w:t xml:space="preserve"> </w:t>
      </w:r>
    </w:p>
    <w:p w:rsidR="002521E4" w:rsidRDefault="003D688F">
      <w:pPr>
        <w:ind w:left="-5" w:right="86"/>
      </w:pPr>
      <w:r>
        <w:t xml:space="preserve">Pri výpočte odloženej dane sa použije sadzba dane z príjmov, o ktorej sa predpokladá, že bude platiť v čase vyrovnania odloženej dane. </w:t>
      </w:r>
    </w:p>
    <w:p w:rsidR="002521E4" w:rsidRDefault="003D688F">
      <w:pPr>
        <w:spacing w:after="0" w:line="259" w:lineRule="auto"/>
        <w:ind w:left="0" w:firstLine="0"/>
      </w:pPr>
      <w:r>
        <w:t xml:space="preserve"> </w:t>
      </w:r>
    </w:p>
    <w:p w:rsidR="002521E4" w:rsidRDefault="003D688F">
      <w:pPr>
        <w:spacing w:after="10" w:line="259" w:lineRule="auto"/>
        <w:ind w:left="0" w:firstLine="0"/>
      </w:pPr>
      <w:r>
        <w:t xml:space="preserve"> </w:t>
      </w:r>
    </w:p>
    <w:p w:rsidR="002521E4" w:rsidRDefault="003D688F">
      <w:pPr>
        <w:pStyle w:val="Nadpis2"/>
        <w:ind w:left="-5"/>
      </w:pPr>
      <w:r>
        <w:t xml:space="preserve">5.14. Výdavky budúcich období a výnosy budúcich období </w:t>
      </w:r>
    </w:p>
    <w:p w:rsidR="002521E4" w:rsidRDefault="003D688F">
      <w:pPr>
        <w:spacing w:after="0" w:line="259" w:lineRule="auto"/>
        <w:ind w:left="0" w:firstLine="0"/>
      </w:pPr>
      <w:r>
        <w:t xml:space="preserve"> </w:t>
      </w:r>
    </w:p>
    <w:p w:rsidR="002521E4" w:rsidRDefault="003D688F">
      <w:pPr>
        <w:ind w:left="-5" w:right="86"/>
      </w:pPr>
      <w:r>
        <w:t xml:space="preserve">Výdavky budúcich období a výnosy budúcich období sa vykazujú vo výške, ktorá je potrebná na dodržanie zásady vecnej a časovej súvislosti s účtovným obdobím.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rPr>
          <w:b/>
        </w:rPr>
        <w:t xml:space="preserv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pStyle w:val="Nadpis2"/>
        <w:ind w:left="-5"/>
      </w:pPr>
      <w:r>
        <w:t xml:space="preserve">5.15. Lízing </w:t>
      </w:r>
    </w:p>
    <w:p w:rsidR="002521E4" w:rsidRDefault="003D688F">
      <w:pPr>
        <w:spacing w:after="17" w:line="259" w:lineRule="auto"/>
        <w:ind w:left="708" w:firstLine="0"/>
      </w:pPr>
      <w:r>
        <w:t xml:space="preserve"> </w:t>
      </w:r>
    </w:p>
    <w:p w:rsidR="002521E4" w:rsidRDefault="003D688F">
      <w:pPr>
        <w:ind w:left="-5" w:right="86"/>
      </w:pPr>
      <w:r>
        <w:t xml:space="preserve">Operatívny prenájom. Majetok prenajatý na základe operatívneho prenájmu vykazuje ako svoj majetok jeho vlastník, nie nájomca. Majetok obstaraný formou operatívneho leasingu sa účtuje do nákladov rovnomerne počas doby trvania leasingovej zmluvy. </w:t>
      </w:r>
    </w:p>
    <w:p w:rsidR="002521E4" w:rsidRDefault="003D688F">
      <w:pPr>
        <w:spacing w:after="0" w:line="259" w:lineRule="auto"/>
        <w:ind w:left="0" w:firstLine="0"/>
      </w:pPr>
      <w:r>
        <w:t xml:space="preserve"> </w:t>
      </w:r>
    </w:p>
    <w:p w:rsidR="002521E4" w:rsidRDefault="003D688F">
      <w:pPr>
        <w:spacing w:after="0" w:line="259" w:lineRule="auto"/>
        <w:ind w:left="0" w:firstLine="0"/>
      </w:pPr>
      <w:r>
        <w:lastRenderedPageBreak/>
        <w:t xml:space="preserve"> </w:t>
      </w:r>
    </w:p>
    <w:p w:rsidR="002521E4" w:rsidRDefault="003D688F">
      <w:pPr>
        <w:pStyle w:val="Nadpis2"/>
        <w:ind w:left="-5"/>
      </w:pPr>
      <w:r>
        <w:t xml:space="preserve">5.16. Výnosy </w:t>
      </w:r>
    </w:p>
    <w:p w:rsidR="002521E4" w:rsidRDefault="003D688F">
      <w:pPr>
        <w:spacing w:after="1" w:line="259" w:lineRule="auto"/>
        <w:ind w:left="708" w:firstLine="0"/>
      </w:pPr>
      <w:r>
        <w:t xml:space="preserve"> </w:t>
      </w:r>
    </w:p>
    <w:p w:rsidR="002521E4" w:rsidRDefault="003D688F">
      <w:pPr>
        <w:ind w:left="-5" w:right="86"/>
      </w:pPr>
      <w:r>
        <w:t xml:space="preserve">Výnosy z predaja výrobkov a tovarov sa vykazujú v momente prenosu rizika a vlastníctva výrobku, obvykle po dodávke. Ak sa Spoločnosť zaviaže dopraviť výrobky na určité miesto, výnosy sa vykazujú v momente doručenia výrobku do cieľového miesta. </w:t>
      </w:r>
    </w:p>
    <w:p w:rsidR="002521E4" w:rsidRDefault="003D688F">
      <w:pPr>
        <w:spacing w:after="15" w:line="259" w:lineRule="auto"/>
        <w:ind w:left="0" w:firstLine="0"/>
      </w:pPr>
      <w:r>
        <w:t xml:space="preserve"> </w:t>
      </w:r>
    </w:p>
    <w:p w:rsidR="002521E4" w:rsidRDefault="003D688F">
      <w:pPr>
        <w:ind w:left="-5" w:right="86"/>
      </w:pPr>
      <w: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rsidR="002521E4" w:rsidRDefault="003D688F">
      <w:pPr>
        <w:spacing w:after="18" w:line="259" w:lineRule="auto"/>
        <w:ind w:left="0" w:firstLine="0"/>
      </w:pPr>
      <w:r>
        <w:t xml:space="preserve"> </w:t>
      </w:r>
    </w:p>
    <w:p w:rsidR="002521E4" w:rsidRDefault="003D688F">
      <w:pPr>
        <w:ind w:left="-5" w:right="86"/>
      </w:pPr>
      <w:r>
        <w:t xml:space="preserve">Výnosové úroky sa účtujú rovnomerne v účtovných obdobiach, ktorých sa vecne a časovo týkajú. Výnosy z dividend sa zaúčtujú v čase vzniku práva Spoločnosti na prijatie platby. </w:t>
      </w:r>
    </w:p>
    <w:p w:rsidR="002521E4" w:rsidRDefault="003D688F">
      <w:pPr>
        <w:spacing w:after="17" w:line="259" w:lineRule="auto"/>
        <w:ind w:left="0" w:firstLine="0"/>
      </w:pPr>
      <w:r>
        <w:t xml:space="preserve"> </w:t>
      </w:r>
    </w:p>
    <w:p w:rsidR="002521E4" w:rsidRDefault="003D688F">
      <w:pPr>
        <w:ind w:left="-5" w:right="86"/>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2521E4" w:rsidRDefault="003D688F">
      <w:pPr>
        <w:spacing w:after="0" w:line="259" w:lineRule="auto"/>
        <w:ind w:left="0" w:firstLine="0"/>
      </w:pPr>
      <w:r>
        <w:t xml:space="preserve"> </w:t>
      </w:r>
    </w:p>
    <w:p w:rsidR="002521E4" w:rsidRDefault="003D688F">
      <w:pPr>
        <w:spacing w:after="12" w:line="259" w:lineRule="auto"/>
        <w:ind w:left="0" w:firstLine="0"/>
      </w:pPr>
      <w:r>
        <w:t xml:space="preserve"> </w:t>
      </w:r>
    </w:p>
    <w:p w:rsidR="002521E4" w:rsidRDefault="003D688F">
      <w:pPr>
        <w:pStyle w:val="Nadpis2"/>
        <w:ind w:left="-5"/>
      </w:pPr>
      <w:r>
        <w:t xml:space="preserve">5.17. Prepočet údajov v cudzích menách na euro menu </w:t>
      </w:r>
    </w:p>
    <w:p w:rsidR="002521E4" w:rsidRDefault="003D688F">
      <w:pPr>
        <w:spacing w:after="0" w:line="259" w:lineRule="auto"/>
        <w:ind w:left="0" w:firstLine="0"/>
      </w:pPr>
      <w:r>
        <w:t xml:space="preserve"> </w:t>
      </w:r>
    </w:p>
    <w:p w:rsidR="002521E4" w:rsidRDefault="003D688F">
      <w:pPr>
        <w:ind w:left="-5" w:right="86"/>
      </w:pPr>
      <w:r>
        <w:t xml:space="preserve">Majetok a záväzky vyjadrené v cudzích menách sú prepočítané na euro menu referenčným výmenným  kurzom určeným a vyhláseným Európskou centrálnou bankou alebo Národnou bankou Slovenska  v deň predchádzajúci dňu uskutočnenia účtovného prípadu. </w:t>
      </w:r>
    </w:p>
    <w:p w:rsidR="002521E4" w:rsidRDefault="003D688F">
      <w:pPr>
        <w:spacing w:after="18" w:line="259" w:lineRule="auto"/>
        <w:ind w:left="0" w:firstLine="0"/>
      </w:pPr>
      <w:r>
        <w:t xml:space="preserve"> </w:t>
      </w:r>
    </w:p>
    <w:p w:rsidR="002521E4" w:rsidRDefault="003D688F">
      <w:pPr>
        <w:ind w:left="-5" w:right="304"/>
      </w:pPr>
      <w: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s vplyvom na výsledok hospodárenia.  </w:t>
      </w:r>
    </w:p>
    <w:p w:rsidR="002521E4" w:rsidRDefault="003D688F">
      <w:pPr>
        <w:ind w:left="-5" w:right="86"/>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 </w:t>
      </w:r>
    </w:p>
    <w:p w:rsidR="002521E4" w:rsidRDefault="003D688F">
      <w:pPr>
        <w:ind w:left="-5" w:right="86"/>
      </w:pPr>
      <w:r>
        <w:t xml:space="preserve">Ku dňu, ku ktorému sa zostavuje účtovná závierka, sa na menu euro už neprepočítavajú.  </w:t>
      </w:r>
    </w:p>
    <w:p w:rsidR="002521E4" w:rsidRDefault="003D688F">
      <w:pPr>
        <w:spacing w:after="0" w:line="259" w:lineRule="auto"/>
        <w:ind w:left="0" w:firstLine="0"/>
      </w:pPr>
      <w:r>
        <w:t xml:space="preserve"> </w:t>
      </w:r>
    </w:p>
    <w:p w:rsidR="002521E4" w:rsidRDefault="003D688F">
      <w:pPr>
        <w:ind w:left="-5" w:right="86"/>
      </w:pPr>
      <w:r>
        <w:t xml:space="preserve">Na ocenenie prírastku cudzej meny nakúpenej za euro sa použije kurz, za ktorý bola táto cudzia mena nakúpená. </w:t>
      </w:r>
    </w:p>
    <w:p w:rsidR="002521E4" w:rsidRDefault="003D688F">
      <w:pPr>
        <w:spacing w:after="4" w:line="259" w:lineRule="auto"/>
        <w:ind w:left="0" w:firstLine="0"/>
      </w:pPr>
      <w:r>
        <w:t xml:space="preserve"> </w:t>
      </w:r>
    </w:p>
    <w:p w:rsidR="002521E4" w:rsidRDefault="003D688F">
      <w:pPr>
        <w:ind w:left="-5" w:right="86"/>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521E4" w:rsidRDefault="003D688F">
      <w:pPr>
        <w:spacing w:after="0" w:line="259" w:lineRule="auto"/>
        <w:ind w:left="0" w:firstLine="0"/>
      </w:pPr>
      <w:r>
        <w:t xml:space="preserve"> </w:t>
      </w:r>
    </w:p>
    <w:p w:rsidR="002521E4" w:rsidRDefault="003D688F">
      <w:pPr>
        <w:spacing w:after="8" w:line="259" w:lineRule="auto"/>
        <w:ind w:left="0" w:firstLine="0"/>
      </w:pPr>
      <w:r>
        <w:t xml:space="preserve"> </w:t>
      </w:r>
    </w:p>
    <w:p w:rsidR="002521E4" w:rsidRDefault="003D688F">
      <w:pPr>
        <w:pStyle w:val="Nadpis2"/>
        <w:ind w:left="-5"/>
      </w:pPr>
      <w:r>
        <w:t xml:space="preserve">5.18. Porovnateľné údaje </w:t>
      </w:r>
    </w:p>
    <w:p w:rsidR="002521E4" w:rsidRDefault="003D688F">
      <w:pPr>
        <w:spacing w:after="20" w:line="259" w:lineRule="auto"/>
        <w:ind w:left="0" w:firstLine="0"/>
      </w:pPr>
      <w:r>
        <w:rPr>
          <w:i/>
        </w:rPr>
        <w:t xml:space="preserve"> </w:t>
      </w:r>
    </w:p>
    <w:p w:rsidR="002521E4" w:rsidRDefault="003D688F">
      <w:pPr>
        <w:ind w:left="-5" w:right="86"/>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2521E4" w:rsidRDefault="003D688F">
      <w:pPr>
        <w:spacing w:after="0" w:line="259" w:lineRule="auto"/>
        <w:ind w:left="708" w:firstLine="0"/>
      </w:pPr>
      <w:r>
        <w:t xml:space="preserve"> </w:t>
      </w:r>
    </w:p>
    <w:p w:rsidR="002521E4" w:rsidRDefault="003D688F">
      <w:pPr>
        <w:spacing w:after="0" w:line="259" w:lineRule="auto"/>
        <w:ind w:left="708" w:firstLine="0"/>
      </w:pPr>
      <w:r>
        <w:t xml:space="preserve"> </w:t>
      </w:r>
    </w:p>
    <w:p w:rsidR="002521E4" w:rsidRDefault="003D688F">
      <w:pPr>
        <w:spacing w:after="0" w:line="259" w:lineRule="auto"/>
        <w:ind w:left="708" w:firstLine="0"/>
      </w:pPr>
      <w:r>
        <w:t xml:space="preserve"> </w:t>
      </w:r>
    </w:p>
    <w:p w:rsidR="002521E4" w:rsidRDefault="003D688F">
      <w:pPr>
        <w:spacing w:after="0" w:line="259" w:lineRule="auto"/>
        <w:ind w:left="708" w:firstLine="0"/>
      </w:pPr>
      <w:r>
        <w:t xml:space="preserve"> </w:t>
      </w:r>
    </w:p>
    <w:p w:rsidR="002521E4" w:rsidRDefault="003D688F">
      <w:pPr>
        <w:spacing w:after="0" w:line="259" w:lineRule="auto"/>
        <w:ind w:left="708" w:firstLine="0"/>
      </w:pPr>
      <w:r>
        <w:lastRenderedPageBreak/>
        <w:t xml:space="preserve"> </w:t>
      </w:r>
    </w:p>
    <w:p w:rsidR="002521E4" w:rsidRDefault="003D688F">
      <w:pPr>
        <w:spacing w:after="0" w:line="259" w:lineRule="auto"/>
        <w:ind w:left="708" w:firstLine="0"/>
      </w:pPr>
      <w:r>
        <w:t xml:space="preserve"> </w:t>
      </w:r>
    </w:p>
    <w:p w:rsidR="002521E4" w:rsidRDefault="003D688F">
      <w:pPr>
        <w:spacing w:after="0" w:line="259" w:lineRule="auto"/>
        <w:ind w:left="708" w:firstLine="0"/>
      </w:pPr>
      <w:r>
        <w:t xml:space="preserve"> </w:t>
      </w:r>
    </w:p>
    <w:p w:rsidR="002521E4" w:rsidRDefault="003D688F">
      <w:pPr>
        <w:pStyle w:val="Nadpis2"/>
        <w:ind w:left="-5"/>
      </w:pPr>
      <w:r>
        <w:t xml:space="preserve">5.19. Oprava významných chýb  </w:t>
      </w:r>
    </w:p>
    <w:p w:rsidR="002521E4" w:rsidRDefault="003D688F">
      <w:pPr>
        <w:spacing w:after="18" w:line="259" w:lineRule="auto"/>
        <w:ind w:left="0" w:firstLine="0"/>
      </w:pPr>
      <w:r>
        <w:t xml:space="preserve"> </w:t>
      </w:r>
    </w:p>
    <w:p w:rsidR="002521E4" w:rsidRDefault="003D688F">
      <w:pPr>
        <w:ind w:left="-5" w:right="86"/>
      </w:pPr>
      <w:r>
        <w:t>Spoločnosť účtovala o oprave nevýznamných chýb minulých účtovných období účtovných v bežnom účtovnom období. Suma vplyvu na výsledok hospodárenia bežného účtovného obdobia je</w:t>
      </w:r>
      <w:r w:rsidR="00F315FB">
        <w:t xml:space="preserve"> 371,70</w:t>
      </w:r>
      <w:r w:rsidR="000B45FC">
        <w:t xml:space="preserve"> </w:t>
      </w:r>
      <w:r>
        <w:t xml:space="preserve">EUR. </w:t>
      </w:r>
    </w:p>
    <w:p w:rsidR="002521E4" w:rsidRDefault="003D688F">
      <w:pPr>
        <w:spacing w:after="0" w:line="259" w:lineRule="auto"/>
        <w:ind w:left="0" w:firstLine="0"/>
      </w:pPr>
      <w:r>
        <w:rPr>
          <w:i/>
        </w:rPr>
        <w:t xml:space="preserve"> </w:t>
      </w:r>
    </w:p>
    <w:p w:rsidR="002521E4" w:rsidRDefault="003D688F">
      <w:pPr>
        <w:spacing w:after="13" w:line="259" w:lineRule="auto"/>
        <w:ind w:left="0" w:firstLine="0"/>
      </w:pPr>
      <w:r>
        <w:rPr>
          <w:i/>
        </w:rPr>
        <w:t xml:space="preserve"> </w:t>
      </w:r>
    </w:p>
    <w:p w:rsidR="002521E4" w:rsidRDefault="003D688F">
      <w:pPr>
        <w:spacing w:after="0" w:line="259" w:lineRule="auto"/>
        <w:ind w:left="-5"/>
      </w:pPr>
      <w:r>
        <w:rPr>
          <w:b/>
        </w:rPr>
        <w:t xml:space="preserve">C. INFORMÁCIE O AKTÍVACH </w:t>
      </w:r>
    </w:p>
    <w:p w:rsidR="002521E4" w:rsidRDefault="003D688F">
      <w:pPr>
        <w:spacing w:after="0" w:line="259" w:lineRule="auto"/>
        <w:ind w:left="0" w:firstLine="0"/>
      </w:pPr>
      <w:r>
        <w:t xml:space="preserve"> </w:t>
      </w:r>
    </w:p>
    <w:p w:rsidR="002521E4" w:rsidRDefault="003D688F">
      <w:pPr>
        <w:spacing w:after="0" w:line="259" w:lineRule="auto"/>
        <w:ind w:left="566" w:firstLine="0"/>
      </w:pPr>
      <w:r>
        <w:t xml:space="preserve"> </w:t>
      </w:r>
    </w:p>
    <w:p w:rsidR="002521E4" w:rsidRDefault="003D688F">
      <w:pPr>
        <w:tabs>
          <w:tab w:val="center" w:pos="793"/>
          <w:tab w:val="center" w:pos="1586"/>
        </w:tabs>
        <w:spacing w:after="0" w:line="259" w:lineRule="auto"/>
        <w:ind w:left="0" w:firstLine="0"/>
      </w:pPr>
      <w:r>
        <w:rPr>
          <w:rFonts w:ascii="Calibri" w:eastAsia="Calibri" w:hAnsi="Calibri" w:cs="Calibri"/>
          <w:sz w:val="22"/>
        </w:rPr>
        <w:tab/>
      </w:r>
      <w:r>
        <w:rPr>
          <w:b/>
        </w:rPr>
        <w:t xml:space="preserve">1. </w:t>
      </w:r>
      <w:r>
        <w:rPr>
          <w:b/>
        </w:rPr>
        <w:tab/>
      </w:r>
      <w:proofErr w:type="spellStart"/>
      <w:r>
        <w:rPr>
          <w:b/>
        </w:rPr>
        <w:t>Goodwill</w:t>
      </w:r>
      <w:proofErr w:type="spellEnd"/>
      <w:r>
        <w:rPr>
          <w:b/>
        </w:rPr>
        <w:t xml:space="preserve"> </w:t>
      </w:r>
    </w:p>
    <w:p w:rsidR="002521E4" w:rsidRDefault="003D688F">
      <w:pPr>
        <w:spacing w:after="6" w:line="259" w:lineRule="auto"/>
        <w:ind w:left="0" w:firstLine="0"/>
      </w:pPr>
      <w:r>
        <w:rPr>
          <w:rFonts w:ascii="Garamond" w:eastAsia="Garamond" w:hAnsi="Garamond" w:cs="Garamond"/>
          <w:sz w:val="22"/>
        </w:rPr>
        <w:t xml:space="preserve"> </w:t>
      </w:r>
    </w:p>
    <w:p w:rsidR="002521E4" w:rsidRDefault="003D688F">
      <w:pPr>
        <w:ind w:left="-5" w:right="86"/>
      </w:pPr>
      <w:r>
        <w:t xml:space="preserve">Spoločnosť o tejto položke neúčtovala. </w:t>
      </w:r>
    </w:p>
    <w:p w:rsidR="002521E4" w:rsidRDefault="003D688F">
      <w:pPr>
        <w:spacing w:after="0" w:line="259" w:lineRule="auto"/>
        <w:ind w:left="0" w:firstLine="0"/>
      </w:pPr>
      <w:r>
        <w:rPr>
          <w:b/>
        </w:rPr>
        <w:t xml:space="preserve"> </w:t>
      </w:r>
    </w:p>
    <w:p w:rsidR="002521E4" w:rsidRDefault="003D688F">
      <w:pPr>
        <w:spacing w:after="15" w:line="259" w:lineRule="auto"/>
        <w:ind w:left="0" w:firstLine="0"/>
      </w:pPr>
      <w:r>
        <w:t xml:space="preserve"> </w:t>
      </w:r>
    </w:p>
    <w:p w:rsidR="002521E4" w:rsidRDefault="003D688F">
      <w:pPr>
        <w:pStyle w:val="Nadpis1"/>
        <w:tabs>
          <w:tab w:val="center" w:pos="793"/>
          <w:tab w:val="center" w:pos="4705"/>
        </w:tabs>
        <w:ind w:left="0" w:firstLine="0"/>
      </w:pPr>
      <w:r>
        <w:rPr>
          <w:rFonts w:ascii="Calibri" w:eastAsia="Calibri" w:hAnsi="Calibri" w:cs="Calibri"/>
          <w:b w:val="0"/>
          <w:sz w:val="22"/>
        </w:rPr>
        <w:tab/>
      </w:r>
      <w:r>
        <w:t xml:space="preserve">2. </w:t>
      </w:r>
      <w:r>
        <w:tab/>
        <w:t xml:space="preserve">Účtovná jednotka vykazuje v účtovnej závierke dlhodobý finančný majetok </w:t>
      </w:r>
    </w:p>
    <w:p w:rsidR="002521E4" w:rsidRDefault="003D688F">
      <w:pPr>
        <w:spacing w:after="23" w:line="259" w:lineRule="auto"/>
        <w:ind w:left="708" w:firstLine="0"/>
      </w:pPr>
      <w:r>
        <w:t xml:space="preserve"> </w:t>
      </w:r>
    </w:p>
    <w:p w:rsidR="002521E4" w:rsidRDefault="003D688F">
      <w:pPr>
        <w:numPr>
          <w:ilvl w:val="0"/>
          <w:numId w:val="4"/>
        </w:numPr>
        <w:ind w:right="86" w:hanging="36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4958538</wp:posOffset>
                </wp:positionH>
                <wp:positionV relativeFrom="paragraph">
                  <wp:posOffset>-10224</wp:posOffset>
                </wp:positionV>
                <wp:extent cx="120396" cy="422148"/>
                <wp:effectExtent l="0" t="0" r="0" b="0"/>
                <wp:wrapSquare wrapText="bothSides"/>
                <wp:docPr id="16773" name="Group 16773"/>
                <wp:cNvGraphicFramePr/>
                <a:graphic xmlns:a="http://schemas.openxmlformats.org/drawingml/2006/main">
                  <a:graphicData uri="http://schemas.microsoft.com/office/word/2010/wordprocessingGroup">
                    <wpg:wgp>
                      <wpg:cNvGrpSpPr/>
                      <wpg:grpSpPr>
                        <a:xfrm>
                          <a:off x="0" y="0"/>
                          <a:ext cx="120396" cy="422148"/>
                          <a:chOff x="0" y="0"/>
                          <a:chExt cx="120396" cy="422148"/>
                        </a:xfrm>
                      </wpg:grpSpPr>
                      <wps:wsp>
                        <wps:cNvPr id="1535" name="Shape 153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36" name="Shape 153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7" name="Shape 153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55" name="Shape 1555"/>
                        <wps:cNvSpPr/>
                        <wps:spPr>
                          <a:xfrm>
                            <a:off x="1524" y="303276"/>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56" name="Shape 1556"/>
                        <wps:cNvSpPr/>
                        <wps:spPr>
                          <a:xfrm>
                            <a:off x="0" y="301752"/>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57" name="Shape 1557"/>
                        <wps:cNvSpPr/>
                        <wps:spPr>
                          <a:xfrm>
                            <a:off x="0" y="301752"/>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6773" style="width:9.47998pt;height:33.24pt;position:absolute;mso-position-horizontal-relative:text;mso-position-horizontal:absolute;margin-left:390.436pt;mso-position-vertical-relative:text;margin-top:-0.805115pt;" coordsize="1203,4221">
                <v:shape id="Shape 1535" style="position:absolute;width:1173;height:1173;left:15;top:15;" coordsize="117348,117348" path="m0,117348l117348,117348l117348,0l0,0x">
                  <v:stroke weight="0.72pt" endcap="flat" joinstyle="round" on="true" color="#000000"/>
                  <v:fill on="false" color="#000000" opacity="0"/>
                </v:shape>
                <v:shape id="Shape 1536" style="position:absolute;width:1203;height:1203;left:0;top:0;" coordsize="120396,120396" path="m0,0l120396,120396">
                  <v:stroke weight="0.48pt" endcap="flat" joinstyle="round" on="true" color="#000000"/>
                  <v:fill on="false" color="#000000" opacity="0"/>
                </v:shape>
                <v:shape id="Shape 1537" style="position:absolute;width:1203;height:1203;left:0;top:0;" coordsize="120396,120396" path="m120396,0l0,120396">
                  <v:stroke weight="0.48pt" endcap="flat" joinstyle="round" on="true" color="#000000"/>
                  <v:fill on="false" color="#000000" opacity="0"/>
                </v:shape>
                <v:shape id="Shape 1555" style="position:absolute;width:1173;height:1173;left:15;top:3032;" coordsize="117348,117348" path="m0,117348l117348,117348l117348,0l0,0x">
                  <v:stroke weight="0.72pt" endcap="flat" joinstyle="round" on="true" color="#000000"/>
                  <v:fill on="false" color="#000000" opacity="0"/>
                </v:shape>
                <v:shape id="Shape 1556" style="position:absolute;width:1203;height:1203;left:0;top:3017;" coordsize="120396,120396" path="m0,0l120396,120396">
                  <v:stroke weight="0.48pt" endcap="flat" joinstyle="round" on="true" color="#000000"/>
                  <v:fill on="false" color="#000000" opacity="0"/>
                </v:shape>
                <v:shape id="Shape 1557" style="position:absolute;width:1203;height:1203;left:0;top:3017;" coordsize="120396,120396" path="m120396,0l0,120396">
                  <v:stroke weight="0.48pt" endcap="flat" joinstyle="round" on="true" color="#000000"/>
                  <v:fill on="false" color="#000000" opacity="0"/>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4060520</wp:posOffset>
                </wp:positionH>
                <wp:positionV relativeFrom="paragraph">
                  <wp:posOffset>-8700</wp:posOffset>
                </wp:positionV>
                <wp:extent cx="117348" cy="419100"/>
                <wp:effectExtent l="0" t="0" r="0" b="0"/>
                <wp:wrapSquare wrapText="bothSides"/>
                <wp:docPr id="16772" name="Group 16772"/>
                <wp:cNvGraphicFramePr/>
                <a:graphic xmlns:a="http://schemas.openxmlformats.org/drawingml/2006/main">
                  <a:graphicData uri="http://schemas.microsoft.com/office/word/2010/wordprocessingGroup">
                    <wpg:wgp>
                      <wpg:cNvGrpSpPr/>
                      <wpg:grpSpPr>
                        <a:xfrm>
                          <a:off x="0" y="0"/>
                          <a:ext cx="117348" cy="419100"/>
                          <a:chOff x="0" y="0"/>
                          <a:chExt cx="117348" cy="419100"/>
                        </a:xfrm>
                      </wpg:grpSpPr>
                      <wps:wsp>
                        <wps:cNvPr id="1531" name="Shape 153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51" name="Shape 1551"/>
                        <wps:cNvSpPr/>
                        <wps:spPr>
                          <a:xfrm>
                            <a:off x="0" y="301752"/>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6772" style="width:9.23999pt;height:33pt;position:absolute;mso-position-horizontal-relative:text;mso-position-horizontal:absolute;margin-left:319.726pt;mso-position-vertical-relative:text;margin-top:-0.68512pt;" coordsize="1173,4191">
                <v:shape id="Shape 1531" style="position:absolute;width:1173;height:1173;left:0;top:0;" coordsize="117348,117348" path="m0,117348l117348,117348l117348,0l0,0x">
                  <v:stroke weight="0.72pt" endcap="flat" joinstyle="round" on="true" color="#000000"/>
                  <v:fill on="false" color="#000000" opacity="0"/>
                </v:shape>
                <v:shape id="Shape 1551" style="position:absolute;width:1173;height:1173;left:0;top:3017;" coordsize="117348,117348" path="m0,117348l117348,117348l117348,0l0,0x">
                  <v:stroke weight="0.72pt" endcap="flat" joinstyle="round" on="true" color="#000000"/>
                  <v:fill on="false" color="#000000" opacity="0"/>
                </v:shape>
                <w10:wrap type="square"/>
              </v:group>
            </w:pict>
          </mc:Fallback>
        </mc:AlternateContent>
      </w:r>
      <w:r>
        <w:t xml:space="preserve">na ktorý je zriadené záložné právo  </w:t>
      </w:r>
      <w:r>
        <w:tab/>
        <w:t xml:space="preserve"> </w:t>
      </w:r>
      <w:r>
        <w:tab/>
        <w:t xml:space="preserve"> </w:t>
      </w:r>
      <w:r>
        <w:tab/>
        <w:t xml:space="preserve">  ÁNO  NIE </w:t>
      </w:r>
    </w:p>
    <w:p w:rsidR="002521E4" w:rsidRDefault="003D688F">
      <w:pPr>
        <w:spacing w:after="26" w:line="259" w:lineRule="auto"/>
        <w:ind w:left="0" w:right="2570" w:firstLine="0"/>
      </w:pPr>
      <w:r>
        <w:rPr>
          <w:b/>
        </w:rPr>
        <w:t xml:space="preserve"> </w:t>
      </w:r>
    </w:p>
    <w:p w:rsidR="002521E4" w:rsidRDefault="003D688F">
      <w:pPr>
        <w:numPr>
          <w:ilvl w:val="0"/>
          <w:numId w:val="4"/>
        </w:numPr>
        <w:ind w:right="86" w:hanging="360"/>
      </w:pPr>
      <w:r>
        <w:t xml:space="preserve">pri ktorom má účtovná jednotka obmedzené právo s ním nakladať  ÁNO  NIE </w:t>
      </w:r>
    </w:p>
    <w:p w:rsidR="002521E4" w:rsidRDefault="003D688F">
      <w:pPr>
        <w:spacing w:after="0" w:line="259" w:lineRule="auto"/>
        <w:ind w:left="0" w:firstLine="0"/>
      </w:pPr>
      <w:r>
        <w:rPr>
          <w:b/>
        </w:rPr>
        <w:t xml:space="preserve"> </w:t>
      </w:r>
    </w:p>
    <w:p w:rsidR="002521E4" w:rsidRDefault="003D688F">
      <w:pPr>
        <w:spacing w:after="12" w:line="259" w:lineRule="auto"/>
        <w:ind w:left="0" w:firstLine="0"/>
      </w:pPr>
      <w:r>
        <w:rPr>
          <w:b/>
        </w:rPr>
        <w:t xml:space="preserve"> </w:t>
      </w:r>
    </w:p>
    <w:p w:rsidR="002521E4" w:rsidRDefault="003D688F">
      <w:pPr>
        <w:tabs>
          <w:tab w:val="center" w:pos="793"/>
          <w:tab w:val="center" w:pos="1796"/>
        </w:tabs>
        <w:spacing w:after="0" w:line="259" w:lineRule="auto"/>
        <w:ind w:left="0" w:firstLine="0"/>
      </w:pPr>
      <w:r>
        <w:rPr>
          <w:rFonts w:ascii="Calibri" w:eastAsia="Calibri" w:hAnsi="Calibri" w:cs="Calibri"/>
          <w:sz w:val="22"/>
        </w:rPr>
        <w:tab/>
      </w:r>
      <w:r>
        <w:rPr>
          <w:b/>
        </w:rPr>
        <w:t xml:space="preserve">3. </w:t>
      </w:r>
      <w:r>
        <w:rPr>
          <w:b/>
        </w:rPr>
        <w:tab/>
        <w:t xml:space="preserve">Vlastné akcie </w:t>
      </w:r>
    </w:p>
    <w:p w:rsidR="002521E4" w:rsidRDefault="003D688F">
      <w:pPr>
        <w:spacing w:after="6" w:line="259" w:lineRule="auto"/>
        <w:ind w:left="0" w:firstLine="0"/>
      </w:pPr>
      <w:r>
        <w:rPr>
          <w:rFonts w:ascii="Garamond" w:eastAsia="Garamond" w:hAnsi="Garamond" w:cs="Garamond"/>
          <w:sz w:val="22"/>
        </w:rPr>
        <w:t xml:space="preserve"> </w:t>
      </w:r>
    </w:p>
    <w:p w:rsidR="002521E4" w:rsidRDefault="003D688F">
      <w:pPr>
        <w:ind w:left="-5" w:right="86"/>
      </w:pPr>
      <w:r>
        <w:t xml:space="preserve">Spoločnosť o tejto položke neúčtovala. </w:t>
      </w:r>
    </w:p>
    <w:p w:rsidR="002521E4" w:rsidRDefault="003D688F">
      <w:pPr>
        <w:spacing w:after="0" w:line="259" w:lineRule="auto"/>
        <w:ind w:left="0" w:firstLine="0"/>
      </w:pPr>
      <w:r>
        <w:rPr>
          <w:b/>
        </w:rPr>
        <w:t xml:space="preserve"> </w:t>
      </w:r>
    </w:p>
    <w:p w:rsidR="002521E4" w:rsidRDefault="003D688F">
      <w:pPr>
        <w:spacing w:after="13" w:line="259" w:lineRule="auto"/>
        <w:ind w:left="0" w:firstLine="0"/>
      </w:pPr>
      <w:r>
        <w:rPr>
          <w:b/>
        </w:rPr>
        <w:t xml:space="preserve"> </w:t>
      </w:r>
    </w:p>
    <w:p w:rsidR="002521E4" w:rsidRDefault="003D688F">
      <w:pPr>
        <w:spacing w:after="0" w:line="259" w:lineRule="auto"/>
        <w:ind w:left="-5"/>
      </w:pPr>
      <w:r>
        <w:rPr>
          <w:b/>
        </w:rPr>
        <w:t xml:space="preserve">D. INFORMÁCIE O PASÍVACH </w:t>
      </w:r>
    </w:p>
    <w:p w:rsidR="002521E4" w:rsidRDefault="003D688F">
      <w:pPr>
        <w:spacing w:after="0" w:line="259" w:lineRule="auto"/>
        <w:ind w:left="0" w:firstLine="0"/>
      </w:pPr>
      <w:r>
        <w:t xml:space="preserve"> </w:t>
      </w:r>
    </w:p>
    <w:p w:rsidR="002521E4" w:rsidRDefault="003D688F">
      <w:pPr>
        <w:spacing w:after="12" w:line="259" w:lineRule="auto"/>
        <w:ind w:left="0" w:firstLine="0"/>
      </w:pPr>
      <w:r>
        <w:t xml:space="preserve"> </w:t>
      </w:r>
    </w:p>
    <w:p w:rsidR="002521E4" w:rsidRDefault="003D688F">
      <w:pPr>
        <w:numPr>
          <w:ilvl w:val="0"/>
          <w:numId w:val="5"/>
        </w:numPr>
        <w:spacing w:after="0" w:line="259" w:lineRule="auto"/>
        <w:ind w:hanging="454"/>
      </w:pPr>
      <w:r>
        <w:rPr>
          <w:b/>
        </w:rPr>
        <w:t xml:space="preserve">Údaje o záväzkoch </w:t>
      </w:r>
    </w:p>
    <w:p w:rsidR="002521E4" w:rsidRDefault="003D688F">
      <w:pPr>
        <w:spacing w:after="18" w:line="259" w:lineRule="auto"/>
        <w:ind w:left="0" w:firstLine="0"/>
      </w:pPr>
      <w:r>
        <w:rPr>
          <w:i/>
          <w:color w:val="FF0000"/>
        </w:rPr>
        <w:t xml:space="preserve"> </w:t>
      </w:r>
    </w:p>
    <w:p w:rsidR="002521E4" w:rsidRDefault="003D688F">
      <w:pPr>
        <w:ind w:left="-5" w:right="86"/>
      </w:pPr>
      <w:r>
        <w:t xml:space="preserve">Spoločnosť neeviduje záväzky so zostatkovou dobou nad 5 rokov. </w:t>
      </w:r>
    </w:p>
    <w:p w:rsidR="002521E4" w:rsidRDefault="003D688F">
      <w:pPr>
        <w:spacing w:after="9" w:line="259" w:lineRule="auto"/>
        <w:ind w:left="0" w:firstLine="0"/>
      </w:pPr>
      <w:r>
        <w:rPr>
          <w:b/>
        </w:rPr>
        <w:t xml:space="preserve"> </w:t>
      </w:r>
    </w:p>
    <w:p w:rsidR="002521E4" w:rsidRDefault="003D688F">
      <w:pPr>
        <w:numPr>
          <w:ilvl w:val="0"/>
          <w:numId w:val="5"/>
        </w:numPr>
        <w:spacing w:after="0" w:line="259" w:lineRule="auto"/>
        <w:ind w:hanging="454"/>
      </w:pPr>
      <w:r>
        <w:rPr>
          <w:b/>
        </w:rPr>
        <w:t xml:space="preserve">Deriváty </w:t>
      </w:r>
    </w:p>
    <w:p w:rsidR="002521E4" w:rsidRDefault="003D688F">
      <w:pPr>
        <w:spacing w:after="6" w:line="259" w:lineRule="auto"/>
        <w:ind w:left="0" w:firstLine="0"/>
      </w:pPr>
      <w:r>
        <w:rPr>
          <w:rFonts w:ascii="Garamond" w:eastAsia="Garamond" w:hAnsi="Garamond" w:cs="Garamond"/>
          <w:sz w:val="22"/>
        </w:rPr>
        <w:t xml:space="preserve"> </w:t>
      </w:r>
    </w:p>
    <w:p w:rsidR="002521E4" w:rsidRDefault="003D688F">
      <w:pPr>
        <w:ind w:left="-5" w:right="86"/>
      </w:pPr>
      <w:r>
        <w:t xml:space="preserve">Spoločnosť o tejto položke neúčtovala. </w:t>
      </w:r>
    </w:p>
    <w:p w:rsidR="002521E4" w:rsidRDefault="003D688F">
      <w:pPr>
        <w:spacing w:after="0" w:line="259" w:lineRule="auto"/>
        <w:ind w:left="0" w:firstLine="0"/>
      </w:pPr>
      <w:r>
        <w:t xml:space="preserve"> </w:t>
      </w:r>
    </w:p>
    <w:p w:rsidR="002521E4" w:rsidRDefault="003D688F">
      <w:pPr>
        <w:spacing w:after="11" w:line="259" w:lineRule="auto"/>
        <w:ind w:left="0" w:firstLine="0"/>
      </w:pPr>
      <w:r>
        <w:rPr>
          <w:b/>
        </w:rPr>
        <w:t xml:space="preserve"> </w:t>
      </w:r>
    </w:p>
    <w:p w:rsidR="002521E4" w:rsidRDefault="003D688F">
      <w:pPr>
        <w:pStyle w:val="Nadpis1"/>
        <w:ind w:left="-5"/>
      </w:pPr>
      <w:r>
        <w:t xml:space="preserve">E. INFORMÁCIE O VÝNOSOCH </w:t>
      </w:r>
    </w:p>
    <w:p w:rsidR="002521E4" w:rsidRDefault="003D688F">
      <w:pPr>
        <w:spacing w:after="17" w:line="259" w:lineRule="auto"/>
        <w:ind w:left="0" w:firstLine="0"/>
      </w:pPr>
      <w:r>
        <w:rPr>
          <w:i/>
          <w:color w:val="FF0000"/>
        </w:rPr>
        <w:t xml:space="preserve"> </w:t>
      </w:r>
    </w:p>
    <w:p w:rsidR="002521E4" w:rsidRDefault="003D688F">
      <w:pPr>
        <w:ind w:left="-5" w:right="86"/>
      </w:pPr>
      <w:r>
        <w:t>Spoločnosť neeviduje v účtovnom období roku 201</w:t>
      </w:r>
      <w:r w:rsidR="001F4338">
        <w:t>8</w:t>
      </w:r>
      <w:r>
        <w:t xml:space="preserve"> žiadne položky výnosov, ktoré by mali výnimočný rozsah alebo výskyt. </w:t>
      </w:r>
    </w:p>
    <w:p w:rsidR="002521E4" w:rsidRDefault="003D688F">
      <w:pPr>
        <w:spacing w:after="0" w:line="259" w:lineRule="auto"/>
        <w:ind w:left="0" w:firstLine="0"/>
      </w:pPr>
      <w:r>
        <w:t xml:space="preserve"> </w:t>
      </w:r>
    </w:p>
    <w:p w:rsidR="002521E4" w:rsidRDefault="003D688F">
      <w:pPr>
        <w:spacing w:after="10" w:line="259" w:lineRule="auto"/>
        <w:ind w:left="0" w:firstLine="0"/>
      </w:pPr>
      <w:r>
        <w:t xml:space="preserve"> </w:t>
      </w:r>
    </w:p>
    <w:p w:rsidR="002521E4" w:rsidRDefault="003D688F">
      <w:pPr>
        <w:pStyle w:val="Nadpis1"/>
        <w:ind w:left="-5"/>
      </w:pPr>
      <w:r>
        <w:t xml:space="preserve">F. ÚDAJE O NÁKLADOCH </w:t>
      </w:r>
    </w:p>
    <w:p w:rsidR="002521E4" w:rsidRDefault="003D688F">
      <w:pPr>
        <w:spacing w:after="0" w:line="259" w:lineRule="auto"/>
        <w:ind w:left="0" w:firstLine="0"/>
      </w:pPr>
      <w:r>
        <w:rPr>
          <w:i/>
          <w:color w:val="FF0000"/>
        </w:rPr>
        <w:t xml:space="preserve"> </w:t>
      </w:r>
    </w:p>
    <w:p w:rsidR="002521E4" w:rsidRDefault="003D688F">
      <w:pPr>
        <w:spacing w:after="13" w:line="259" w:lineRule="auto"/>
        <w:ind w:left="0" w:firstLine="0"/>
      </w:pPr>
      <w:r>
        <w:rPr>
          <w:i/>
          <w:color w:val="FF0000"/>
        </w:rPr>
        <w:t xml:space="preserve"> </w:t>
      </w:r>
    </w:p>
    <w:p w:rsidR="002521E4" w:rsidRDefault="003D688F">
      <w:pPr>
        <w:ind w:left="-5" w:right="86"/>
      </w:pPr>
      <w:r>
        <w:t>Spoločnosť neeviduje v účtovnom období roku 201</w:t>
      </w:r>
      <w:r w:rsidR="0008684F">
        <w:t>8</w:t>
      </w:r>
      <w:r>
        <w:t xml:space="preserve"> žiadne položky nákladov, ktoré by mali výnimočný rozsah alebo výskyt. </w:t>
      </w:r>
    </w:p>
    <w:p w:rsidR="002521E4" w:rsidRDefault="003D688F">
      <w:pPr>
        <w:spacing w:after="0" w:line="259" w:lineRule="auto"/>
        <w:ind w:left="0" w:firstLine="0"/>
      </w:pPr>
      <w:r>
        <w:t xml:space="preserve"> </w:t>
      </w:r>
    </w:p>
    <w:p w:rsidR="002521E4" w:rsidRDefault="003D688F">
      <w:pPr>
        <w:spacing w:after="14" w:line="259" w:lineRule="auto"/>
        <w:ind w:left="0" w:firstLine="0"/>
      </w:pPr>
      <w:r>
        <w:t xml:space="preserve"> </w:t>
      </w:r>
    </w:p>
    <w:p w:rsidR="002521E4" w:rsidRDefault="003D688F">
      <w:pPr>
        <w:spacing w:after="0" w:line="259" w:lineRule="auto"/>
        <w:ind w:left="-5"/>
      </w:pPr>
      <w:r>
        <w:rPr>
          <w:b/>
        </w:rPr>
        <w:t xml:space="preserve">G. INFORMÁCIE O INÝCH AKTÍVACH A PASÍVACH </w:t>
      </w:r>
    </w:p>
    <w:p w:rsidR="002521E4" w:rsidRDefault="003D688F">
      <w:pPr>
        <w:spacing w:after="12" w:line="259" w:lineRule="auto"/>
        <w:ind w:left="0" w:firstLine="0"/>
      </w:pPr>
      <w:r>
        <w:t xml:space="preserve"> </w:t>
      </w:r>
    </w:p>
    <w:p w:rsidR="002521E4" w:rsidRDefault="003D688F">
      <w:pPr>
        <w:tabs>
          <w:tab w:val="center" w:pos="793"/>
          <w:tab w:val="center" w:pos="2163"/>
        </w:tabs>
        <w:spacing w:after="0" w:line="259" w:lineRule="auto"/>
        <w:ind w:left="0" w:firstLine="0"/>
      </w:pPr>
      <w:r>
        <w:rPr>
          <w:rFonts w:ascii="Calibri" w:eastAsia="Calibri" w:hAnsi="Calibri" w:cs="Calibri"/>
          <w:sz w:val="22"/>
        </w:rPr>
        <w:lastRenderedPageBreak/>
        <w:tab/>
      </w:r>
      <w:r>
        <w:rPr>
          <w:b/>
        </w:rPr>
        <w:t xml:space="preserve">1. </w:t>
      </w:r>
      <w:r>
        <w:rPr>
          <w:b/>
        </w:rPr>
        <w:tab/>
        <w:t xml:space="preserve">Podmienený majetok </w:t>
      </w:r>
    </w:p>
    <w:p w:rsidR="002521E4" w:rsidRDefault="003D688F">
      <w:pPr>
        <w:spacing w:after="15" w:line="259" w:lineRule="auto"/>
        <w:ind w:left="0" w:firstLine="0"/>
      </w:pPr>
      <w:r>
        <w:t xml:space="preserve"> </w:t>
      </w:r>
    </w:p>
    <w:p w:rsidR="002521E4" w:rsidRDefault="003D688F">
      <w:pPr>
        <w:ind w:left="-5" w:right="86"/>
      </w:pPr>
      <w:r>
        <w:t xml:space="preserve">Účtovná jednotka nemá podmienený majetok. </w:t>
      </w:r>
    </w:p>
    <w:p w:rsidR="002521E4" w:rsidRDefault="003D688F">
      <w:pPr>
        <w:spacing w:after="12" w:line="259" w:lineRule="auto"/>
        <w:ind w:left="0" w:firstLine="0"/>
      </w:pPr>
      <w:r>
        <w:t xml:space="preserve"> </w:t>
      </w:r>
    </w:p>
    <w:p w:rsidR="002521E4" w:rsidRDefault="003D688F">
      <w:pPr>
        <w:pStyle w:val="Nadpis1"/>
        <w:tabs>
          <w:tab w:val="center" w:pos="793"/>
          <w:tab w:val="center" w:pos="2164"/>
        </w:tabs>
        <w:ind w:left="0" w:firstLine="0"/>
      </w:pPr>
      <w:r>
        <w:rPr>
          <w:rFonts w:ascii="Calibri" w:eastAsia="Calibri" w:hAnsi="Calibri" w:cs="Calibri"/>
          <w:b w:val="0"/>
          <w:sz w:val="22"/>
        </w:rPr>
        <w:tab/>
      </w:r>
      <w:r>
        <w:t xml:space="preserve">2. </w:t>
      </w:r>
      <w:r>
        <w:tab/>
        <w:t xml:space="preserve">Podmienené záväzky  </w:t>
      </w:r>
    </w:p>
    <w:p w:rsidR="002521E4" w:rsidRDefault="003D688F">
      <w:pPr>
        <w:spacing w:after="0" w:line="259" w:lineRule="auto"/>
        <w:ind w:left="0" w:firstLine="0"/>
      </w:pPr>
      <w:r>
        <w:t xml:space="preserve"> </w:t>
      </w:r>
    </w:p>
    <w:p w:rsidR="002521E4" w:rsidRDefault="003D688F">
      <w:pPr>
        <w:ind w:left="-5" w:right="86"/>
      </w:pPr>
      <w:r>
        <w:t xml:space="preserve">Spoločnosť má možné budúce záväzky, ktoré sa nesledujú v bežnom účtovníctve a neuvádzajú sa v </w:t>
      </w:r>
    </w:p>
    <w:p w:rsidR="002521E4" w:rsidRDefault="003D688F">
      <w:pPr>
        <w:tabs>
          <w:tab w:val="center" w:pos="1416"/>
          <w:tab w:val="center" w:pos="2125"/>
          <w:tab w:val="center" w:pos="2833"/>
          <w:tab w:val="center" w:pos="3541"/>
          <w:tab w:val="center" w:pos="4249"/>
          <w:tab w:val="center" w:pos="4957"/>
          <w:tab w:val="center" w:pos="6034"/>
          <w:tab w:val="center" w:pos="7400"/>
        </w:tabs>
        <w:ind w:left="-15" w:firstLine="0"/>
      </w:pPr>
      <w:r>
        <w:t xml:space="preserve">súvahe: </w:t>
      </w:r>
      <w:r>
        <w:tab/>
        <w:t xml:space="preserve"> </w:t>
      </w:r>
      <w:r>
        <w:tab/>
        <w:t xml:space="preserve"> </w:t>
      </w:r>
      <w:r>
        <w:tab/>
        <w:t xml:space="preserve"> </w:t>
      </w:r>
      <w:r>
        <w:tab/>
        <w:t xml:space="preserve"> </w:t>
      </w:r>
      <w:r>
        <w:tab/>
        <w:t xml:space="preserve"> </w:t>
      </w:r>
      <w:r>
        <w:tab/>
        <w:t xml:space="preserve"> </w:t>
      </w:r>
      <w:r>
        <w:tab/>
      </w:r>
      <w:r>
        <w:rPr>
          <w:rFonts w:ascii="Calibri" w:eastAsia="Calibri" w:hAnsi="Calibri" w:cs="Calibri"/>
          <w:noProof/>
          <w:sz w:val="22"/>
        </w:rPr>
        <mc:AlternateContent>
          <mc:Choice Requires="wpg">
            <w:drawing>
              <wp:inline distT="0" distB="0" distL="0" distR="0">
                <wp:extent cx="117348" cy="117348"/>
                <wp:effectExtent l="0" t="0" r="0" b="0"/>
                <wp:docPr id="16774" name="Group 16774"/>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1670" name="Shape 1670"/>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6774" style="width:9.23999pt;height:9.23999pt;mso-position-horizontal-relative:char;mso-position-vertical-relative:line" coordsize="1173,1173">
                <v:shape id="Shape 1670" style="position:absolute;width:1173;height:1173;left:0;top:0;" coordsize="117348,117348" path="m0,117348l117348,117348l117348,0l0,0x">
                  <v:stroke weight="0.72pt" endcap="flat" joinstyle="round" on="true" color="#000000"/>
                  <v:fill on="false" color="#000000" opacity="0"/>
                </v:shape>
              </v:group>
            </w:pict>
          </mc:Fallback>
        </mc:AlternateContent>
      </w:r>
      <w:r>
        <w:t xml:space="preserve"> ÁNO </w:t>
      </w:r>
      <w:r>
        <w:tab/>
      </w:r>
      <w:r>
        <w:rPr>
          <w:rFonts w:ascii="Calibri" w:eastAsia="Calibri" w:hAnsi="Calibri" w:cs="Calibri"/>
          <w:noProof/>
          <w:sz w:val="22"/>
        </w:rPr>
        <mc:AlternateContent>
          <mc:Choice Requires="wpg">
            <w:drawing>
              <wp:inline distT="0" distB="0" distL="0" distR="0">
                <wp:extent cx="120396" cy="120396"/>
                <wp:effectExtent l="0" t="0" r="0" b="0"/>
                <wp:docPr id="16775" name="Group 16775"/>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1674" name="Shape 1674"/>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675" name="Shape 1675"/>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676" name="Shape 1676"/>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6775" style="width:9.47998pt;height:9.47998pt;mso-position-horizontal-relative:char;mso-position-vertical-relative:line" coordsize="1203,1203">
                <v:shape id="Shape 1674" style="position:absolute;width:1173;height:1173;left:15;top:15;" coordsize="117348,117348" path="m0,117348l117348,117348l117348,0l0,0x">
                  <v:stroke weight="0.72pt" endcap="flat" joinstyle="round" on="true" color="#000000"/>
                  <v:fill on="false" color="#000000" opacity="0"/>
                </v:shape>
                <v:shape id="Shape 1675" style="position:absolute;width:1203;height:1203;left:0;top:0;" coordsize="120396,120396" path="m0,0l120396,120396">
                  <v:stroke weight="0.48pt" endcap="flat" joinstyle="round" on="true" color="#000000"/>
                  <v:fill on="false" color="#000000" opacity="0"/>
                </v:shape>
                <v:shape id="Shape 1676" style="position:absolute;width:1203;height:1203;left:0;top:0;" coordsize="120396,120396" path="m120396,0l0,120396">
                  <v:stroke weight="0.48pt" endcap="flat" joinstyle="round" on="true" color="#000000"/>
                  <v:fill on="false" color="#000000" opacity="0"/>
                </v:shape>
              </v:group>
            </w:pict>
          </mc:Fallback>
        </mc:AlternateContent>
      </w:r>
      <w:r>
        <w:t xml:space="preserve"> NIE </w:t>
      </w:r>
    </w:p>
    <w:p w:rsidR="002521E4" w:rsidRDefault="003D688F">
      <w:pPr>
        <w:spacing w:after="0" w:line="259" w:lineRule="auto"/>
        <w:ind w:left="0" w:firstLine="0"/>
      </w:pPr>
      <w:r>
        <w:t xml:space="preserve"> </w:t>
      </w:r>
    </w:p>
    <w:p w:rsidR="002521E4" w:rsidRDefault="003D688F">
      <w:pPr>
        <w:ind w:left="-5" w:right="86"/>
      </w:pPr>
      <w:r>
        <w:t xml:space="preserve">Spoločnosť má existujúce záväzky, ktoré sa nesledujú v bežnom účtovníctve a neuvádzajú sa v súvahe, pretože nie je pravdepodobnosť úbytku peňažných prostriedkov: </w:t>
      </w:r>
      <w:r>
        <w:tab/>
        <w:t xml:space="preserve"> </w:t>
      </w:r>
      <w:r>
        <w:tab/>
        <w:t xml:space="preserve"> </w:t>
      </w:r>
    </w:p>
    <w:p w:rsidR="002521E4" w:rsidRDefault="003D688F">
      <w:pPr>
        <w:tabs>
          <w:tab w:val="center" w:pos="708"/>
          <w:tab w:val="center" w:pos="1416"/>
          <w:tab w:val="center" w:pos="2125"/>
          <w:tab w:val="center" w:pos="2833"/>
          <w:tab w:val="center" w:pos="3541"/>
          <w:tab w:val="center" w:pos="4249"/>
          <w:tab w:val="center" w:pos="6328"/>
        </w:tabs>
        <w:ind w:left="-15" w:firstLine="0"/>
      </w:pPr>
      <w:r>
        <w:t xml:space="preserve"> </w:t>
      </w:r>
      <w:r>
        <w:tab/>
        <w:t xml:space="preserve"> </w:t>
      </w:r>
      <w:r>
        <w:tab/>
        <w:t xml:space="preserve"> </w:t>
      </w:r>
      <w:r>
        <w:tab/>
        <w:t xml:space="preserve"> </w:t>
      </w:r>
      <w:r>
        <w:tab/>
        <w:t xml:space="preserve"> </w:t>
      </w:r>
      <w:r>
        <w:tab/>
        <w:t xml:space="preserve"> </w:t>
      </w:r>
      <w:r>
        <w:tab/>
        <w:t xml:space="preserve"> </w:t>
      </w:r>
      <w:r>
        <w:tab/>
        <w:t xml:space="preserve">  ÁNO  NIE </w:t>
      </w:r>
    </w:p>
    <w:p w:rsidR="002521E4" w:rsidRDefault="003D688F">
      <w:pPr>
        <w:spacing w:after="0" w:line="259" w:lineRule="auto"/>
        <w:ind w:left="0" w:firstLine="0"/>
      </w:pPr>
      <w:r>
        <w:t xml:space="preserve"> </w:t>
      </w:r>
    </w:p>
    <w:p w:rsidR="002521E4" w:rsidRDefault="003D688F">
      <w:pPr>
        <w:ind w:left="-5" w:right="86"/>
      </w:pPr>
      <w:r>
        <w:rPr>
          <w:rFonts w:ascii="Calibri" w:eastAsia="Calibri" w:hAnsi="Calibri" w:cs="Calibri"/>
          <w:noProof/>
          <w:sz w:val="22"/>
        </w:rPr>
        <mc:AlternateContent>
          <mc:Choice Requires="wpg">
            <w:drawing>
              <wp:anchor distT="0" distB="0" distL="114300" distR="114300" simplePos="0" relativeHeight="251660288" behindDoc="1" locked="0" layoutInCell="1" allowOverlap="1">
                <wp:simplePos x="0" y="0"/>
                <wp:positionH relativeFrom="column">
                  <wp:posOffset>3610940</wp:posOffset>
                </wp:positionH>
                <wp:positionV relativeFrom="paragraph">
                  <wp:posOffset>-304454</wp:posOffset>
                </wp:positionV>
                <wp:extent cx="184404" cy="555041"/>
                <wp:effectExtent l="0" t="0" r="0" b="0"/>
                <wp:wrapNone/>
                <wp:docPr id="17667" name="Group 17667"/>
                <wp:cNvGraphicFramePr/>
                <a:graphic xmlns:a="http://schemas.openxmlformats.org/drawingml/2006/main">
                  <a:graphicData uri="http://schemas.microsoft.com/office/word/2010/wordprocessingGroup">
                    <wpg:wgp>
                      <wpg:cNvGrpSpPr/>
                      <wpg:grpSpPr>
                        <a:xfrm>
                          <a:off x="0" y="0"/>
                          <a:ext cx="184404" cy="555041"/>
                          <a:chOff x="0" y="0"/>
                          <a:chExt cx="184404" cy="555041"/>
                        </a:xfrm>
                      </wpg:grpSpPr>
                      <wps:wsp>
                        <wps:cNvPr id="1713" name="Shape 1713"/>
                        <wps:cNvSpPr/>
                        <wps:spPr>
                          <a:xfrm>
                            <a:off x="0" y="0"/>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727" name="Shape 1727"/>
                        <wps:cNvSpPr/>
                        <wps:spPr>
                          <a:xfrm>
                            <a:off x="67056" y="437693"/>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7667" style="width:14.52pt;height:43.704pt;position:absolute;z-index:-2147483611;mso-position-horizontal-relative:text;mso-position-horizontal:absolute;margin-left:284.326pt;mso-position-vertical-relative:text;margin-top:-23.9728pt;" coordsize="1844,5550">
                <v:shape id="Shape 1713" style="position:absolute;width:1173;height:1176;left:0;top:0;" coordsize="117348,117653" path="m0,117653l117348,117653l117348,0l0,0x">
                  <v:stroke weight="0.72pt" endcap="flat" joinstyle="round" on="true" color="#000000"/>
                  <v:fill on="false" color="#000000" opacity="0"/>
                </v:shape>
                <v:shape id="Shape 1727" style="position:absolute;width:1173;height:1173;left:670;top:4376;" coordsize="117348,117348" path="m0,117348l117348,117348l117348,0l0,0x">
                  <v:stroke weight="0.72pt" endcap="flat" joinstyle="round" on="true" color="#000000"/>
                  <v:fill on="false" color="#000000" opacity="0"/>
                </v:shape>
              </v:group>
            </w:pict>
          </mc:Fallback>
        </mc:AlternateContent>
      </w:r>
      <w:r>
        <w:rPr>
          <w:rFonts w:ascii="Calibri" w:eastAsia="Calibri" w:hAnsi="Calibri" w:cs="Calibri"/>
          <w:noProof/>
          <w:sz w:val="22"/>
        </w:rPr>
        <mc:AlternateContent>
          <mc:Choice Requires="wpg">
            <w:drawing>
              <wp:anchor distT="0" distB="0" distL="114300" distR="114300" simplePos="0" relativeHeight="251661312" behindDoc="1" locked="0" layoutInCell="1" allowOverlap="1">
                <wp:simplePos x="0" y="0"/>
                <wp:positionH relativeFrom="column">
                  <wp:posOffset>4508958</wp:posOffset>
                </wp:positionH>
                <wp:positionV relativeFrom="paragraph">
                  <wp:posOffset>-305927</wp:posOffset>
                </wp:positionV>
                <wp:extent cx="120396" cy="558037"/>
                <wp:effectExtent l="0" t="0" r="0" b="0"/>
                <wp:wrapNone/>
                <wp:docPr id="17668" name="Group 17668"/>
                <wp:cNvGraphicFramePr/>
                <a:graphic xmlns:a="http://schemas.openxmlformats.org/drawingml/2006/main">
                  <a:graphicData uri="http://schemas.microsoft.com/office/word/2010/wordprocessingGroup">
                    <wpg:wgp>
                      <wpg:cNvGrpSpPr/>
                      <wpg:grpSpPr>
                        <a:xfrm>
                          <a:off x="0" y="0"/>
                          <a:ext cx="120396" cy="558037"/>
                          <a:chOff x="0" y="0"/>
                          <a:chExt cx="120396" cy="558037"/>
                        </a:xfrm>
                      </wpg:grpSpPr>
                      <wps:wsp>
                        <wps:cNvPr id="1717" name="Shape 1717"/>
                        <wps:cNvSpPr/>
                        <wps:spPr>
                          <a:xfrm>
                            <a:off x="1524" y="1473"/>
                            <a:ext cx="117348" cy="117653"/>
                          </a:xfrm>
                          <a:custGeom>
                            <a:avLst/>
                            <a:gdLst/>
                            <a:ahLst/>
                            <a:cxnLst/>
                            <a:rect l="0" t="0" r="0" b="0"/>
                            <a:pathLst>
                              <a:path w="117348" h="117653">
                                <a:moveTo>
                                  <a:pt x="0" y="117653"/>
                                </a:moveTo>
                                <a:lnTo>
                                  <a:pt x="117348" y="117653"/>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718" name="Shape 1718"/>
                        <wps:cNvSpPr/>
                        <wps:spPr>
                          <a:xfrm>
                            <a:off x="0" y="0"/>
                            <a:ext cx="120396" cy="120650"/>
                          </a:xfrm>
                          <a:custGeom>
                            <a:avLst/>
                            <a:gdLst/>
                            <a:ahLst/>
                            <a:cxnLst/>
                            <a:rect l="0" t="0" r="0" b="0"/>
                            <a:pathLst>
                              <a:path w="120396" h="120650">
                                <a:moveTo>
                                  <a:pt x="0" y="0"/>
                                </a:moveTo>
                                <a:lnTo>
                                  <a:pt x="120396" y="12065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19" name="Shape 1719"/>
                        <wps:cNvSpPr/>
                        <wps:spPr>
                          <a:xfrm>
                            <a:off x="0" y="0"/>
                            <a:ext cx="120396" cy="120650"/>
                          </a:xfrm>
                          <a:custGeom>
                            <a:avLst/>
                            <a:gdLst/>
                            <a:ahLst/>
                            <a:cxnLst/>
                            <a:rect l="0" t="0" r="0" b="0"/>
                            <a:pathLst>
                              <a:path w="120396" h="120650">
                                <a:moveTo>
                                  <a:pt x="120396" y="0"/>
                                </a:moveTo>
                                <a:lnTo>
                                  <a:pt x="0" y="120650"/>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31" name="Shape 1731"/>
                        <wps:cNvSpPr/>
                        <wps:spPr>
                          <a:xfrm>
                            <a:off x="1524" y="439165"/>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732" name="Shape 1732"/>
                        <wps:cNvSpPr/>
                        <wps:spPr>
                          <a:xfrm>
                            <a:off x="0" y="437642"/>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733" name="Shape 1733"/>
                        <wps:cNvSpPr/>
                        <wps:spPr>
                          <a:xfrm>
                            <a:off x="0" y="437642"/>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7668" style="width:9.47998pt;height:43.9399pt;position:absolute;z-index:-2147483606;mso-position-horizontal-relative:text;mso-position-horizontal:absolute;margin-left:355.036pt;mso-position-vertical-relative:text;margin-top:-24.0888pt;" coordsize="1203,5580">
                <v:shape id="Shape 1717" style="position:absolute;width:1173;height:1176;left:15;top:14;" coordsize="117348,117653" path="m0,117653l117348,117653l117348,0l0,0x">
                  <v:stroke weight="0.72pt" endcap="flat" joinstyle="round" on="true" color="#000000"/>
                  <v:fill on="false" color="#000000" opacity="0"/>
                </v:shape>
                <v:shape id="Shape 1718" style="position:absolute;width:1203;height:1206;left:0;top:0;" coordsize="120396,120650" path="m0,0l120396,120650">
                  <v:stroke weight="0.48pt" endcap="flat" joinstyle="round" on="true" color="#000000"/>
                  <v:fill on="false" color="#000000" opacity="0"/>
                </v:shape>
                <v:shape id="Shape 1719" style="position:absolute;width:1203;height:1206;left:0;top:0;" coordsize="120396,120650" path="m120396,0l0,120650">
                  <v:stroke weight="0.48pt" endcap="flat" joinstyle="round" on="true" color="#000000"/>
                  <v:fill on="false" color="#000000" opacity="0"/>
                </v:shape>
                <v:shape id="Shape 1731" style="position:absolute;width:1173;height:1173;left:15;top:4391;" coordsize="117348,117348" path="m0,117348l117348,117348l117348,0l0,0x">
                  <v:stroke weight="0.72pt" endcap="flat" joinstyle="round" on="true" color="#000000"/>
                  <v:fill on="false" color="#000000" opacity="0"/>
                </v:shape>
                <v:shape id="Shape 1732" style="position:absolute;width:1203;height:1203;left:0;top:4376;" coordsize="120396,120396" path="m0,0l120396,120396">
                  <v:stroke weight="0.48pt" endcap="flat" joinstyle="round" on="true" color="#000000"/>
                  <v:fill on="false" color="#000000" opacity="0"/>
                </v:shape>
                <v:shape id="Shape 1733" style="position:absolute;width:1203;height:1203;left:0;top:4376;" coordsize="120396,120396" path="m120396,0l0,120396">
                  <v:stroke weight="0.48pt" endcap="flat" joinstyle="round" on="true" color="#000000"/>
                  <v:fill on="false" color="#000000" opacity="0"/>
                </v:shape>
              </v:group>
            </w:pict>
          </mc:Fallback>
        </mc:AlternateContent>
      </w:r>
      <w:r>
        <w:t xml:space="preserve">Spoločnosť má existujúce záväzky, ktoré sa nesledujú v bežnom účtovníctve a neuvádzajú sa v súvahe, pretože výška tejto povinnosti sa nedá spoľahlivo oceniť: ÁNO  NIE </w:t>
      </w:r>
    </w:p>
    <w:p w:rsidR="002521E4" w:rsidRDefault="003D688F">
      <w:pPr>
        <w:spacing w:after="0" w:line="259" w:lineRule="auto"/>
        <w:ind w:left="0" w:firstLine="0"/>
      </w:pPr>
      <w:r>
        <w:t xml:space="preserve"> </w:t>
      </w:r>
    </w:p>
    <w:p w:rsidR="002521E4" w:rsidRDefault="003D688F">
      <w:pPr>
        <w:spacing w:after="0" w:line="259" w:lineRule="auto"/>
        <w:ind w:left="0" w:firstLine="0"/>
      </w:pPr>
      <w:r>
        <w:t xml:space="preserve"> </w:t>
      </w:r>
    </w:p>
    <w:p w:rsidR="002521E4" w:rsidRDefault="003D688F">
      <w:pPr>
        <w:spacing w:after="10" w:line="259" w:lineRule="auto"/>
        <w:ind w:left="0" w:firstLine="0"/>
      </w:pPr>
      <w:r>
        <w:t xml:space="preserve"> </w:t>
      </w:r>
    </w:p>
    <w:p w:rsidR="002521E4" w:rsidRDefault="003D688F">
      <w:pPr>
        <w:pStyle w:val="Nadpis1"/>
        <w:ind w:left="-5"/>
      </w:pPr>
      <w:r>
        <w:t xml:space="preserve">H. INFORMÁCIE O SKUTOČNOSTIACH, KTORÉ NASTALI PO DNI, KU KTORÉMU SA </w:t>
      </w:r>
    </w:p>
    <w:p w:rsidR="002521E4" w:rsidRDefault="003D688F">
      <w:pPr>
        <w:tabs>
          <w:tab w:val="center" w:pos="4248"/>
          <w:tab w:val="center" w:pos="8498"/>
        </w:tabs>
        <w:spacing w:after="0" w:line="259" w:lineRule="auto"/>
        <w:ind w:left="0" w:firstLine="0"/>
      </w:pPr>
      <w:r>
        <w:rPr>
          <w:rFonts w:ascii="Calibri" w:eastAsia="Calibri" w:hAnsi="Calibri" w:cs="Calibri"/>
          <w:sz w:val="22"/>
        </w:rPr>
        <w:tab/>
      </w:r>
      <w:r>
        <w:rPr>
          <w:b/>
        </w:rPr>
        <w:t xml:space="preserve">ZOSTAVUJE ÚČTOVNÁ ZÁVIERKA DO DŇA ZOSTAVENIA ÚČTOVNEJ  ZÁVIERKY </w:t>
      </w:r>
      <w:r>
        <w:rPr>
          <w:b/>
        </w:rPr>
        <w:tab/>
        <w:t xml:space="preserve"> </w:t>
      </w:r>
    </w:p>
    <w:p w:rsidR="002521E4" w:rsidRDefault="003D688F">
      <w:pPr>
        <w:spacing w:after="12" w:line="259" w:lineRule="auto"/>
        <w:ind w:left="0" w:firstLine="0"/>
      </w:pPr>
      <w:r>
        <w:t xml:space="preserve"> </w:t>
      </w:r>
    </w:p>
    <w:p w:rsidR="002521E4" w:rsidRDefault="003D688F">
      <w:pPr>
        <w:ind w:left="-5" w:right="86"/>
      </w:pPr>
      <w:r>
        <w:t>Po 31. 12. 201</w:t>
      </w:r>
      <w:r w:rsidR="00917C32">
        <w:t>8</w:t>
      </w:r>
      <w:r>
        <w:t xml:space="preserve"> nenastali žiadne udalosti majúce významný vplyv na verné zobrazenie skutočností, ktoré sú predmetom účtovníctva. </w:t>
      </w:r>
    </w:p>
    <w:p w:rsidR="002521E4" w:rsidRDefault="003D688F">
      <w:pPr>
        <w:spacing w:after="0" w:line="259" w:lineRule="auto"/>
        <w:ind w:left="0" w:firstLine="0"/>
      </w:pPr>
      <w:r>
        <w:rPr>
          <w:i/>
          <w:color w:val="FF0000"/>
        </w:rPr>
        <w:t xml:space="preserve"> </w:t>
      </w:r>
    </w:p>
    <w:p w:rsidR="002521E4" w:rsidRDefault="003D688F">
      <w:pPr>
        <w:spacing w:after="0" w:line="259" w:lineRule="auto"/>
        <w:ind w:left="0" w:firstLine="0"/>
      </w:pPr>
      <w:r>
        <w:t xml:space="preserve"> </w:t>
      </w:r>
    </w:p>
    <w:p w:rsidR="002521E4" w:rsidRDefault="003D688F">
      <w:pPr>
        <w:ind w:left="-5" w:right="86"/>
      </w:pPr>
      <w:r>
        <w:t>Všetky príjmy konateľov boli vyplatené v rámci závislej činnosti za bežné obdobie sú zohľadnené v mzdových nákladoc</w:t>
      </w:r>
      <w:r w:rsidR="00B64468">
        <w:t>h.</w:t>
      </w:r>
      <w:r>
        <w:rPr>
          <w:i/>
          <w:color w:val="FF0000"/>
        </w:rPr>
        <w:t xml:space="preserve"> </w:t>
      </w:r>
    </w:p>
    <w:p w:rsidR="002521E4" w:rsidRDefault="003D688F">
      <w:pPr>
        <w:spacing w:after="0" w:line="259" w:lineRule="auto"/>
        <w:ind w:left="0" w:firstLine="0"/>
      </w:pPr>
      <w:r>
        <w:rPr>
          <w:i/>
          <w:color w:val="FF0000"/>
        </w:rPr>
        <w:t xml:space="preserve"> </w:t>
      </w:r>
    </w:p>
    <w:sectPr w:rsidR="002521E4">
      <w:headerReference w:type="even" r:id="rId7"/>
      <w:headerReference w:type="default" r:id="rId8"/>
      <w:footerReference w:type="even" r:id="rId9"/>
      <w:footerReference w:type="default" r:id="rId10"/>
      <w:headerReference w:type="first" r:id="rId11"/>
      <w:footerReference w:type="first" r:id="rId12"/>
      <w:pgSz w:w="11906" w:h="16841"/>
      <w:pgMar w:top="748" w:right="1338" w:bottom="338" w:left="1419" w:header="713"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6C55" w:rsidRDefault="004A6C55">
      <w:pPr>
        <w:spacing w:after="0" w:line="240" w:lineRule="auto"/>
      </w:pPr>
      <w:r>
        <w:separator/>
      </w:r>
    </w:p>
  </w:endnote>
  <w:endnote w:type="continuationSeparator" w:id="0">
    <w:p w:rsidR="004A6C55" w:rsidRDefault="004A6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3D688F">
    <w:pPr>
      <w:spacing w:after="373" w:line="259" w:lineRule="auto"/>
      <w:ind w:left="0" w:firstLine="0"/>
    </w:pPr>
    <w:r>
      <w:t xml:space="preserve"> </w:t>
    </w:r>
  </w:p>
  <w:p w:rsidR="002521E4" w:rsidRDefault="003D688F">
    <w:pPr>
      <w:tabs>
        <w:tab w:val="center" w:pos="4538"/>
      </w:tabs>
      <w:spacing w:after="0" w:line="259" w:lineRule="auto"/>
      <w:ind w:left="0" w:firstLine="0"/>
    </w:pPr>
    <w:r>
      <w:rPr>
        <w:sz w:val="16"/>
      </w:rPr>
      <w:t xml:space="preserve"> </w:t>
    </w:r>
    <w:r>
      <w:rPr>
        <w:sz w:val="16"/>
      </w:rPr>
      <w:tab/>
    </w:r>
    <w:r>
      <w:rPr>
        <w:sz w:val="16"/>
      </w:rPr>
      <w:fldChar w:fldCharType="begin"/>
    </w:r>
    <w:r>
      <w:rPr>
        <w:sz w:val="16"/>
      </w:rPr>
      <w:instrText xml:space="preserve"> PAGE   \* MERGEFORMAT </w:instrText>
    </w:r>
    <w:r>
      <w:rPr>
        <w:sz w:val="16"/>
      </w:rPr>
      <w:fldChar w:fldCharType="separate"/>
    </w:r>
    <w:r>
      <w:rPr>
        <w:sz w:val="16"/>
      </w:rPr>
      <w:t>2</w:t>
    </w:r>
    <w:r>
      <w:rPr>
        <w:sz w:val="16"/>
      </w:rPr>
      <w:fldChar w:fldCharType="end"/>
    </w: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3D688F">
    <w:pPr>
      <w:tabs>
        <w:tab w:val="center" w:pos="4538"/>
      </w:tabs>
      <w:spacing w:after="0" w:line="259" w:lineRule="auto"/>
      <w:ind w:left="0" w:firstLine="0"/>
    </w:pPr>
    <w:r>
      <w:rPr>
        <w:sz w:val="16"/>
      </w:rPr>
      <w:t xml:space="preserve"> </w:t>
    </w:r>
    <w:r>
      <w:rPr>
        <w:sz w:val="16"/>
      </w:rPr>
      <w:tab/>
    </w:r>
    <w:r>
      <w:rPr>
        <w:sz w:val="16"/>
      </w:rPr>
      <w:fldChar w:fldCharType="begin"/>
    </w:r>
    <w:r>
      <w:rPr>
        <w:sz w:val="16"/>
      </w:rPr>
      <w:instrText xml:space="preserve"> PAGE   \* MERGEFORMAT </w:instrText>
    </w:r>
    <w:r>
      <w:rPr>
        <w:sz w:val="16"/>
      </w:rPr>
      <w:fldChar w:fldCharType="separate"/>
    </w:r>
    <w:r>
      <w:rPr>
        <w:sz w:val="16"/>
      </w:rPr>
      <w:t>3</w:t>
    </w:r>
    <w:r>
      <w:rPr>
        <w:sz w:val="16"/>
      </w:rPr>
      <w:fldChar w:fldCharType="end"/>
    </w:r>
    <w:r>
      <w:rPr>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2521E4">
    <w:pPr>
      <w:spacing w:after="160" w:line="259" w:lineRule="auto"/>
      <w:ind w:left="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6C55" w:rsidRDefault="004A6C55">
      <w:pPr>
        <w:spacing w:after="0" w:line="240" w:lineRule="auto"/>
      </w:pPr>
      <w:r>
        <w:separator/>
      </w:r>
    </w:p>
  </w:footnote>
  <w:footnote w:type="continuationSeparator" w:id="0">
    <w:p w:rsidR="004A6C55" w:rsidRDefault="004A6C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3D688F">
    <w:pPr>
      <w:tabs>
        <w:tab w:val="center" w:pos="2833"/>
        <w:tab w:val="center" w:pos="3541"/>
        <w:tab w:val="center" w:pos="4249"/>
        <w:tab w:val="center" w:pos="6474"/>
      </w:tabs>
      <w:spacing w:after="0" w:line="259" w:lineRule="auto"/>
      <w:ind w:left="0" w:firstLine="0"/>
    </w:pPr>
    <w:r>
      <w:t xml:space="preserve">Poznámky </w:t>
    </w:r>
    <w:proofErr w:type="spellStart"/>
    <w:r>
      <w:t>Úč</w:t>
    </w:r>
    <w:proofErr w:type="spellEnd"/>
    <w:r>
      <w:t xml:space="preserve"> POD 3-01 </w:t>
    </w:r>
    <w:r>
      <w:tab/>
      <w:t xml:space="preserve"> </w:t>
    </w:r>
    <w:r>
      <w:tab/>
      <w:t xml:space="preserve"> </w:t>
    </w:r>
    <w:r>
      <w:tab/>
      <w:t xml:space="preserve"> </w:t>
    </w:r>
    <w:r>
      <w:tab/>
      <w:t xml:space="preserve">IČO: 31668950, DIČ: 2020522482 </w:t>
    </w:r>
  </w:p>
  <w:p w:rsidR="002521E4" w:rsidRDefault="003D688F">
    <w:pPr>
      <w:spacing w:after="0" w:line="259" w:lineRule="auto"/>
      <w:ind w:left="0" w:firstLine="0"/>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3D688F">
    <w:pPr>
      <w:tabs>
        <w:tab w:val="center" w:pos="2833"/>
        <w:tab w:val="center" w:pos="3541"/>
        <w:tab w:val="center" w:pos="4249"/>
        <w:tab w:val="center" w:pos="6474"/>
      </w:tabs>
      <w:spacing w:after="0" w:line="259" w:lineRule="auto"/>
      <w:ind w:left="0" w:firstLine="0"/>
    </w:pPr>
    <w:r>
      <w:t xml:space="preserve">Poznámky </w:t>
    </w:r>
    <w:proofErr w:type="spellStart"/>
    <w:r>
      <w:t>Úč</w:t>
    </w:r>
    <w:proofErr w:type="spellEnd"/>
    <w:r>
      <w:t xml:space="preserve"> POD 3-01 </w:t>
    </w:r>
    <w:r>
      <w:tab/>
      <w:t xml:space="preserve"> </w:t>
    </w:r>
    <w:r>
      <w:tab/>
      <w:t xml:space="preserve"> </w:t>
    </w:r>
    <w:r>
      <w:tab/>
      <w:t xml:space="preserve"> </w:t>
    </w:r>
    <w:r>
      <w:tab/>
      <w:t xml:space="preserve">IČO: 31668950, DIČ: 2020522482 </w:t>
    </w:r>
  </w:p>
  <w:p w:rsidR="002521E4" w:rsidRDefault="003D688F">
    <w:pPr>
      <w:spacing w:after="0" w:line="259" w:lineRule="auto"/>
      <w:ind w:left="0" w:firstLine="0"/>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21E4" w:rsidRDefault="003D688F">
    <w:pPr>
      <w:tabs>
        <w:tab w:val="center" w:pos="2833"/>
        <w:tab w:val="center" w:pos="3541"/>
        <w:tab w:val="center" w:pos="4249"/>
        <w:tab w:val="center" w:pos="5634"/>
        <w:tab w:val="center" w:pos="7380"/>
      </w:tabs>
      <w:spacing w:after="0" w:line="259" w:lineRule="auto"/>
      <w:ind w:left="0" w:firstLine="0"/>
    </w:pPr>
    <w:r>
      <w:t xml:space="preserve">Poznámky </w:t>
    </w:r>
    <w:proofErr w:type="spellStart"/>
    <w:r>
      <w:t>Úč</w:t>
    </w:r>
    <w:proofErr w:type="spellEnd"/>
    <w:r>
      <w:t xml:space="preserve"> POD 3-01 </w:t>
    </w:r>
    <w:r>
      <w:tab/>
      <w:t xml:space="preserve"> </w:t>
    </w:r>
    <w:r>
      <w:tab/>
      <w:t xml:space="preserve"> </w:t>
    </w:r>
    <w:r>
      <w:tab/>
      <w:t xml:space="preserve"> </w:t>
    </w:r>
    <w:r>
      <w:tab/>
      <w:t>IČO: 31668950</w:t>
    </w:r>
    <w:r>
      <w:tab/>
      <w:t xml:space="preserve">2020522482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C76CD8"/>
    <w:multiLevelType w:val="hybridMultilevel"/>
    <w:tmpl w:val="EF9A6504"/>
    <w:lvl w:ilvl="0" w:tplc="B4BE653A">
      <w:start w:val="1"/>
      <w:numFmt w:val="bullet"/>
      <w:lvlText w:val="-"/>
      <w:lvlJc w:val="left"/>
      <w:pPr>
        <w:ind w:left="7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1" w:tplc="EDDE1FC6">
      <w:start w:val="1"/>
      <w:numFmt w:val="bullet"/>
      <w:lvlText w:val="o"/>
      <w:lvlJc w:val="left"/>
      <w:pPr>
        <w:ind w:left="144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2" w:tplc="6020132A">
      <w:start w:val="1"/>
      <w:numFmt w:val="bullet"/>
      <w:lvlText w:val="▪"/>
      <w:lvlJc w:val="left"/>
      <w:pPr>
        <w:ind w:left="216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3" w:tplc="9440C360">
      <w:start w:val="1"/>
      <w:numFmt w:val="bullet"/>
      <w:lvlText w:val="•"/>
      <w:lvlJc w:val="left"/>
      <w:pPr>
        <w:ind w:left="28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4" w:tplc="C40A3A30">
      <w:start w:val="1"/>
      <w:numFmt w:val="bullet"/>
      <w:lvlText w:val="o"/>
      <w:lvlJc w:val="left"/>
      <w:pPr>
        <w:ind w:left="360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5" w:tplc="CD6AE240">
      <w:start w:val="1"/>
      <w:numFmt w:val="bullet"/>
      <w:lvlText w:val="▪"/>
      <w:lvlJc w:val="left"/>
      <w:pPr>
        <w:ind w:left="432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6" w:tplc="483EFBD2">
      <w:start w:val="1"/>
      <w:numFmt w:val="bullet"/>
      <w:lvlText w:val="•"/>
      <w:lvlJc w:val="left"/>
      <w:pPr>
        <w:ind w:left="504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7" w:tplc="4C723380">
      <w:start w:val="1"/>
      <w:numFmt w:val="bullet"/>
      <w:lvlText w:val="o"/>
      <w:lvlJc w:val="left"/>
      <w:pPr>
        <w:ind w:left="576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lvl w:ilvl="8" w:tplc="1266193C">
      <w:start w:val="1"/>
      <w:numFmt w:val="bullet"/>
      <w:lvlText w:val="▪"/>
      <w:lvlJc w:val="left"/>
      <w:pPr>
        <w:ind w:left="6480"/>
      </w:pPr>
      <w:rPr>
        <w:rFonts w:ascii="Garamond" w:eastAsia="Garamond" w:hAnsi="Garamond" w:cs="Garamond"/>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1AA26D02"/>
    <w:multiLevelType w:val="hybridMultilevel"/>
    <w:tmpl w:val="6D528342"/>
    <w:lvl w:ilvl="0" w:tplc="1CC075AC">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CFA69FE4">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2346074">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A9721790">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D2EB1F0">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998EE9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87C88748">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3D4A1CC">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A61E7694">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1B5D03F5"/>
    <w:multiLevelType w:val="hybridMultilevel"/>
    <w:tmpl w:val="039A980C"/>
    <w:lvl w:ilvl="0" w:tplc="82F801BC">
      <w:start w:val="1"/>
      <w:numFmt w:val="decimal"/>
      <w:lvlText w:val="%1."/>
      <w:lvlJc w:val="left"/>
      <w:pPr>
        <w:ind w:left="11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054A2B62">
      <w:start w:val="1"/>
      <w:numFmt w:val="lowerLetter"/>
      <w:lvlText w:val="%2"/>
      <w:lvlJc w:val="left"/>
      <w:pPr>
        <w:ind w:left="179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CC3826FC">
      <w:start w:val="1"/>
      <w:numFmt w:val="lowerRoman"/>
      <w:lvlText w:val="%3"/>
      <w:lvlJc w:val="left"/>
      <w:pPr>
        <w:ind w:left="251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FADEA7B0">
      <w:start w:val="1"/>
      <w:numFmt w:val="decimal"/>
      <w:lvlText w:val="%4"/>
      <w:lvlJc w:val="left"/>
      <w:pPr>
        <w:ind w:left="323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92E03FB0">
      <w:start w:val="1"/>
      <w:numFmt w:val="lowerLetter"/>
      <w:lvlText w:val="%5"/>
      <w:lvlJc w:val="left"/>
      <w:pPr>
        <w:ind w:left="395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CC161174">
      <w:start w:val="1"/>
      <w:numFmt w:val="lowerRoman"/>
      <w:lvlText w:val="%6"/>
      <w:lvlJc w:val="left"/>
      <w:pPr>
        <w:ind w:left="467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D3A04020">
      <w:start w:val="1"/>
      <w:numFmt w:val="decimal"/>
      <w:lvlText w:val="%7"/>
      <w:lvlJc w:val="left"/>
      <w:pPr>
        <w:ind w:left="539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8A461BDC">
      <w:start w:val="1"/>
      <w:numFmt w:val="lowerLetter"/>
      <w:lvlText w:val="%8"/>
      <w:lvlJc w:val="left"/>
      <w:pPr>
        <w:ind w:left="611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1EA401E6">
      <w:start w:val="1"/>
      <w:numFmt w:val="lowerRoman"/>
      <w:lvlText w:val="%9"/>
      <w:lvlJc w:val="left"/>
      <w:pPr>
        <w:ind w:left="683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3EB43F9A"/>
    <w:multiLevelType w:val="hybridMultilevel"/>
    <w:tmpl w:val="92CC3D58"/>
    <w:lvl w:ilvl="0" w:tplc="DE90BD30">
      <w:start w:val="1"/>
      <w:numFmt w:val="lowerLetter"/>
      <w:lvlText w:val="%1)"/>
      <w:lvlJc w:val="left"/>
      <w:pPr>
        <w:ind w:left="2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1146F48">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77F434C8">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33AD318">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EABE0E5C">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3D6239E6">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91AE4EAE">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E0AE81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2709FF2">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4E0139BD"/>
    <w:multiLevelType w:val="hybridMultilevel"/>
    <w:tmpl w:val="8334DD32"/>
    <w:lvl w:ilvl="0" w:tplc="711CB992">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6FEB58A">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6507A54">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AE4777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CE088C4">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3408832C">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BD462AE">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D90684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E0000F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5" w15:restartNumberingAfterBreak="0">
    <w:nsid w:val="4FFA02A3"/>
    <w:multiLevelType w:val="hybridMultilevel"/>
    <w:tmpl w:val="9432DDB6"/>
    <w:lvl w:ilvl="0" w:tplc="5200389C">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DF26F6C">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1124128A">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54A805C">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E7496EA">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BFE8FEA">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BAED870">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D6E316A">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024AE7C">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4"/>
  </w:num>
  <w:num w:numId="3">
    <w:abstractNumId w:val="3"/>
  </w:num>
  <w:num w:numId="4">
    <w:abstractNumId w:val="5"/>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1E4"/>
    <w:rsid w:val="000360AB"/>
    <w:rsid w:val="0008684F"/>
    <w:rsid w:val="000B45FC"/>
    <w:rsid w:val="00197E51"/>
    <w:rsid w:val="001F4338"/>
    <w:rsid w:val="002521E4"/>
    <w:rsid w:val="003D688F"/>
    <w:rsid w:val="0044341F"/>
    <w:rsid w:val="004A6C55"/>
    <w:rsid w:val="00765334"/>
    <w:rsid w:val="00907F78"/>
    <w:rsid w:val="00917C32"/>
    <w:rsid w:val="009A7DEC"/>
    <w:rsid w:val="00B64468"/>
    <w:rsid w:val="00CC5882"/>
    <w:rsid w:val="00DD7A3B"/>
    <w:rsid w:val="00E153E3"/>
    <w:rsid w:val="00F315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3002D6"/>
  <w15:docId w15:val="{1E9A3B32-881D-44BB-9DBF-09A95ADF4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5" w:line="267" w:lineRule="auto"/>
      <w:ind w:left="3992" w:hanging="10"/>
    </w:pPr>
    <w:rPr>
      <w:rFonts w:ascii="Arial" w:eastAsia="Arial" w:hAnsi="Arial" w:cs="Arial"/>
      <w:color w:val="000000"/>
      <w:sz w:val="20"/>
    </w:rPr>
  </w:style>
  <w:style w:type="paragraph" w:styleId="Nadpis1">
    <w:name w:val="heading 1"/>
    <w:next w:val="Normlny"/>
    <w:link w:val="Nadpis1Char"/>
    <w:uiPriority w:val="9"/>
    <w:qFormat/>
    <w:pPr>
      <w:keepNext/>
      <w:keepLines/>
      <w:spacing w:after="0"/>
      <w:ind w:left="10" w:hanging="10"/>
      <w:outlineLvl w:val="0"/>
    </w:pPr>
    <w:rPr>
      <w:rFonts w:ascii="Arial" w:eastAsia="Arial" w:hAnsi="Arial" w:cs="Arial"/>
      <w:b/>
      <w:color w:val="000000"/>
      <w:sz w:val="20"/>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000000"/>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w:eastAsia="Arial" w:hAnsi="Arial" w:cs="Arial"/>
      <w:b/>
      <w:color w:val="000000"/>
      <w:sz w:val="20"/>
    </w:rPr>
  </w:style>
  <w:style w:type="character" w:customStyle="1" w:styleId="Nadpis2Char">
    <w:name w:val="Nadpis 2 Char"/>
    <w:link w:val="Nadpis2"/>
    <w:rPr>
      <w:rFonts w:ascii="Arial" w:eastAsia="Arial" w:hAnsi="Arial" w:cs="Arial"/>
      <w:b/>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10</Pages>
  <Words>3143</Words>
  <Characters>17916</Characters>
  <Application>Microsoft Office Word</Application>
  <DocSecurity>0</DocSecurity>
  <Lines>149</Lines>
  <Paragraphs>42</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
  <LinksUpToDate>false</LinksUpToDate>
  <CharactersWithSpaces>21017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Anna Badidova</cp:lastModifiedBy>
  <cp:revision>13</cp:revision>
  <dcterms:created xsi:type="dcterms:W3CDTF">2019-02-20T11:25:00Z</dcterms:created>
  <dcterms:modified xsi:type="dcterms:W3CDTF">2019-03-18T13:13:00Z</dcterms:modified>
</cp:coreProperties>
</file>