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9000" w:leader="none"/>
        </w:tabs>
        <w:suppressAutoHyphens w:val="true"/>
        <w:jc w:val="center"/>
        <w:rPr>
          <w:rFonts w:ascii="Arial" w:hAnsi="Arial" w:cs="Arial"/>
          <w:b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  <w:t>Poznámky k účtovnej závierke</w:t>
      </w:r>
    </w:p>
    <w:p>
      <w:pPr>
        <w:pStyle w:val="Normal"/>
        <w:tabs>
          <w:tab w:val="left" w:pos="9000" w:leader="none"/>
        </w:tabs>
        <w:suppressAutoHyphens w:val="true"/>
        <w:jc w:val="center"/>
        <w:rPr>
          <w:rFonts w:ascii="Arial" w:hAnsi="Arial" w:cs="Arial"/>
        </w:rPr>
      </w:pPr>
      <w:r>
        <w:rPr>
          <w:rFonts w:cs="Arial" w:ascii="Arial" w:hAnsi="Arial"/>
          <w:b/>
          <w:sz w:val="28"/>
          <w:szCs w:val="28"/>
        </w:rPr>
        <w:t>zostavenej k  </w:t>
      </w:r>
      <w:bookmarkStart w:id="0" w:name="EntityDateEnd"/>
      <w:r>
        <w:rPr>
          <w:rFonts w:cs="Arial" w:ascii="Arial" w:hAnsi="Arial"/>
          <w:b/>
          <w:sz w:val="28"/>
          <w:szCs w:val="28"/>
        </w:rPr>
        <w:t>31. decembru 201</w:t>
      </w:r>
      <w:bookmarkEnd w:id="0"/>
      <w:r>
        <w:rPr>
          <w:rFonts w:cs="Arial" w:ascii="Arial" w:hAnsi="Arial"/>
          <w:b/>
          <w:sz w:val="28"/>
          <w:szCs w:val="28"/>
        </w:rPr>
        <w:t>8</w:t>
      </w:r>
      <w:r>
        <w:rPr>
          <w:rFonts w:cs="Arial" w:ascii="Arial" w:hAnsi="Arial"/>
          <w:b/>
          <w:sz w:val="20"/>
          <w:szCs w:val="20"/>
        </w:rPr>
        <w:t xml:space="preserve"> 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VŠEOBECNÉ INFORMÁCIE</w:t>
      </w:r>
    </w:p>
    <w:p>
      <w:pPr>
        <w:pStyle w:val="Nadpis2"/>
        <w:numPr>
          <w:ilvl w:val="1"/>
          <w:numId w:val="9"/>
        </w:numPr>
        <w:rPr/>
      </w:pPr>
      <w:r>
        <w:rPr/>
        <w:t>Názov a sídlo</w:t>
      </w:r>
    </w:p>
    <w:p>
      <w:pPr>
        <w:pStyle w:val="Odstavec"/>
        <w:ind w:left="0" w:firstLine="425"/>
        <w:jc w:val="left"/>
        <w:rPr/>
      </w:pPr>
      <w:r>
        <w:rPr/>
        <w:t>Ambulancia MUDr. Eleny Szigetiovej s. r. o.</w:t>
      </w:r>
    </w:p>
    <w:p>
      <w:pPr>
        <w:pStyle w:val="Odstavec"/>
        <w:ind w:left="0" w:firstLine="425"/>
        <w:jc w:val="left"/>
        <w:rPr/>
      </w:pPr>
      <w:r>
        <w:rPr/>
        <w:t xml:space="preserve">Drotárska cesta 45        </w:t>
      </w:r>
    </w:p>
    <w:p>
      <w:pPr>
        <w:pStyle w:val="Odstavec"/>
        <w:ind w:left="0" w:firstLine="425"/>
        <w:jc w:val="left"/>
        <w:rPr/>
      </w:pPr>
      <w:r>
        <w:rPr/>
        <w:t xml:space="preserve">811 02  Bratislava </w:t>
      </w:r>
    </w:p>
    <w:p>
      <w:pPr>
        <w:pStyle w:val="Odstavec"/>
        <w:rPr/>
      </w:pPr>
      <w:r>
        <w:rPr/>
      </w:r>
    </w:p>
    <w:p>
      <w:pPr>
        <w:pStyle w:val="Body"/>
        <w:rPr/>
      </w:pPr>
      <w:r>
        <w:rPr/>
        <w:t>Spoločnosť Ambulancia MUDr. Eleny Szigetiovej s.r.o. (ďalej len „Spoločnosť“) bola do Obchodného registra bola zapísaná </w:t>
      </w:r>
      <w:bookmarkStart w:id="1" w:name="EntryDate"/>
      <w:r>
        <w:rPr/>
        <w:t>1</w:t>
      </w:r>
      <w:bookmarkEnd w:id="1"/>
      <w:r>
        <w:rPr/>
        <w:t xml:space="preserve">. januára 2014 (Obchodný register Okresného súdu </w:t>
      </w:r>
      <w:bookmarkStart w:id="2" w:name="DistrictCourt"/>
      <w:r>
        <w:rPr/>
        <w:t>Bratislava I</w:t>
      </w:r>
      <w:bookmarkEnd w:id="2"/>
      <w:r>
        <w:rPr>
          <w:color w:val="FFFFFF" w:themeColor="background1"/>
        </w:rPr>
        <w:t>.</w:t>
      </w:r>
      <w:r>
        <w:rPr/>
        <w:t>v Bratislave, oddiel</w:t>
      </w:r>
      <w:r>
        <w:rPr>
          <w:color w:val="FFFFFF" w:themeColor="background1"/>
        </w:rPr>
        <w:t>.</w:t>
      </w:r>
      <w:bookmarkStart w:id="3" w:name="Section"/>
      <w:r>
        <w:rPr/>
        <w:t>Sro</w:t>
      </w:r>
      <w:bookmarkEnd w:id="3"/>
      <w:r>
        <w:rPr/>
        <w:t>, vložka č.</w:t>
      </w:r>
      <w:bookmarkStart w:id="4" w:name="FileNum"/>
      <w:bookmarkEnd w:id="4"/>
      <w:r>
        <w:rPr/>
        <w:t xml:space="preserve"> 95574/B).</w:t>
      </w:r>
    </w:p>
    <w:p>
      <w:pPr>
        <w:pStyle w:val="Odstavec"/>
        <w:rPr/>
      </w:pPr>
      <w:r>
        <w:rPr/>
      </w:r>
    </w:p>
    <w:p>
      <w:pPr>
        <w:pStyle w:val="Body"/>
        <w:rPr>
          <w:b/>
          <w:b/>
          <w:i/>
          <w:i/>
        </w:rPr>
      </w:pPr>
      <w:r>
        <w:rPr>
          <w:b/>
          <w:i/>
        </w:rPr>
        <w:t>Opis vykonávanej činnosti Spoločnosti</w:t>
      </w:r>
    </w:p>
    <w:p>
      <w:pPr>
        <w:pStyle w:val="Odstavec"/>
        <w:ind w:left="786" w:hanging="0"/>
        <w:rPr/>
      </w:pPr>
      <w:r>
        <w:rPr/>
        <w:tab/>
      </w:r>
    </w:p>
    <w:p>
      <w:pPr>
        <w:pStyle w:val="Odstavec"/>
        <w:numPr>
          <w:ilvl w:val="0"/>
          <w:numId w:val="12"/>
        </w:numPr>
        <w:rPr/>
      </w:pPr>
      <w:r>
        <w:rPr/>
        <w:t>prevádzkovanie zdravotníckeho zariadenia - ambulancie v špecializačnom odbore všeobecné lekárstvo</w:t>
      </w:r>
    </w:p>
    <w:p>
      <w:pPr>
        <w:pStyle w:val="Odstavec"/>
        <w:numPr>
          <w:ilvl w:val="0"/>
          <w:numId w:val="12"/>
        </w:numPr>
        <w:rPr/>
      </w:pPr>
      <w:r>
        <w:rPr/>
        <w:t>kúpa tovaru na účely jeho predaja konečnému spotrebiteľovi (maloobchod) alebo iným prevádzkovateľom živností (veľkoobchod)</w:t>
      </w:r>
    </w:p>
    <w:p>
      <w:pPr>
        <w:pStyle w:val="Odstavec"/>
        <w:ind w:left="786" w:hanging="0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Neobmedzené ručenie</w:t>
      </w:r>
    </w:p>
    <w:p>
      <w:pPr>
        <w:pStyle w:val="Body"/>
        <w:rPr/>
      </w:pPr>
      <w:r>
        <w:rPr/>
        <w:t xml:space="preserve">Spoločnosť nie je neobmedzene ručiacim spoločníkom v iných účtovných jednotkách. </w:t>
      </w:r>
    </w:p>
    <w:p>
      <w:pPr>
        <w:pStyle w:val="Body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Dátum schválenia účtovnej závierky za predchádzajúce účtovné obdobie</w:t>
      </w:r>
    </w:p>
    <w:p>
      <w:pPr>
        <w:pStyle w:val="Body"/>
        <w:rPr/>
      </w:pPr>
      <w:r>
        <w:rPr/>
        <w:t>Rozhodnutím jediného spoločníka došlo dňa 27. decembra 2018 k schváleniu účtovnej závierky Spoločnosti za predchádzajúce účtovné obdobie.</w:t>
      </w:r>
    </w:p>
    <w:p>
      <w:pPr>
        <w:pStyle w:val="Body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Právny dôvod na zostavenie účtovnej závierky</w:t>
      </w:r>
    </w:p>
    <w:p>
      <w:pPr>
        <w:pStyle w:val="Odstavec"/>
        <w:rPr/>
      </w:pPr>
      <w:r>
        <w:rPr/>
        <w:t xml:space="preserve">Účtovná závierka Spoločnosti k </w:t>
      </w:r>
      <w:bookmarkStart w:id="5" w:name="EntityDateEnd1"/>
      <w:r>
        <w:rPr/>
        <w:t>31. decembru 201</w:t>
      </w:r>
      <w:bookmarkEnd w:id="5"/>
      <w:r>
        <w:rPr/>
        <w:t>8 je zostavená ako riadna účtovná závierka podľa § 17 ods. 6 zákona NR SR č. 431/2002 Z.z. o účtovníctve v znení neskorších predpisov (ďalej len „zákon o účtovníctve“) za účtovné obdobie od 1. januára</w:t>
      </w:r>
      <w:bookmarkStart w:id="6" w:name="EntityDateStart"/>
      <w:r>
        <w:rPr/>
        <w:t xml:space="preserve"> 201</w:t>
      </w:r>
      <w:bookmarkEnd w:id="6"/>
      <w:r>
        <w:rPr/>
        <w:t xml:space="preserve">8 do </w:t>
      </w:r>
      <w:bookmarkStart w:id="7" w:name="EntityDateEnd2"/>
      <w:r>
        <w:rPr/>
        <w:t>31. decembra 201</w:t>
      </w:r>
      <w:bookmarkEnd w:id="7"/>
      <w:r>
        <w:rPr/>
        <w:t>8.</w:t>
      </w:r>
    </w:p>
    <w:p>
      <w:pPr>
        <w:pStyle w:val="Odstavec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Údaje o skupine</w:t>
      </w:r>
    </w:p>
    <w:p>
      <w:pPr>
        <w:pStyle w:val="Body"/>
        <w:rPr/>
      </w:pPr>
      <w:r>
        <w:rPr/>
        <w:t>Spoločnosť Ambulancia MUDr. Eleny Szigetiovej s.r.o.</w:t>
      </w:r>
      <w:bookmarkStart w:id="8" w:name="_GoBack"/>
      <w:bookmarkEnd w:id="8"/>
      <w:r>
        <w:rPr/>
        <w:t xml:space="preserve"> je dcérskou spoločnosťou spoločnosti ProCare a.s., so sídlom v Bratislave, Einsteinova 23 – 25, ktorá má 100-percentný podiel na jej základnom imaní. V roku 2018 nadobudla spoločnosť Svet zdravia, a.s. 100 %-ný podiel na základnom imaní spoločnosti ProCare, a.s. Spoločnosť Svet zdravia a.s., zostavuje konsolidovanú účtovnú závierku za všetky skupiny podnikov konsolidovaného celku. Konsolidovaná účtovná závierka spoločnosti Svet zdravia, a.s. je sprístupnená v sídle tejto spoločnosti.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2"/>
        <w:numPr>
          <w:ilvl w:val="1"/>
          <w:numId w:val="9"/>
        </w:numPr>
        <w:rPr/>
      </w:pPr>
      <w:r>
        <w:rPr/>
        <w:t>Počet zamestnancov</w:t>
      </w:r>
    </w:p>
    <w:tbl>
      <w:tblPr>
        <w:tblW w:w="9296" w:type="dxa"/>
        <w:jc w:val="left"/>
        <w:tblInd w:w="482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45"/>
        <w:gridCol w:w="1240"/>
        <w:gridCol w:w="1111"/>
      </w:tblGrid>
      <w:tr>
        <w:trPr>
          <w:trHeight w:val="480" w:hRule="atLeast"/>
        </w:trPr>
        <w:tc>
          <w:tcPr>
            <w:tcW w:w="6945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</w:rPr>
              <w:t xml:space="preserve"> </w:t>
            </w:r>
            <w:bookmarkStart w:id="9" w:name="RANGE!B3:D6"/>
            <w:bookmarkEnd w:id="9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4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11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31.12.2017</w:t>
            </w:r>
          </w:p>
        </w:tc>
      </w:tr>
      <w:tr>
        <w:trPr>
          <w:trHeight w:val="289" w:hRule="atLeast"/>
        </w:trPr>
        <w:tc>
          <w:tcPr>
            <w:tcW w:w="694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24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</w:t>
            </w:r>
          </w:p>
        </w:tc>
        <w:tc>
          <w:tcPr>
            <w:tcW w:w="111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189" w:hRule="atLeast"/>
        </w:trPr>
        <w:tc>
          <w:tcPr>
            <w:tcW w:w="694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24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</w:t>
            </w:r>
          </w:p>
        </w:tc>
        <w:tc>
          <w:tcPr>
            <w:tcW w:w="111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94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počet vedúcich zamestnancov</w:t>
            </w:r>
          </w:p>
        </w:tc>
        <w:tc>
          <w:tcPr>
            <w:tcW w:w="124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</w:tbl>
    <w:p>
      <w:pPr>
        <w:pStyle w:val="Normal"/>
        <w:jc w:val="right"/>
        <w:rPr>
          <w:rFonts w:ascii="Arial" w:hAnsi="Arial" w:cs="Arial"/>
          <w:sz w:val="18"/>
          <w:szCs w:val="18"/>
        </w:rPr>
      </w:pPr>
      <w:bookmarkStart w:id="10" w:name="FWT_T1"/>
      <w:bookmarkStart w:id="11" w:name="FWT_T1"/>
      <w:bookmarkEnd w:id="11"/>
      <w:r>
        <w:rPr>
          <w:rFonts w:cs="Arial" w:ascii="Arial" w:hAnsi="Arial"/>
          <w:sz w:val="18"/>
          <w:szCs w:val="18"/>
        </w:rPr>
      </w:r>
    </w:p>
    <w:p>
      <w:pPr>
        <w:pStyle w:val="Body"/>
        <w:rPr/>
      </w:pPr>
      <w:r>
        <w:rPr/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  <w:r>
        <w:br w:type="page"/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INFORMÁCIE O PRIJATÝCH POSTUPOCH</w:t>
      </w:r>
    </w:p>
    <w:p>
      <w:pPr>
        <w:pStyle w:val="Abc"/>
        <w:jc w:val="both"/>
        <w:rPr/>
      </w:pPr>
      <w:r>
        <w:rPr/>
        <w:tab/>
        <w:t>Východiská pre zostavenie účtovnej závierky</w:t>
      </w:r>
    </w:p>
    <w:p>
      <w:pPr>
        <w:pStyle w:val="Odstavec"/>
        <w:rPr/>
      </w:pPr>
      <w:r>
        <w:rPr/>
        <w:t>Účtovná závierka Spoločnosti bola zostavená za predpokladu nepretržitého trvania jej činnosti v súlade so zákonom o účtovníctve platným v Slovenskej republike a nadväzujúcimi postupmi účtovania.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Peňažné údaje v účtovnej závierke sú uvedené v celých EUR, pokiaľ nie je určené inak.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>
      <w:pPr>
        <w:pStyle w:val="Odstavec"/>
        <w:rPr>
          <w:highlight w:val="red"/>
        </w:rPr>
      </w:pPr>
      <w:r>
        <w:rPr>
          <w:highlight w:val="red"/>
        </w:rPr>
      </w:r>
    </w:p>
    <w:p>
      <w:pPr>
        <w:pStyle w:val="Abc"/>
        <w:numPr>
          <w:ilvl w:val="0"/>
          <w:numId w:val="2"/>
        </w:numPr>
        <w:rPr/>
      </w:pPr>
      <w:r>
        <w:rPr/>
        <w:t>Pohľadávky</w:t>
      </w:r>
    </w:p>
    <w:p>
      <w:pPr>
        <w:pStyle w:val="Odstavec"/>
        <w:rPr/>
      </w:pPr>
      <w:r>
        <w:rPr/>
        <w:t>Pohľadávky sa pri ich vzniku oceňujú ich menovitou hodnotou. Opravná položka sa vytvára k pochybným a nedobytným pohľadávkam, kde existuje riziko nevymožiteľnosti pohľadávok.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2"/>
        </w:numPr>
        <w:rPr/>
      </w:pPr>
      <w:r>
        <w:rPr/>
        <w:t>Finančné účty</w:t>
      </w:r>
    </w:p>
    <w:p>
      <w:pPr>
        <w:pStyle w:val="Odstavec"/>
        <w:rPr/>
      </w:pPr>
      <w:r>
        <w:rPr/>
        <w:t>Finančné účty tvoria zostatky na bankových účtoch, pričom riziko zmeny hodnoty tohto majetku je zanedbateľne nízke.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2"/>
        </w:numPr>
        <w:rPr/>
      </w:pPr>
      <w:r>
        <w:rPr/>
        <w:t>Náklady budúcich období a príjmy budúcich období</w:t>
      </w:r>
    </w:p>
    <w:p>
      <w:pPr>
        <w:pStyle w:val="Odstavec"/>
        <w:rPr/>
      </w:pPr>
      <w:r>
        <w:rPr/>
        <w:t>Náklady budúcich období a príjmy budúcich období sú vykázané vo výške, ktorá je potrebná na dodržanie zásady vecnej a časovej súvislosti s účtovným obdobím.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2"/>
        </w:numPr>
        <w:rPr/>
      </w:pPr>
      <w:r>
        <w:rPr/>
        <w:t>Záväzky</w:t>
      </w:r>
    </w:p>
    <w:p>
      <w:pPr>
        <w:pStyle w:val="Odstavec"/>
        <w:rPr/>
      </w:pPr>
      <w:r>
        <w:rPr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pStyle w:val="Normal"/>
        <w:rPr>
          <w:rFonts w:ascii="Arial" w:hAnsi="Arial" w:cs="Arial"/>
          <w:b/>
          <w:b/>
          <w:sz w:val="20"/>
          <w:szCs w:val="20"/>
        </w:rPr>
      </w:pPr>
      <w:r>
        <w:rPr>
          <w:rFonts w:cs="Arial" w:ascii="Arial" w:hAnsi="Arial"/>
          <w:b/>
          <w:sz w:val="20"/>
          <w:szCs w:val="20"/>
        </w:rPr>
      </w:r>
    </w:p>
    <w:p>
      <w:pPr>
        <w:pStyle w:val="Abc"/>
        <w:numPr>
          <w:ilvl w:val="0"/>
          <w:numId w:val="2"/>
        </w:numPr>
        <w:rPr/>
      </w:pPr>
      <w:r>
        <w:rPr/>
        <w:t>Splatná daň z príjmu</w:t>
      </w:r>
    </w:p>
    <w:p>
      <w:pPr>
        <w:pStyle w:val="Odstavec"/>
        <w:rPr/>
      </w:pPr>
      <w:r>
        <w:rPr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Od 1. januára 2014 bola zavedená daňová licencia ako minimálna výška dane z príjmov právnickej osoby po odpočítaní úľav na dani a po zápočte dane zaplatenej v zahraničí.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Daňová licencia bola s účinnosťou od 1. januára 2018 zrušená.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Ak daňovník zaplatil za zdaňovacie obdobie končiace v rokoch 2015 až 2017 daňovú licenciu má nárok na jej zápočet. Kladný rozdiel medzi daňovou licenciou a daňou vypočítanou v daňovom priznaní v rokoch 2015 až 2017 započíta s daňovou povinnosťou, ktorá prevyšuje sumu daňovej licencie, pred uplatnením preddavkov na daň, najviac v troch bezprostredne po sebe nasledujúcich zdaňovacích obdobiach, nasledujúcich po zdaňovacom období, za ktoré bola daňová licencia zaplatená.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2"/>
        </w:numPr>
        <w:rPr/>
      </w:pPr>
      <w:r>
        <w:rPr/>
        <w:t>Výdavky budúcich období a výnosy budúcich období</w:t>
      </w:r>
    </w:p>
    <w:p>
      <w:pPr>
        <w:pStyle w:val="Odstavec"/>
        <w:rPr/>
      </w:pPr>
      <w:r>
        <w:rPr/>
        <w:t>Výdavky budúcich období a výnosy budúcich období sú vykázané vo výške, ktorá je potrebná na dodržanie zásady vecnej a časovej súvislosti s účtovným obdobím.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2"/>
        </w:numPr>
        <w:rPr/>
      </w:pPr>
      <w:r>
        <w:rPr/>
        <w:t>Vykazovanie výnosov</w:t>
      </w:r>
    </w:p>
    <w:p>
      <w:pPr>
        <w:pStyle w:val="Odstavec"/>
        <w:rPr/>
      </w:pPr>
      <w:r>
        <w:rPr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>
      <w:pPr>
        <w:pStyle w:val="Odstavec"/>
        <w:rPr/>
      </w:pPr>
      <w:r>
        <w:rPr/>
      </w:r>
    </w:p>
    <w:p>
      <w:pPr>
        <w:sectPr>
          <w:headerReference w:type="default" r:id="rId2"/>
          <w:type w:val="nextPage"/>
          <w:pgSz w:w="11906" w:h="16838"/>
          <w:pgMar w:left="1134" w:right="1134" w:header="709" w:top="1134" w:footer="0" w:bottom="1134" w:gutter="0"/>
          <w:pgNumType w:fmt="decimal"/>
          <w:formProt w:val="false"/>
          <w:textDirection w:val="lrTb"/>
          <w:docGrid w:type="default" w:linePitch="360" w:charSpace="4294961151"/>
        </w:sectPr>
        <w:pStyle w:val="Odstavec"/>
        <w:rPr/>
      </w:pPr>
      <w:r>
        <w:rPr/>
        <w:t>Výnosy Spoločnosti tvoria najmä výnosy z poskytovania zdravotnej starostlivosti.</w:t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INFORMÁCIE, KTORÉ DOPLŇUJÚ A VYSVETĽUJÚ POLOŽKY SÚVAHY</w:t>
      </w:r>
    </w:p>
    <w:p>
      <w:pPr>
        <w:pStyle w:val="Nadpis1"/>
        <w:numPr>
          <w:ilvl w:val="0"/>
          <w:numId w:val="0"/>
        </w:numPr>
        <w:ind w:left="426" w:hanging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AKTÍVA</w:t>
      </w:r>
    </w:p>
    <w:p>
      <w:pPr>
        <w:pStyle w:val="Nadpis2"/>
        <w:numPr>
          <w:ilvl w:val="1"/>
          <w:numId w:val="7"/>
        </w:numPr>
        <w:rPr/>
      </w:pPr>
      <w:r>
        <w:rPr/>
        <w:t>Pohľadávky</w:t>
      </w:r>
    </w:p>
    <w:p>
      <w:pPr>
        <w:pStyle w:val="Odstavec"/>
        <w:rPr/>
      </w:pPr>
      <w:r>
        <w:rPr/>
        <w:t>Veková štruktúra krátkodobých pohľadávok Spoločnosti k 31. decembru 2018 je uvedená v nasledujúcej tabuľke:</w:t>
      </w:r>
    </w:p>
    <w:p>
      <w:pPr>
        <w:pStyle w:val="Odstavec"/>
        <w:ind w:left="0" w:hanging="0"/>
        <w:rPr/>
      </w:pPr>
      <w:r>
        <w:rPr/>
      </w:r>
    </w:p>
    <w:tbl>
      <w:tblPr>
        <w:tblW w:w="9240" w:type="dxa"/>
        <w:jc w:val="left"/>
        <w:tblInd w:w="472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38"/>
        <w:gridCol w:w="1300"/>
        <w:gridCol w:w="1301"/>
        <w:gridCol w:w="1300"/>
      </w:tblGrid>
      <w:tr>
        <w:trPr>
          <w:trHeight w:val="480" w:hRule="atLeast"/>
        </w:trPr>
        <w:tc>
          <w:tcPr>
            <w:tcW w:w="533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Pohľadávky spolu</w:t>
            </w:r>
          </w:p>
        </w:tc>
      </w:tr>
      <w:tr>
        <w:trPr>
          <w:trHeight w:val="255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7 716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7 716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43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533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533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7 183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7 183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6 272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6 272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6 272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6 272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533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13 988</w:t>
            </w:r>
          </w:p>
        </w:tc>
        <w:tc>
          <w:tcPr>
            <w:tcW w:w="13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13 988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Odstavec"/>
        <w:rPr/>
      </w:pPr>
      <w:r>
        <w:rPr/>
        <w:t>Informácie za predchádzajúce účtovné obdobie sú uvedené v nasledujúcej tabuľke:</w:t>
      </w:r>
    </w:p>
    <w:p>
      <w:pPr>
        <w:pStyle w:val="Odstavec"/>
        <w:ind w:left="482" w:hanging="0"/>
        <w:rPr>
          <w:highlight w:val="yellow"/>
        </w:rPr>
      </w:pPr>
      <w:r>
        <w:rPr>
          <w:highlight w:val="yellow"/>
        </w:rPr>
      </w:r>
    </w:p>
    <w:tbl>
      <w:tblPr>
        <w:tblW w:w="9240" w:type="dxa"/>
        <w:jc w:val="left"/>
        <w:tblInd w:w="472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39"/>
        <w:gridCol w:w="1300"/>
        <w:gridCol w:w="1300"/>
        <w:gridCol w:w="1300"/>
      </w:tblGrid>
      <w:tr>
        <w:trPr>
          <w:trHeight w:val="480" w:hRule="atLeast"/>
        </w:trPr>
        <w:tc>
          <w:tcPr>
            <w:tcW w:w="5339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13" w:name="RANGE!B3:E17"/>
            <w:bookmarkEnd w:id="13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Pohľadávky spolu</w:t>
            </w:r>
          </w:p>
        </w:tc>
      </w:tr>
      <w:tr>
        <w:trPr>
          <w:trHeight w:val="255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3 935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3 935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43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3 935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    </w:t>
            </w: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3 935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533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3 935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3 935</w:t>
            </w:r>
          </w:p>
        </w:tc>
      </w:tr>
    </w:tbl>
    <w:p>
      <w:pPr>
        <w:pStyle w:val="Odstavec"/>
        <w:ind w:left="482" w:hanging="0"/>
        <w:rPr>
          <w:highlight w:val="yellow"/>
        </w:rPr>
      </w:pPr>
      <w:r>
        <w:rPr>
          <w:highlight w:val="yellow"/>
        </w:rPr>
      </w:r>
    </w:p>
    <w:p>
      <w:pPr>
        <w:pStyle w:val="Odstavec"/>
        <w:ind w:left="482" w:hanging="0"/>
        <w:rPr/>
      </w:pPr>
      <w:bookmarkStart w:id="14" w:name="FWT_T15b"/>
      <w:bookmarkEnd w:id="14"/>
      <w:r>
        <w:rPr/>
        <w:t xml:space="preserve"> </w:t>
      </w:r>
    </w:p>
    <w:p>
      <w:pPr>
        <w:pStyle w:val="Body"/>
        <w:rPr/>
      </w:pPr>
      <w:r>
        <w:rPr/>
        <w:t>Informácie o záložnom práve prípadne obmedzenom práve disponovať s pohľadávkami a informácie o pohľadávkach krytých záložným právom sú uvedené v nasledujúcej tabuľke:</w:t>
      </w:r>
    </w:p>
    <w:tbl>
      <w:tblPr>
        <w:tblW w:w="9219" w:type="dxa"/>
        <w:jc w:val="left"/>
        <w:tblInd w:w="482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19"/>
        <w:gridCol w:w="1399"/>
        <w:gridCol w:w="1401"/>
      </w:tblGrid>
      <w:tr>
        <w:trPr>
          <w:trHeight w:val="480" w:hRule="atLeast"/>
        </w:trPr>
        <w:tc>
          <w:tcPr>
            <w:tcW w:w="6419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399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31.12.2017</w:t>
            </w:r>
          </w:p>
        </w:tc>
      </w:tr>
      <w:tr>
        <w:trPr>
          <w:trHeight w:val="240" w:hRule="atLeast"/>
        </w:trPr>
        <w:tc>
          <w:tcPr>
            <w:tcW w:w="641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39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41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39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41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39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</w:tbl>
    <w:p>
      <w:pPr>
        <w:sectPr>
          <w:headerReference w:type="default" r:id="rId3"/>
          <w:type w:val="nextPage"/>
          <w:pgSz w:w="11906" w:h="16838"/>
          <w:pgMar w:left="1134" w:right="1134" w:header="709" w:top="1134" w:footer="0" w:bottom="1134" w:gutter="0"/>
          <w:pgNumType w:fmt="decimal"/>
          <w:formProt w:val="false"/>
          <w:textDirection w:val="lrTb"/>
          <w:docGrid w:type="default" w:linePitch="360" w:charSpace="4294961151"/>
        </w:sectPr>
      </w:pPr>
    </w:p>
    <w:p>
      <w:pPr>
        <w:pStyle w:val="Nadpis2"/>
        <w:numPr>
          <w:ilvl w:val="1"/>
          <w:numId w:val="7"/>
        </w:numPr>
        <w:rPr/>
      </w:pPr>
      <w:r>
        <w:rPr/>
        <w:t>Finančné účty</w:t>
      </w:r>
    </w:p>
    <w:p>
      <w:pPr>
        <w:pStyle w:val="Odstavec"/>
        <w:rPr/>
      </w:pPr>
      <w:r>
        <w:rPr/>
        <w:t>Informácie o finančných účtoch sú uvedené nižšie:</w:t>
      </w:r>
    </w:p>
    <w:p>
      <w:pPr>
        <w:pStyle w:val="Body"/>
        <w:rPr/>
      </w:pPr>
      <w:r>
        <w:rPr/>
      </w:r>
    </w:p>
    <w:tbl>
      <w:tblPr>
        <w:tblW w:w="9037" w:type="dxa"/>
        <w:jc w:val="left"/>
        <w:tblInd w:w="416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84"/>
        <w:gridCol w:w="1276"/>
        <w:gridCol w:w="1277"/>
      </w:tblGrid>
      <w:tr>
        <w:trPr>
          <w:trHeight w:val="439" w:hRule="atLeast"/>
        </w:trPr>
        <w:tc>
          <w:tcPr>
            <w:tcW w:w="6484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15" w:name="RANGE!B4:D9"/>
            <w:bookmarkEnd w:id="15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7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277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k 31.12.2017</w:t>
            </w:r>
          </w:p>
        </w:tc>
      </w:tr>
      <w:tr>
        <w:trPr>
          <w:trHeight w:val="240" w:hRule="atLeast"/>
        </w:trPr>
        <w:tc>
          <w:tcPr>
            <w:tcW w:w="648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Pokladnica, ceniny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2 038</w:t>
            </w:r>
          </w:p>
        </w:tc>
      </w:tr>
      <w:tr>
        <w:trPr>
          <w:trHeight w:val="240" w:hRule="atLeast"/>
        </w:trPr>
        <w:tc>
          <w:tcPr>
            <w:tcW w:w="648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Bežné bankové účty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581</w:t>
            </w:r>
          </w:p>
        </w:tc>
        <w:tc>
          <w:tcPr>
            <w:tcW w:w="127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22 978</w:t>
            </w:r>
          </w:p>
        </w:tc>
      </w:tr>
      <w:tr>
        <w:trPr>
          <w:trHeight w:val="240" w:hRule="atLeast"/>
        </w:trPr>
        <w:tc>
          <w:tcPr>
            <w:tcW w:w="648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Bankové účty termínované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48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Peniaze na ceste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648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Arial" w:ascii="Arial" w:hAnsi="Arial"/>
                <w:b/>
                <w:bCs/>
                <w:sz w:val="18"/>
                <w:szCs w:val="18"/>
              </w:rPr>
              <w:t>581</w:t>
            </w:r>
          </w:p>
        </w:tc>
        <w:tc>
          <w:tcPr>
            <w:tcW w:w="127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25 016</w:t>
            </w:r>
          </w:p>
        </w:tc>
      </w:tr>
    </w:tbl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Finančnými účtami  môže Spoločnosť voľne disponovať.</w:t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  <w:r>
        <w:br w:type="page"/>
      </w:r>
    </w:p>
    <w:p>
      <w:pPr>
        <w:pStyle w:val="Nadpis1"/>
        <w:numPr>
          <w:ilvl w:val="0"/>
          <w:numId w:val="0"/>
        </w:numPr>
        <w:ind w:left="426" w:hanging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PASÍVA</w:t>
      </w:r>
    </w:p>
    <w:p>
      <w:pPr>
        <w:pStyle w:val="Nadpis2"/>
        <w:numPr>
          <w:ilvl w:val="1"/>
          <w:numId w:val="4"/>
        </w:numPr>
        <w:rPr/>
      </w:pPr>
      <w:r>
        <w:rPr/>
        <w:t>Vlastné imanie</w:t>
      </w:r>
    </w:p>
    <w:p>
      <w:pPr>
        <w:pStyle w:val="Odstavec"/>
        <w:rPr/>
      </w:pPr>
      <w:r>
        <w:rPr/>
        <w:t>Informácie o pohyboch vo vlastnom imaní a iné dodatočné informácie o vlastnom imaní Spoločnosti sú uvedené v poznámkach v časti IX na strane 11.</w:t>
      </w:r>
    </w:p>
    <w:p>
      <w:pPr>
        <w:pStyle w:val="Normal"/>
        <w:rPr>
          <w:rFonts w:ascii="Arial" w:hAnsi="Arial" w:cs="Arial"/>
          <w:b/>
          <w:b/>
          <w:bCs/>
          <w:iCs/>
          <w:sz w:val="20"/>
          <w:szCs w:val="20"/>
        </w:rPr>
      </w:pPr>
      <w:r>
        <w:rPr>
          <w:rFonts w:cs="Arial" w:ascii="Arial" w:hAnsi="Arial"/>
          <w:b/>
          <w:bCs/>
          <w:iCs/>
          <w:sz w:val="20"/>
          <w:szCs w:val="20"/>
        </w:rPr>
      </w:r>
    </w:p>
    <w:p>
      <w:pPr>
        <w:pStyle w:val="Nadpis2"/>
        <w:numPr>
          <w:ilvl w:val="1"/>
          <w:numId w:val="4"/>
        </w:numPr>
        <w:rPr/>
      </w:pPr>
      <w:r>
        <w:rPr/>
        <w:t>Sociálny fond</w:t>
      </w:r>
    </w:p>
    <w:p>
      <w:pPr>
        <w:pStyle w:val="Odstavec"/>
        <w:rPr/>
      </w:pPr>
      <w:r>
        <w:rPr/>
        <w:t>Tvorba a čerpanie sociálneho fondu v priebehu účtovného obdobia sú uvedené v nasledujúcej tabuľke:</w:t>
      </w:r>
    </w:p>
    <w:p>
      <w:pPr>
        <w:pStyle w:val="Odstavec"/>
        <w:rPr/>
      </w:pPr>
      <w:r>
        <w:rPr/>
        <w:t xml:space="preserve"> </w:t>
      </w:r>
    </w:p>
    <w:tbl>
      <w:tblPr>
        <w:tblW w:w="9220" w:type="dxa"/>
        <w:jc w:val="left"/>
        <w:tblInd w:w="482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06"/>
        <w:gridCol w:w="1416"/>
        <w:gridCol w:w="1398"/>
      </w:tblGrid>
      <w:tr>
        <w:trPr>
          <w:trHeight w:val="240" w:hRule="atLeast"/>
        </w:trPr>
        <w:tc>
          <w:tcPr>
            <w:tcW w:w="640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16" w:name="RANGE!B3:D10"/>
            <w:bookmarkEnd w:id="16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1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39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2017</w:t>
            </w:r>
          </w:p>
        </w:tc>
      </w:tr>
      <w:tr>
        <w:trPr>
          <w:trHeight w:val="240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139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44</w:t>
            </w:r>
          </w:p>
        </w:tc>
      </w:tr>
      <w:tr>
        <w:trPr>
          <w:trHeight w:val="240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127</w:t>
            </w:r>
          </w:p>
        </w:tc>
        <w:tc>
          <w:tcPr>
            <w:tcW w:w="139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42</w:t>
            </w:r>
          </w:p>
        </w:tc>
      </w:tr>
      <w:tr>
        <w:trPr>
          <w:trHeight w:val="240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00000A"/>
              <w:bottom w:val="double" w:sz="6" w:space="0" w:color="00000A"/>
              <w:insideH w:val="double" w:sz="6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127</w:t>
            </w:r>
          </w:p>
        </w:tc>
        <w:tc>
          <w:tcPr>
            <w:tcW w:w="1398" w:type="dxa"/>
            <w:tcBorders>
              <w:top w:val="single" w:sz="4" w:space="0" w:color="00000A"/>
              <w:bottom w:val="double" w:sz="6" w:space="0" w:color="00000A"/>
              <w:insideH w:val="double" w:sz="6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42</w:t>
            </w:r>
          </w:p>
        </w:tc>
      </w:tr>
      <w:tr>
        <w:trPr>
          <w:trHeight w:val="255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44</w:t>
            </w:r>
          </w:p>
        </w:tc>
      </w:tr>
      <w:tr>
        <w:trPr>
          <w:trHeight w:val="255" w:hRule="atLeast"/>
        </w:trPr>
        <w:tc>
          <w:tcPr>
            <w:tcW w:w="64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00000A"/>
              <w:bottom w:val="double" w:sz="6" w:space="0" w:color="00000A"/>
              <w:insideH w:val="double" w:sz="6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169</w:t>
            </w:r>
          </w:p>
        </w:tc>
        <w:tc>
          <w:tcPr>
            <w:tcW w:w="1398" w:type="dxa"/>
            <w:tcBorders>
              <w:top w:val="single" w:sz="4" w:space="0" w:color="00000A"/>
              <w:bottom w:val="double" w:sz="6" w:space="0" w:color="00000A"/>
              <w:insideH w:val="double" w:sz="6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42</w:t>
            </w:r>
          </w:p>
        </w:tc>
      </w:tr>
    </w:tbl>
    <w:p>
      <w:pPr>
        <w:pStyle w:val="Nadpis2"/>
        <w:numPr>
          <w:ilvl w:val="0"/>
          <w:numId w:val="0"/>
        </w:numPr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1"/>
          <w:numId w:val="4"/>
        </w:numPr>
        <w:rPr/>
      </w:pPr>
      <w:r>
        <w:rPr/>
        <w:t>Záväzky</w:t>
      </w:r>
    </w:p>
    <w:p>
      <w:pPr>
        <w:pStyle w:val="Odstavec"/>
        <w:rPr/>
      </w:pPr>
      <w:r>
        <w:rPr/>
        <w:t>Štruktúra záväzkov podľa zostatkovej doby splatnosti k  31. decembru 2018</w:t>
      </w:r>
    </w:p>
    <w:p>
      <w:pPr>
        <w:pStyle w:val="Odstavec"/>
        <w:rPr/>
      </w:pPr>
      <w:bookmarkStart w:id="17" w:name="FWT_T26a2"/>
      <w:bookmarkEnd w:id="17"/>
      <w:r>
        <w:rPr/>
        <w:t xml:space="preserve"> </w:t>
      </w:r>
    </w:p>
    <w:tbl>
      <w:tblPr>
        <w:tblW w:w="9240" w:type="dxa"/>
        <w:jc w:val="left"/>
        <w:tblInd w:w="471" w:type="dxa"/>
        <w:tblBorders/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4"/>
        <w:gridCol w:w="1132"/>
        <w:gridCol w:w="996"/>
        <w:gridCol w:w="997"/>
        <w:gridCol w:w="992"/>
        <w:gridCol w:w="928"/>
      </w:tblGrid>
      <w:tr>
        <w:trPr>
          <w:trHeight w:val="255" w:hRule="atLeast"/>
        </w:trPr>
        <w:tc>
          <w:tcPr>
            <w:tcW w:w="4194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bookmarkStart w:id="18" w:name="RANGE!B3:G211"/>
            <w:bookmarkEnd w:id="18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25" w:type="dxa"/>
            <w:gridSpan w:val="3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992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928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Spolu záväzky</w:t>
            </w:r>
          </w:p>
        </w:tc>
      </w:tr>
      <w:tr>
        <w:trPr>
          <w:trHeight w:val="720" w:hRule="atLeast"/>
        </w:trPr>
        <w:tc>
          <w:tcPr>
            <w:tcW w:w="4194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992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928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</w:tr>
      <w:tr>
        <w:trPr>
          <w:trHeight w:val="339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</w:tr>
      <w:tr>
        <w:trPr>
          <w:trHeight w:val="245" w:hRule="atLeast"/>
        </w:trPr>
        <w:tc>
          <w:tcPr>
            <w:tcW w:w="4194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63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169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169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178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79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169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169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169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169</w:t>
            </w:r>
          </w:p>
        </w:tc>
      </w:tr>
    </w:tbl>
    <w:p>
      <w:pPr>
        <w:pStyle w:val="Odstavec"/>
        <w:rPr/>
      </w:pPr>
      <w:bookmarkStart w:id="19" w:name="FWT_T26a11"/>
      <w:bookmarkEnd w:id="19"/>
      <w:r>
        <w:rPr/>
        <w:t xml:space="preserve"> </w:t>
      </w:r>
    </w:p>
    <w:tbl>
      <w:tblPr>
        <w:tblW w:w="9240" w:type="dxa"/>
        <w:jc w:val="left"/>
        <w:tblInd w:w="471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4"/>
        <w:gridCol w:w="1132"/>
        <w:gridCol w:w="996"/>
        <w:gridCol w:w="997"/>
        <w:gridCol w:w="992"/>
        <w:gridCol w:w="928"/>
      </w:tblGrid>
      <w:tr>
        <w:trPr>
          <w:trHeight w:val="510" w:hRule="atLeast"/>
        </w:trPr>
        <w:tc>
          <w:tcPr>
            <w:tcW w:w="4194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bookmarkStart w:id="20" w:name="RANGE!B23:G371"/>
            <w:bookmarkEnd w:id="20"/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626</w:t>
            </w:r>
          </w:p>
        </w:tc>
        <w:tc>
          <w:tcPr>
            <w:tcW w:w="99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626</w:t>
            </w:r>
          </w:p>
        </w:tc>
      </w:tr>
      <w:tr>
        <w:trPr>
          <w:trHeight w:val="3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240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240</w:t>
            </w:r>
          </w:p>
        </w:tc>
      </w:tr>
      <w:tr>
        <w:trPr>
          <w:trHeight w:val="563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386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386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7 632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7 632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174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5 004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5 004</w:t>
            </w:r>
          </w:p>
        </w:tc>
      </w:tr>
      <w:tr>
        <w:trPr>
          <w:trHeight w:val="563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1 619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1 619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774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774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235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235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8 258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8 258</w:t>
            </w:r>
          </w:p>
        </w:tc>
      </w:tr>
    </w:tbl>
    <w:p>
      <w:pPr>
        <w:pStyle w:val="Normal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ind w:left="0" w:hanging="0"/>
        <w:rPr/>
      </w:pPr>
      <w:r>
        <w:rPr/>
      </w:r>
    </w:p>
    <w:p>
      <w:pPr>
        <w:pStyle w:val="Odstavec"/>
        <w:rPr/>
      </w:pPr>
      <w:r>
        <w:rPr/>
        <w:t>Štruktúra záväzkov podľa zostatkovej doby splatnosti k  31. decembru 2017</w:t>
      </w:r>
    </w:p>
    <w:p>
      <w:pPr>
        <w:pStyle w:val="Odstavec"/>
        <w:rPr/>
      </w:pPr>
      <w:bookmarkStart w:id="21" w:name="FWT_T26a"/>
      <w:bookmarkEnd w:id="21"/>
      <w:r>
        <w:rPr/>
        <w:t xml:space="preserve"> </w:t>
      </w:r>
    </w:p>
    <w:tbl>
      <w:tblPr>
        <w:tblW w:w="9240" w:type="dxa"/>
        <w:jc w:val="left"/>
        <w:tblInd w:w="471" w:type="dxa"/>
        <w:tblBorders/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4"/>
        <w:gridCol w:w="1132"/>
        <w:gridCol w:w="996"/>
        <w:gridCol w:w="997"/>
        <w:gridCol w:w="992"/>
        <w:gridCol w:w="928"/>
      </w:tblGrid>
      <w:tr>
        <w:trPr>
          <w:trHeight w:val="255" w:hRule="atLeast"/>
        </w:trPr>
        <w:tc>
          <w:tcPr>
            <w:tcW w:w="4194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22" w:name="RANGE!B3:G21"/>
            <w:bookmarkEnd w:id="22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25" w:type="dxa"/>
            <w:gridSpan w:val="3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992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928" w:type="dxa"/>
            <w:vMerge w:val="restart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Spolu záväzky</w:t>
            </w:r>
          </w:p>
        </w:tc>
      </w:tr>
      <w:tr>
        <w:trPr>
          <w:trHeight w:val="720" w:hRule="atLeast"/>
        </w:trPr>
        <w:tc>
          <w:tcPr>
            <w:tcW w:w="4194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992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928" w:type="dxa"/>
            <w:vMerge w:val="continue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</w:tr>
      <w:tr>
        <w:trPr>
          <w:trHeight w:val="379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</w:tr>
      <w:tr>
        <w:trPr>
          <w:trHeight w:val="245" w:hRule="atLeast"/>
        </w:trPr>
        <w:tc>
          <w:tcPr>
            <w:tcW w:w="4194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63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42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42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178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79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42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42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/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3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42</w:t>
            </w:r>
          </w:p>
        </w:tc>
      </w:tr>
    </w:tbl>
    <w:p>
      <w:pPr>
        <w:pStyle w:val="Odstavec"/>
        <w:rPr/>
      </w:pPr>
      <w:bookmarkStart w:id="23" w:name="FWT_T26a1"/>
      <w:bookmarkEnd w:id="23"/>
      <w:r>
        <w:rPr/>
        <w:t xml:space="preserve"> </w:t>
      </w:r>
    </w:p>
    <w:tbl>
      <w:tblPr>
        <w:tblW w:w="9240" w:type="dxa"/>
        <w:jc w:val="left"/>
        <w:tblInd w:w="471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4"/>
        <w:gridCol w:w="1132"/>
        <w:gridCol w:w="996"/>
        <w:gridCol w:w="997"/>
        <w:gridCol w:w="992"/>
        <w:gridCol w:w="928"/>
      </w:tblGrid>
      <w:tr>
        <w:trPr>
          <w:trHeight w:val="510" w:hRule="atLeast"/>
        </w:trPr>
        <w:tc>
          <w:tcPr>
            <w:tcW w:w="4194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24" w:name="RANGE!B23:G37"/>
            <w:bookmarkEnd w:id="24"/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99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56</w:t>
            </w:r>
          </w:p>
        </w:tc>
      </w:tr>
      <w:tr>
        <w:trPr>
          <w:trHeight w:val="3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63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56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56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679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679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174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563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679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679</w:t>
            </w:r>
          </w:p>
        </w:tc>
      </w:tr>
      <w:tr>
        <w:trPr>
          <w:trHeight w:val="240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419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735</w:t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735</w:t>
            </w:r>
          </w:p>
        </w:tc>
      </w:tr>
    </w:tbl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>
      <w:pPr>
        <w:pStyle w:val="Nadpis1"/>
        <w:numPr>
          <w:ilvl w:val="0"/>
          <w:numId w:val="0"/>
        </w:numPr>
        <w:ind w:left="426" w:hanging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VÝNOSY</w:t>
      </w:r>
    </w:p>
    <w:p>
      <w:pPr>
        <w:pStyle w:val="Nadpis2"/>
        <w:numPr>
          <w:ilvl w:val="1"/>
          <w:numId w:val="6"/>
        </w:numPr>
        <w:rPr/>
      </w:pPr>
      <w:r>
        <w:rPr/>
        <w:t>Ostatné výnosy z hospodárskej a finančnej činnosti</w:t>
      </w:r>
    </w:p>
    <w:p>
      <w:pPr>
        <w:pStyle w:val="Odstavec"/>
        <w:rPr/>
      </w:pPr>
      <w:r>
        <w:rPr/>
        <w:t>Informácie o výnosoch z hospodárskej a finančnej činnosti sú uvedené nižšie:</w:t>
      </w:r>
    </w:p>
    <w:p>
      <w:pPr>
        <w:pStyle w:val="Odstavec"/>
        <w:rPr/>
      </w:pPr>
      <w:r>
        <w:rPr/>
        <w:t xml:space="preserve"> </w:t>
      </w:r>
    </w:p>
    <w:tbl>
      <w:tblPr>
        <w:tblW w:w="9299" w:type="dxa"/>
        <w:jc w:val="left"/>
        <w:tblInd w:w="471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056"/>
        <w:gridCol w:w="1122"/>
        <w:gridCol w:w="1121"/>
      </w:tblGrid>
      <w:tr>
        <w:trPr>
          <w:trHeight w:val="240" w:hRule="atLeast"/>
        </w:trPr>
        <w:tc>
          <w:tcPr>
            <w:tcW w:w="705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25" w:name="RANGE!B4:D31"/>
            <w:bookmarkEnd w:id="25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2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12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2017</w:t>
            </w:r>
          </w:p>
        </w:tc>
      </w:tr>
      <w:tr>
        <w:trPr>
          <w:trHeight w:val="255" w:hRule="atLeast"/>
        </w:trPr>
        <w:tc>
          <w:tcPr>
            <w:tcW w:w="705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Výnosy z hospodárskej činnosti: 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46 918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49 796</w:t>
            </w:r>
          </w:p>
        </w:tc>
      </w:tr>
      <w:tr>
        <w:trPr>
          <w:trHeight w:val="255" w:hRule="atLeast"/>
        </w:trPr>
        <w:tc>
          <w:tcPr>
            <w:tcW w:w="705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Tržby z predaja služieb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46 918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49 356</w:t>
            </w:r>
          </w:p>
        </w:tc>
      </w:tr>
      <w:tr>
        <w:trPr>
          <w:trHeight w:val="255" w:hRule="atLeast"/>
        </w:trPr>
        <w:tc>
          <w:tcPr>
            <w:tcW w:w="705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Ostatné výnosy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440</w:t>
            </w:r>
          </w:p>
        </w:tc>
      </w:tr>
      <w:tr>
        <w:trPr>
          <w:trHeight w:val="255" w:hRule="atLeast"/>
        </w:trPr>
        <w:tc>
          <w:tcPr>
            <w:tcW w:w="705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Výnosy z finančnej činnosti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</w:t>
            </w:r>
          </w:p>
        </w:tc>
      </w:tr>
      <w:tr>
        <w:trPr>
          <w:trHeight w:val="255" w:hRule="atLeast"/>
        </w:trPr>
        <w:tc>
          <w:tcPr>
            <w:tcW w:w="705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Bankové úroky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4</w:t>
            </w:r>
          </w:p>
        </w:tc>
      </w:tr>
    </w:tbl>
    <w:p>
      <w:pPr>
        <w:pStyle w:val="Odstavec"/>
        <w:rPr/>
      </w:pPr>
      <w:r>
        <w:rPr/>
      </w:r>
    </w:p>
    <w:p>
      <w:pPr>
        <w:pStyle w:val="Odstavec"/>
        <w:rPr/>
      </w:pPr>
      <w:bookmarkStart w:id="26" w:name="FWT_T38"/>
      <w:bookmarkStart w:id="27" w:name="FWT_T38"/>
      <w:bookmarkEnd w:id="27"/>
      <w:r>
        <w:rPr/>
      </w:r>
    </w:p>
    <w:p>
      <w:pPr>
        <w:pStyle w:val="Nadpis1"/>
        <w:numPr>
          <w:ilvl w:val="0"/>
          <w:numId w:val="0"/>
        </w:numPr>
        <w:ind w:left="426" w:hanging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NÁKLADY</w:t>
      </w:r>
    </w:p>
    <w:p>
      <w:pPr>
        <w:pStyle w:val="Nadpis2"/>
        <w:numPr>
          <w:ilvl w:val="1"/>
          <w:numId w:val="8"/>
        </w:numPr>
        <w:rPr/>
      </w:pPr>
      <w:r>
        <w:rPr/>
        <w:t>Náklady z hospodárskej a finančnej činnosti</w:t>
      </w:r>
    </w:p>
    <w:p>
      <w:pPr>
        <w:pStyle w:val="Odstavec"/>
        <w:rPr/>
      </w:pPr>
      <w:r>
        <w:rPr/>
        <w:t>Prehľad nákladov Spoločnosti z hospodárskej a finančnej činnosti je uvedený v nasledujúcej tabuľke:</w:t>
      </w:r>
    </w:p>
    <w:p>
      <w:pPr>
        <w:pStyle w:val="Odstavec"/>
        <w:rPr/>
      </w:pPr>
      <w:r>
        <w:rPr/>
        <w:t xml:space="preserve"> </w:t>
      </w:r>
    </w:p>
    <w:tbl>
      <w:tblPr>
        <w:tblW w:w="9203" w:type="dxa"/>
        <w:jc w:val="left"/>
        <w:tblInd w:w="471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60"/>
        <w:gridCol w:w="1122"/>
        <w:gridCol w:w="1121"/>
      </w:tblGrid>
      <w:tr>
        <w:trPr>
          <w:trHeight w:val="240" w:hRule="atLeast"/>
        </w:trPr>
        <w:tc>
          <w:tcPr>
            <w:tcW w:w="696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bookmarkStart w:id="28" w:name="RANGE!B3:D52"/>
            <w:bookmarkEnd w:id="28"/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22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12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2017</w:t>
            </w:r>
          </w:p>
        </w:tc>
      </w:tr>
      <w:tr>
        <w:trPr>
          <w:trHeight w:val="255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Náklady na hospodársku činnosť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48 266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20 108</w:t>
            </w:r>
          </w:p>
        </w:tc>
      </w:tr>
      <w:tr>
        <w:trPr>
          <w:trHeight w:val="255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Spotreba materiálu, energie a neskladovateľných dodávok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1 150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Služby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1 969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5 962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Mzdové náklady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34 327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8 976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Náklady na sociálne a zdravotné poistenie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11 970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3 701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cs="Arial" w:ascii="Arial" w:hAnsi="Arial"/>
                <w:iCs/>
                <w:sz w:val="18"/>
                <w:szCs w:val="18"/>
              </w:rPr>
              <w:t>Dane a poplatky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iCs/>
                <w:sz w:val="18"/>
                <w:szCs w:val="18"/>
              </w:rPr>
              <w:t>80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Ostatné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239</w:t>
            </w:r>
          </w:p>
        </w:tc>
      </w:tr>
      <w:tr>
        <w:trPr>
          <w:trHeight w:val="255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295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746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Bankové poplatky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265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18"/>
                <w:szCs w:val="18"/>
              </w:rPr>
              <w:t>746</w:t>
            </w:r>
          </w:p>
        </w:tc>
      </w:tr>
      <w:tr>
        <w:trPr>
          <w:trHeight w:val="240" w:hRule="atLeast"/>
        </w:trPr>
        <w:tc>
          <w:tcPr>
            <w:tcW w:w="696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Úroky</w:t>
            </w:r>
          </w:p>
        </w:tc>
        <w:tc>
          <w:tcPr>
            <w:tcW w:w="112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30</w:t>
            </w:r>
          </w:p>
        </w:tc>
        <w:tc>
          <w:tcPr>
            <w:tcW w:w="112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</w:tbl>
    <w:p>
      <w:pPr>
        <w:pStyle w:val="Odstavec"/>
        <w:rPr/>
      </w:pPr>
      <w:bookmarkStart w:id="29" w:name="FWT_T40"/>
      <w:bookmarkStart w:id="30" w:name="FWT_T40"/>
      <w:bookmarkEnd w:id="30"/>
      <w:r>
        <w:rPr/>
      </w:r>
    </w:p>
    <w:p>
      <w:pPr>
        <w:pStyle w:val="Normal"/>
        <w:rPr>
          <w:rFonts w:ascii="Arial" w:hAnsi="Arial" w:cs="Arial"/>
          <w:b/>
          <w:b/>
          <w:bCs/>
          <w:i/>
          <w:i/>
          <w:iCs/>
          <w:sz w:val="18"/>
          <w:szCs w:val="18"/>
        </w:rPr>
      </w:pPr>
      <w:r>
        <w:rPr>
          <w:rFonts w:cs="Arial" w:ascii="Arial" w:hAnsi="Arial"/>
          <w:b/>
          <w:bCs/>
          <w:i/>
          <w:iCs/>
          <w:sz w:val="18"/>
          <w:szCs w:val="18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  <w:lang w:val="en-US"/>
        </w:rPr>
      </w:pPr>
      <w:bookmarkStart w:id="31" w:name="_Ref434581611"/>
      <w:bookmarkStart w:id="32" w:name="_Ref434581611"/>
      <w:bookmarkEnd w:id="32"/>
      <w:r>
        <w:rPr>
          <w:rFonts w:cs="Arial" w:ascii="Arial" w:hAnsi="Arial"/>
          <w:b/>
          <w:bCs/>
          <w:sz w:val="20"/>
          <w:szCs w:val="20"/>
          <w:lang w:val="en-US"/>
        </w:rPr>
      </w:r>
      <w:r>
        <w:br w:type="page"/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>INFORMÁCIE O INÝCH AKTÍVACH A INÝCH PASÍVACH</w:t>
      </w:r>
    </w:p>
    <w:p>
      <w:pPr>
        <w:pStyle w:val="Nadpis2"/>
        <w:numPr>
          <w:ilvl w:val="1"/>
          <w:numId w:val="11"/>
        </w:numPr>
        <w:rPr/>
      </w:pPr>
      <w:r>
        <w:rPr/>
        <w:t>Podmienený majetok</w:t>
      </w:r>
    </w:p>
    <w:p>
      <w:pPr>
        <w:pStyle w:val="Odstavec"/>
        <w:rPr>
          <w:highlight w:val="yellow"/>
        </w:rPr>
      </w:pPr>
      <w:r>
        <w:rPr/>
        <w:t>Podmieneným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  <w:r>
        <w:rPr>
          <w:highlight w:val="yellow"/>
        </w:rPr>
        <w:t xml:space="preserve"> </w:t>
      </w:r>
    </w:p>
    <w:p>
      <w:pPr>
        <w:pStyle w:val="Odstavec"/>
        <w:rPr/>
      </w:pPr>
      <w:bookmarkStart w:id="33" w:name="FWT_T45"/>
      <w:bookmarkStart w:id="34" w:name="FWT_T45"/>
      <w:bookmarkEnd w:id="34"/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Podmienené záväzky</w:t>
      </w:r>
    </w:p>
    <w:p>
      <w:pPr>
        <w:pStyle w:val="Odstavec"/>
        <w:rPr/>
      </w:pPr>
      <w:r>
        <w:rPr/>
        <w:t>Podmieneným záväzkom sa rozumie:</w:t>
      </w:r>
    </w:p>
    <w:p>
      <w:pPr>
        <w:pStyle w:val="Odstavec"/>
        <w:numPr>
          <w:ilvl w:val="0"/>
          <w:numId w:val="10"/>
        </w:numPr>
        <w:rPr/>
      </w:pPr>
      <w:r>
        <w:rPr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tavec"/>
        <w:numPr>
          <w:ilvl w:val="0"/>
          <w:numId w:val="10"/>
        </w:numPr>
        <w:rPr/>
      </w:pPr>
      <w:r>
        <w:rPr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tavec"/>
        <w:rPr/>
      </w:pPr>
      <w:bookmarkStart w:id="35" w:name="FWT_T44"/>
      <w:bookmarkStart w:id="36" w:name="FWT_T44"/>
      <w:bookmarkEnd w:id="36"/>
      <w:r>
        <w:rPr/>
      </w:r>
    </w:p>
    <w:p>
      <w:pPr>
        <w:pStyle w:val="Odstavec"/>
        <w:rPr/>
      </w:pPr>
      <w:r>
        <w:rPr/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Spoločnosť neeviduje žiadne druhy podmieneného majetku a podmieneného záväzku k 31. decembru 2018.</w:t>
      </w:r>
    </w:p>
    <w:p>
      <w:pPr>
        <w:pStyle w:val="Odstavec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Ostatné finančné povinnosti</w:t>
      </w:r>
    </w:p>
    <w:p>
      <w:pPr>
        <w:pStyle w:val="Odstavec"/>
        <w:rPr/>
      </w:pPr>
      <w:r>
        <w:rPr/>
        <w:t>Spoločnosť neeviduje žiadne druhy ostatných finančných povinností k 31. decembru 2018.</w:t>
      </w:r>
    </w:p>
    <w:p>
      <w:pPr>
        <w:pStyle w:val="Odstavec"/>
        <w:rPr/>
      </w:pPr>
      <w:r>
        <w:rPr/>
      </w:r>
    </w:p>
    <w:p>
      <w:pPr>
        <w:pStyle w:val="Nadpis2"/>
        <w:numPr>
          <w:ilvl w:val="1"/>
          <w:numId w:val="9"/>
        </w:numPr>
        <w:rPr/>
      </w:pPr>
      <w:r>
        <w:rPr/>
        <w:t>Skutočnosti sledované na podsúvahových účtoch</w:t>
      </w:r>
    </w:p>
    <w:p>
      <w:pPr>
        <w:pStyle w:val="Odstavec"/>
        <w:rPr/>
      </w:pPr>
      <w:bookmarkStart w:id="37" w:name="FWT_T43"/>
      <w:r>
        <w:rPr/>
        <w:t>Spoločnosť neeviduje žiadne aktíva a pasíva na podsúvahe</w:t>
      </w:r>
      <w:bookmarkEnd w:id="37"/>
      <w:r>
        <w:rPr/>
        <w:t xml:space="preserve"> k 31. decembru 2018.</w:t>
      </w:r>
    </w:p>
    <w:p>
      <w:pPr>
        <w:pStyle w:val="Nadpis1"/>
        <w:numPr>
          <w:ilvl w:val="0"/>
          <w:numId w:val="0"/>
        </w:numPr>
        <w:ind w:left="426" w:hanging="0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>
      <w:pPr>
        <w:pStyle w:val="Odstavec"/>
        <w:rPr/>
      </w:pPr>
      <w:r>
        <w:rPr/>
        <w:t xml:space="preserve">Po </w:t>
      </w:r>
      <w:bookmarkStart w:id="38" w:name="EntityDateEnd3"/>
      <w:r>
        <w:rPr/>
        <w:t>31. decembri 201</w:t>
      </w:r>
      <w:bookmarkEnd w:id="38"/>
      <w:r>
        <w:rPr/>
        <w:t>8 do dňa zostavenia účtovnej závierky nenastali také udalosti, ktoré by si vyžadovali zverejnenie alebo vykázanie v účtovnej závierke za rok 2018.</w:t>
      </w:r>
    </w:p>
    <w:p>
      <w:pPr>
        <w:pStyle w:val="Odstavec"/>
        <w:rPr/>
      </w:pPr>
      <w:r>
        <w:rPr/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  <w:lang w:val="en-US"/>
        </w:rPr>
      </w:pPr>
      <w:r>
        <w:rPr>
          <w:rFonts w:cs="Arial" w:ascii="Arial" w:hAnsi="Arial"/>
          <w:b/>
          <w:bCs/>
          <w:sz w:val="20"/>
          <w:szCs w:val="20"/>
          <w:lang w:val="en-US"/>
        </w:rPr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>TRANSAKCIE SO SPRIAZNENÝMI STRANAMI</w:t>
      </w:r>
    </w:p>
    <w:p>
      <w:pPr>
        <w:pStyle w:val="Nadpis2"/>
        <w:numPr>
          <w:ilvl w:val="0"/>
          <w:numId w:val="0"/>
        </w:numPr>
        <w:ind w:left="425" w:hanging="0"/>
        <w:rPr/>
      </w:pPr>
      <w:r>
        <w:rPr/>
        <w:t>Príjmy a výhody členov štatutárneho orgánu, dozorného orgánu a iného orgánu</w:t>
      </w:r>
    </w:p>
    <w:p>
      <w:pPr>
        <w:pStyle w:val="Odstavec"/>
        <w:ind w:left="425" w:hanging="0"/>
        <w:rPr/>
      </w:pPr>
      <w:bookmarkStart w:id="39" w:name="FWT_T46"/>
      <w:bookmarkStart w:id="40" w:name="RANGE!B4:J22"/>
      <w:bookmarkEnd w:id="39"/>
      <w:bookmarkEnd w:id="40"/>
      <w:r>
        <w:rPr/>
        <w:t>Členovia štatutárneho, dozorného a iného orgánu spoločnosti nepoberali žiadne príjmy za výkon svojej funkcie člena tohto orgánu ani im neboli poskytnuté žiadne pôžičky alebo záruky.</w:t>
      </w:r>
    </w:p>
    <w:p>
      <w:pPr>
        <w:pStyle w:val="Normal"/>
        <w:rPr>
          <w:rFonts w:ascii="Arial" w:hAnsi="Arial" w:cs="Arial"/>
          <w:sz w:val="20"/>
          <w:szCs w:val="20"/>
          <w:lang w:val="en-US"/>
        </w:rPr>
      </w:pPr>
      <w:r>
        <w:rPr>
          <w:rFonts w:cs="Arial" w:ascii="Arial" w:hAnsi="Arial"/>
          <w:sz w:val="20"/>
          <w:szCs w:val="20"/>
          <w:lang w:val="en-US"/>
        </w:rPr>
      </w:r>
    </w:p>
    <w:p>
      <w:pPr>
        <w:pStyle w:val="Normal"/>
        <w:rPr>
          <w:rFonts w:ascii="Arial" w:hAnsi="Arial" w:cs="Arial"/>
          <w:b/>
          <w:b/>
          <w:bCs/>
          <w:sz w:val="20"/>
          <w:szCs w:val="20"/>
          <w:lang w:val="en-US"/>
        </w:rPr>
      </w:pPr>
      <w:r>
        <w:rPr>
          <w:rFonts w:cs="Arial" w:ascii="Arial" w:hAnsi="Arial"/>
          <w:b/>
          <w:bCs/>
          <w:sz w:val="20"/>
          <w:szCs w:val="20"/>
          <w:lang w:val="en-US"/>
        </w:rPr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OSTATNÉ INFORMÁCIE </w:t>
      </w:r>
    </w:p>
    <w:p>
      <w:pPr>
        <w:pStyle w:val="Normal"/>
        <w:ind w:left="426" w:hanging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Spoločnosti nebolo udelené výlučné právo alebo osobitné právo poskytovať služby vo verejnom záujme. </w:t>
      </w:r>
    </w:p>
    <w:p>
      <w:pPr>
        <w:pStyle w:val="Normal"/>
        <w:ind w:firstLine="426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Na spoločnosť sa rovnako nevzťahuje § 23d ods. 6 zákona o účtovníctve.</w:t>
      </w:r>
    </w:p>
    <w:p>
      <w:pPr>
        <w:pStyle w:val="Normal"/>
        <w:ind w:firstLine="426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ind w:firstLine="426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ind w:firstLine="426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adpis1"/>
        <w:numPr>
          <w:ilvl w:val="0"/>
          <w:numId w:val="3"/>
        </w:numPr>
        <w:ind w:left="426" w:hanging="426"/>
        <w:rPr>
          <w:rFonts w:ascii="Arial" w:hAnsi="Arial"/>
          <w:sz w:val="20"/>
          <w:szCs w:val="20"/>
          <w:lang w:val="en-US"/>
        </w:rPr>
      </w:pPr>
      <w:bookmarkStart w:id="41" w:name="_Ref434581298"/>
      <w:r>
        <w:rPr>
          <w:rFonts w:ascii="Arial" w:hAnsi="Arial"/>
          <w:sz w:val="20"/>
          <w:szCs w:val="20"/>
          <w:lang w:val="en-US"/>
        </w:rPr>
        <w:t>PREHĽAD POHYBOV VLASTN</w:t>
      </w:r>
      <w:r>
        <w:rPr>
          <w:rFonts w:ascii="Arial" w:hAnsi="Arial"/>
          <w:sz w:val="20"/>
          <w:szCs w:val="20"/>
        </w:rPr>
        <w:t>ÉHO IMANIA</w:t>
      </w:r>
      <w:bookmarkEnd w:id="41"/>
      <w:r>
        <w:rPr>
          <w:rFonts w:ascii="Arial" w:hAnsi="Arial"/>
          <w:sz w:val="20"/>
          <w:szCs w:val="20"/>
          <w:lang w:val="en-US"/>
        </w:rPr>
        <w:t xml:space="preserve"> </w:t>
      </w:r>
    </w:p>
    <w:p>
      <w:pPr>
        <w:pStyle w:val="Nadpis2"/>
        <w:numPr>
          <w:ilvl w:val="1"/>
          <w:numId w:val="5"/>
        </w:numPr>
        <w:rPr/>
      </w:pPr>
      <w:bookmarkStart w:id="42" w:name="_Ref434581324"/>
      <w:bookmarkEnd w:id="42"/>
      <w:r>
        <w:rPr/>
        <w:t>Vlastné imanie</w:t>
      </w:r>
    </w:p>
    <w:p>
      <w:pPr>
        <w:pStyle w:val="Odstavec"/>
        <w:rPr/>
      </w:pPr>
      <w:r>
        <w:rPr/>
        <w:t>Prehľad pohybu vlastného imania v priebehu bežného a predchádzajúceho účtovného obdobia je uvedený v nasledujúcich tabuľkách:</w:t>
      </w:r>
    </w:p>
    <w:p>
      <w:pPr>
        <w:pStyle w:val="Odstavec"/>
        <w:rPr/>
      </w:pPr>
      <w:r>
        <w:rPr/>
      </w:r>
    </w:p>
    <w:tbl>
      <w:tblPr>
        <w:tblW w:w="9165" w:type="dxa"/>
        <w:jc w:val="left"/>
        <w:tblInd w:w="547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20"/>
        <w:gridCol w:w="1083"/>
        <w:gridCol w:w="1081"/>
        <w:gridCol w:w="1078"/>
        <w:gridCol w:w="974"/>
        <w:gridCol w:w="1228"/>
      </w:tblGrid>
      <w:tr>
        <w:trPr>
          <w:trHeight w:val="495" w:hRule="atLeast"/>
        </w:trPr>
        <w:tc>
          <w:tcPr>
            <w:tcW w:w="3720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Položka vlastného imania</w:t>
            </w:r>
          </w:p>
        </w:tc>
        <w:tc>
          <w:tcPr>
            <w:tcW w:w="1083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Stav k 1.1.2018</w:t>
            </w:r>
          </w:p>
        </w:tc>
        <w:tc>
          <w:tcPr>
            <w:tcW w:w="1081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 xml:space="preserve">Prírastky </w:t>
            </w:r>
          </w:p>
        </w:tc>
        <w:tc>
          <w:tcPr>
            <w:tcW w:w="107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 xml:space="preserve">Úbytky </w:t>
            </w:r>
          </w:p>
        </w:tc>
        <w:tc>
          <w:tcPr>
            <w:tcW w:w="974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22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Stav k 31.12.2018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5 000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5 000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Zmena základného imania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Pohľadávky za upísané vlastné imanie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Emisné ážio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Ostatné kapitálové fondy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Zákonný rezervný fond a nedeliteľný fond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500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500</w:t>
            </w:r>
          </w:p>
        </w:tc>
      </w:tr>
      <w:tr>
        <w:trPr>
          <w:trHeight w:val="48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Rezervný fond na vlastné akcie a vlastné podiely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Štatutárne fondy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Ostatné fondy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48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precenenia majetku a záväzkov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kapitálových účastín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48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Nerozdelený zisk minulých rokov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Neuhradená strata minulých rokov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495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Výsledok hospodárenia bežného účtovného obdobia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22 674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-1 643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22 674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-1 643</w:t>
            </w:r>
          </w:p>
        </w:tc>
      </w:tr>
      <w:tr>
        <w:trPr>
          <w:trHeight w:val="255" w:hRule="atLeast"/>
        </w:trPr>
        <w:tc>
          <w:tcPr>
            <w:tcW w:w="372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Vlastné imanie spolu</w:t>
            </w: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28 174</w:t>
            </w:r>
          </w:p>
        </w:tc>
        <w:tc>
          <w:tcPr>
            <w:tcW w:w="108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-1 643 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22 674</w:t>
            </w:r>
          </w:p>
        </w:tc>
        <w:tc>
          <w:tcPr>
            <w:tcW w:w="97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3 857</w:t>
            </w:r>
          </w:p>
        </w:tc>
      </w:tr>
    </w:tbl>
    <w:p>
      <w:pPr>
        <w:pStyle w:val="Odstavec"/>
        <w:rPr/>
      </w:pPr>
      <w:r>
        <w:rPr/>
      </w:r>
    </w:p>
    <w:p>
      <w:pPr>
        <w:pStyle w:val="Odstavec"/>
        <w:rPr/>
      </w:pPr>
      <w:bookmarkStart w:id="43" w:name="RANGE!B3:G19"/>
      <w:bookmarkStart w:id="44" w:name="FWT_T48a"/>
      <w:bookmarkEnd w:id="43"/>
      <w:bookmarkEnd w:id="44"/>
      <w:r>
        <w:rPr/>
        <w:t>Hodnota splateného základného imania k </w:t>
      </w:r>
      <w:r>
        <w:rPr>
          <w:lang w:val="en-US"/>
        </w:rPr>
        <w:t xml:space="preserve">31. decembru 2018 </w:t>
      </w:r>
      <w:r>
        <w:rPr/>
        <w:t xml:space="preserve">predstavuje 5 000 EUR. Úbytky vo výške 22 674 EUR predstavujú vyplatenie podielu na zisku predošlému konateľovi. </w:t>
      </w:r>
    </w:p>
    <w:p>
      <w:pPr>
        <w:pStyle w:val="Odstavec"/>
        <w:rPr>
          <w:highlight w:val="yellow"/>
        </w:rPr>
      </w:pPr>
      <w:r>
        <w:rPr>
          <w:highlight w:val="yellow"/>
        </w:rPr>
      </w:r>
    </w:p>
    <w:p>
      <w:pPr>
        <w:pStyle w:val="Odstavec"/>
        <w:rPr>
          <w:highlight w:val="yellow"/>
        </w:rPr>
      </w:pPr>
      <w:r>
        <w:rPr>
          <w:highlight w:val="yellow"/>
        </w:rPr>
      </w:r>
    </w:p>
    <w:p>
      <w:pPr>
        <w:pStyle w:val="Odstavec"/>
        <w:rPr/>
      </w:pPr>
      <w:r>
        <w:rPr/>
        <w:t>Prehľad pohybu vlastného imania za predchádzajúce obdobie je uvedený v nasledujúcich tabuľkách:</w:t>
      </w:r>
    </w:p>
    <w:p>
      <w:pPr>
        <w:pStyle w:val="Odstavec"/>
        <w:rPr>
          <w:highlight w:val="yellow"/>
        </w:rPr>
      </w:pPr>
      <w:r>
        <w:rPr>
          <w:highlight w:val="yellow"/>
        </w:rPr>
      </w:r>
    </w:p>
    <w:tbl>
      <w:tblPr>
        <w:tblW w:w="9128" w:type="dxa"/>
        <w:jc w:val="left"/>
        <w:tblInd w:w="547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06"/>
        <w:gridCol w:w="1078"/>
        <w:gridCol w:w="1079"/>
        <w:gridCol w:w="1078"/>
        <w:gridCol w:w="1079"/>
        <w:gridCol w:w="1107"/>
      </w:tblGrid>
      <w:tr>
        <w:trPr>
          <w:trHeight w:val="495" w:hRule="atLeast"/>
        </w:trPr>
        <w:tc>
          <w:tcPr>
            <w:tcW w:w="3706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Položka vlastného imania</w:t>
            </w:r>
          </w:p>
        </w:tc>
        <w:tc>
          <w:tcPr>
            <w:tcW w:w="1078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Stav k 1.1.2017</w:t>
            </w:r>
          </w:p>
        </w:tc>
        <w:tc>
          <w:tcPr>
            <w:tcW w:w="1079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 xml:space="preserve">Prírastky </w:t>
            </w:r>
          </w:p>
        </w:tc>
        <w:tc>
          <w:tcPr>
            <w:tcW w:w="1078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 xml:space="preserve">Úbytky </w:t>
            </w:r>
          </w:p>
        </w:tc>
        <w:tc>
          <w:tcPr>
            <w:tcW w:w="1079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107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Stav k 31.12.2017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5 000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5 000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Zmena základného imania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Pohľadávky za upísané vlastné imanie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Emisné ážio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Ostatné kapitálové fondy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Zákonný rezervný fond a nedeliteľný fond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500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500</w:t>
            </w:r>
          </w:p>
        </w:tc>
      </w:tr>
      <w:tr>
        <w:trPr>
          <w:trHeight w:val="48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Rezervný fond na vlastné akcie a vlastné podiely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Štatutárne fondy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Ostatné fondy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48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precenenia majetku a záväzkov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kapitálových účastín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554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23 100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23 100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Neuhradená strata minulých rokov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</w:tr>
      <w:tr>
        <w:trPr>
          <w:trHeight w:val="495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Výsledok hospodárenia bežného účtovného obdobia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20 925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22 674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20 425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eastAsia="en-US"/>
              </w:rPr>
              <w:t>-500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  <w:lang w:val="en-US" w:eastAsia="en-US"/>
              </w:rPr>
              <w:t>22 674</w:t>
            </w:r>
          </w:p>
        </w:tc>
      </w:tr>
      <w:tr>
        <w:trPr>
          <w:trHeight w:val="255" w:hRule="atLeast"/>
        </w:trPr>
        <w:tc>
          <w:tcPr>
            <w:tcW w:w="370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Vlastné imanie spolu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49 025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22 674</w:t>
            </w:r>
          </w:p>
        </w:tc>
        <w:tc>
          <w:tcPr>
            <w:tcW w:w="107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43 525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  <w:lang w:val="en-US" w:eastAsia="en-US"/>
              </w:rPr>
              <w:t>28 174</w:t>
            </w:r>
          </w:p>
        </w:tc>
      </w:tr>
    </w:tbl>
    <w:p>
      <w:pPr>
        <w:pStyle w:val="Odstavec"/>
        <w:rPr/>
      </w:pPr>
      <w:r>
        <w:rPr/>
        <w:t>Hodnota splateného základného imania k </w:t>
      </w:r>
      <w:r>
        <w:rPr>
          <w:lang w:val="en-US"/>
        </w:rPr>
        <w:t xml:space="preserve">31. decembru 2017 </w:t>
      </w:r>
      <w:r>
        <w:rPr/>
        <w:t xml:space="preserve">predstavuje 5 000 EUR. Úbytky vo výške 43 525 EUR predstavujú vyplatenie podielu na zisku konateľovi. 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Nadpis2"/>
        <w:numPr>
          <w:ilvl w:val="1"/>
          <w:numId w:val="5"/>
        </w:numPr>
        <w:rPr/>
      </w:pPr>
      <w:r>
        <w:rPr/>
        <w:t>Rozdelenie zisku za predchádzajúci rok 2017</w:t>
      </w:r>
    </w:p>
    <w:p>
      <w:pPr>
        <w:pStyle w:val="Odstavec"/>
        <w:rPr/>
      </w:pPr>
      <w:r>
        <w:rPr/>
        <w:t xml:space="preserve">Účtovný zisk za rok 2017 vo výške 22 674 EUR bol rozdelený nasledovne: </w:t>
      </w:r>
    </w:p>
    <w:p>
      <w:pPr>
        <w:pStyle w:val="Odstavec"/>
        <w:rPr/>
      </w:pPr>
      <w:r>
        <w:rPr/>
      </w:r>
    </w:p>
    <w:tbl>
      <w:tblPr>
        <w:tblW w:w="9240" w:type="dxa"/>
        <w:jc w:val="left"/>
        <w:tblInd w:w="426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35"/>
        <w:gridCol w:w="3204"/>
      </w:tblGrid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2017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20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22 674</w:t>
            </w:r>
          </w:p>
        </w:tc>
      </w:tr>
      <w:tr>
        <w:trPr>
          <w:trHeight w:val="240" w:hRule="atLeast"/>
        </w:trPr>
        <w:tc>
          <w:tcPr>
            <w:tcW w:w="603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2018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22 674</w:t>
            </w:r>
          </w:p>
        </w:tc>
      </w:tr>
      <w:tr>
        <w:trPr>
          <w:trHeight w:val="240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/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0</w:t>
            </w:r>
          </w:p>
        </w:tc>
      </w:tr>
      <w:tr>
        <w:trPr>
          <w:trHeight w:val="255" w:hRule="atLeast"/>
        </w:trPr>
        <w:tc>
          <w:tcPr>
            <w:tcW w:w="6035" w:type="dxa"/>
            <w:tcBorders/>
            <w:shd w:color="auto"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00000A"/>
              <w:bottom w:val="double" w:sz="6" w:space="0" w:color="00000A"/>
              <w:insideH w:val="double" w:sz="6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22 674</w:t>
            </w:r>
          </w:p>
        </w:tc>
      </w:tr>
    </w:tbl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</w:r>
    </w:p>
    <w:sectPr>
      <w:headerReference w:type="default" r:id="rId4"/>
      <w:type w:val="nextPage"/>
      <w:pgSz w:w="11906" w:h="16838"/>
      <w:pgMar w:left="1134" w:right="1134" w:header="709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Georgia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altName w:val="Bold"/>
    <w:charset w:val="ee"/>
    <w:family w:val="roman"/>
    <w:pitch w:val="variable"/>
  </w:font>
  <w:font w:name="Univers">
    <w:charset w:val="ee"/>
    <w:family w:val="roman"/>
    <w:pitch w:val="variable"/>
  </w:font>
  <w:font w:name="Courier New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778" w:type="dxa"/>
      <w:jc w:val="left"/>
      <w:tblInd w:w="0" w:type="dxa"/>
      <w:tblCellMar>
        <w:top w:w="0" w:type="dxa"/>
        <w:left w:w="14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259"/>
      <w:gridCol w:w="3259"/>
      <w:gridCol w:w="3260"/>
    </w:tblGrid>
    <w:tr>
      <w:trPr/>
      <w:tc>
        <w:tcPr>
          <w:tcW w:w="325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right" w:pos="9072" w:leader="none"/>
              <w:tab w:val="right" w:pos="9639" w:leader="none"/>
            </w:tabs>
            <w:ind w:right="-82" w:hanging="0"/>
            <w:rPr>
              <w:rFonts w:ascii="Arial" w:hAnsi="Arial" w:cs="Arial"/>
              <w:sz w:val="20"/>
              <w:szCs w:val="20"/>
            </w:rPr>
          </w:pPr>
          <w:bookmarkStart w:id="12" w:name="NotesHeading"/>
          <w:bookmarkEnd w:id="12"/>
          <w:r>
            <w:rPr>
              <w:rFonts w:cs="Arial" w:ascii="Arial" w:hAnsi="Arial"/>
              <w:sz w:val="20"/>
              <w:szCs w:val="20"/>
            </w:rPr>
            <w:t>Poznámky Úč POD 3-01</w:t>
          </w:r>
        </w:p>
      </w:tc>
      <w:tc>
        <w:tcPr>
          <w:tcW w:w="325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right" w:pos="9072" w:leader="none"/>
              <w:tab w:val="right" w:pos="9639" w:leader="none"/>
            </w:tabs>
            <w:ind w:right="-82" w:hanging="0"/>
            <w:rPr>
              <w:rFonts w:ascii="Arial" w:hAnsi="Arial" w:cs="Arial"/>
              <w:sz w:val="20"/>
              <w:szCs w:val="20"/>
            </w:rPr>
          </w:pPr>
          <w:r>
            <w:rPr>
              <w:rFonts w:cs="Arial" w:ascii="Arial" w:hAnsi="Arial"/>
              <w:sz w:val="20"/>
              <w:szCs w:val="20"/>
            </w:rPr>
          </w:r>
        </w:p>
      </w:tc>
      <w:tc>
        <w:tcPr>
          <w:tcW w:w="3260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right" w:pos="9072" w:leader="none"/>
              <w:tab w:val="right" w:pos="9639" w:leader="none"/>
            </w:tabs>
            <w:ind w:right="-82" w:hanging="0"/>
            <w:jc w:val="right"/>
            <w:rPr/>
          </w:pPr>
          <w:r>
            <w:rPr>
              <w:rFonts w:cs="Arial" w:ascii="Arial" w:hAnsi="Arial"/>
              <w:sz w:val="20"/>
              <w:szCs w:val="20"/>
            </w:rPr>
            <w:t>IČO: 47559365</w:t>
          </w:r>
        </w:p>
      </w:tc>
    </w:tr>
    <w:tr>
      <w:trPr/>
      <w:tc>
        <w:tcPr>
          <w:tcW w:w="3259" w:type="dxa"/>
          <w:tcBorders>
            <w:top w:val="nil"/>
            <w:left w:val="nil"/>
            <w:right w:val="nil"/>
            <w:insideV w:val="nil"/>
          </w:tcBorders>
          <w:shd w:color="auto" w:fill="auto" w:val="clear"/>
        </w:tcPr>
        <w:p>
          <w:pPr>
            <w:pStyle w:val="Hlavika"/>
            <w:ind w:right="-82" w:hanging="0"/>
            <w:jc w:val="both"/>
            <w:rPr/>
          </w:pPr>
          <w:r>
            <w:rPr>
              <w:rFonts w:cs="Arial" w:ascii="Arial" w:hAnsi="Arial"/>
              <w:sz w:val="20"/>
              <w:szCs w:val="20"/>
            </w:rPr>
            <w:t>Ambulancia MUDr. Eleny Szigetiovej s. r. o.</w:t>
          </w:r>
        </w:p>
      </w:tc>
      <w:tc>
        <w:tcPr>
          <w:tcW w:w="3259" w:type="dxa"/>
          <w:tcBorders>
            <w:top w:val="nil"/>
            <w:left w:val="nil"/>
            <w:right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right" w:pos="9072" w:leader="none"/>
              <w:tab w:val="right" w:pos="9639" w:leader="none"/>
            </w:tabs>
            <w:ind w:right="-82" w:hanging="0"/>
            <w:jc w:val="center"/>
            <w:rPr/>
          </w:pPr>
          <w:r>
            <w:rPr/>
            <w:fldChar w:fldCharType="begin"/>
          </w:r>
          <w:r>
            <w:instrText> PAGE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  <w:tc>
        <w:tcPr>
          <w:tcW w:w="3260" w:type="dxa"/>
          <w:tcBorders>
            <w:top w:val="nil"/>
            <w:left w:val="nil"/>
            <w:right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right" w:pos="9072" w:leader="none"/>
              <w:tab w:val="right" w:pos="9639" w:leader="none"/>
            </w:tabs>
            <w:ind w:right="-82" w:hanging="0"/>
            <w:jc w:val="right"/>
            <w:rPr/>
          </w:pPr>
          <w:r>
            <w:rPr>
              <w:rFonts w:cs="Arial" w:ascii="Arial" w:hAnsi="Arial"/>
              <w:sz w:val="20"/>
              <w:szCs w:val="20"/>
            </w:rPr>
            <w:t>DIČ: 2023991992</w:t>
          </w:r>
        </w:p>
      </w:tc>
    </w:tr>
  </w:tbl>
  <w:p>
    <w:pPr>
      <w:pStyle w:val="Hlavika"/>
      <w:tabs>
        <w:tab w:val="center" w:pos="4536" w:leader="none"/>
        <w:tab w:val="right" w:pos="9072" w:leader="none"/>
        <w:tab w:val="right" w:pos="9639" w:leader="none"/>
      </w:tabs>
      <w:ind w:right="-82" w:hanging="0"/>
      <w:rPr>
        <w:rFonts w:ascii="Georgia" w:hAnsi="Georgia" w:cs="Arial"/>
        <w:sz w:val="20"/>
        <w:szCs w:val="20"/>
      </w:rPr>
    </w:pPr>
    <w:r>
      <w:rPr>
        <w:rFonts w:cs="Arial" w:ascii="Georgia" w:hAnsi="Georgia"/>
        <w:sz w:val="20"/>
        <w:szCs w:val="20"/>
      </w:rPr>
      <w:tab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center" w:pos="4536" w:leader="none"/>
        <w:tab w:val="right" w:pos="9072" w:leader="none"/>
        <w:tab w:val="right" w:pos="9639" w:leader="none"/>
      </w:tabs>
      <w:ind w:right="-82" w:hanging="0"/>
      <w:rPr/>
    </w:pPr>
    <w:r>
      <w:rPr>
        <w:rFonts w:cs="Arial" w:ascii="Georgia" w:hAnsi="Georgia"/>
        <w:sz w:val="20"/>
        <w:szCs w:val="20"/>
      </w:rPr>
      <w:tab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center" w:pos="4536" w:leader="none"/>
        <w:tab w:val="right" w:pos="9072" w:leader="none"/>
        <w:tab w:val="right" w:pos="9639" w:leader="none"/>
      </w:tabs>
      <w:ind w:right="-82" w:hanging="0"/>
      <w:rPr/>
    </w:pPr>
    <w:r>
      <w:rPr>
        <w:rFonts w:cs="Arial" w:ascii="Georgia" w:hAnsi="Georgia"/>
        <w:sz w:val="20"/>
        <w:szCs w:val="20"/>
      </w:rPr>
      <w:tab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lvlText w:val="%1."/>
      <w:lvlJc w:val="left"/>
      <w:pPr>
        <w:ind w:left="1080" w:hanging="720"/>
      </w:pPr>
    </w:lvl>
    <w:lvl w:ilvl="1">
      <w:start w:val="1"/>
      <w:pStyle w:val="Nadpis2"/>
      <w:numFmt w:val="decimal"/>
      <w:lvlText w:val="%2."/>
      <w:lvlJc w:val="left"/>
      <w:pPr>
        <w:ind w:left="425" w:hanging="425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1417"/>
        </w:tabs>
        <w:ind w:left="1417" w:hanging="283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5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6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7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8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9"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  <w:rFonts w:cs="Symbol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  <w:rFonts w:cs="Wingdings"/>
      </w:rPr>
    </w:lvl>
  </w:abstractNum>
  <w:abstractNum w:abstractNumId="11"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12">
    <w:lvl w:ilvl="0">
      <w:start w:val="811"/>
      <w:numFmt w:val="bullet"/>
      <w:lvlText w:val="-"/>
      <w:lvlJc w:val="left"/>
      <w:pPr>
        <w:ind w:left="786" w:hanging="360"/>
      </w:pPr>
      <w:rPr>
        <w:rFonts w:ascii="Arial" w:hAnsi="Arial" w:cs="Arial" w:hint="default"/>
        <w:rFonts w:cs="Arial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</w:latentStyles>
  <w:style w:type="paragraph" w:styleId="Normal" w:default="1">
    <w:name w:val="Normal"/>
    <w:qFormat/>
    <w:rsid w:val="00166acb"/>
    <w:pPr>
      <w:widowControl/>
      <w:suppressAutoHyphens w:val="false"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adpis1">
    <w:name w:val="Heading 1"/>
    <w:basedOn w:val="Normal"/>
    <w:autoRedefine/>
    <w:qFormat/>
    <w:rsid w:val="00046f2d"/>
    <w:pPr>
      <w:numPr>
        <w:ilvl w:val="0"/>
        <w:numId w:val="1"/>
      </w:numPr>
      <w:suppressAutoHyphens w:val="true"/>
      <w:spacing w:before="60" w:after="240"/>
      <w:jc w:val="both"/>
      <w:outlineLvl w:val="0"/>
      <w:outlineLvl w:val="0"/>
    </w:pPr>
    <w:rPr>
      <w:rFonts w:cs="Arial"/>
      <w:b/>
      <w:bCs/>
      <w:sz w:val="22"/>
      <w:szCs w:val="22"/>
    </w:rPr>
  </w:style>
  <w:style w:type="paragraph" w:styleId="Nadpis2">
    <w:name w:val="Heading 2"/>
    <w:basedOn w:val="Normal"/>
    <w:link w:val="Nadpis2Char"/>
    <w:autoRedefine/>
    <w:qFormat/>
    <w:rsid w:val="00301988"/>
    <w:pPr>
      <w:numPr>
        <w:ilvl w:val="1"/>
        <w:numId w:val="1"/>
      </w:numPr>
      <w:suppressAutoHyphens w:val="true"/>
      <w:spacing w:before="60" w:after="240"/>
      <w:jc w:val="both"/>
      <w:outlineLvl w:val="1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al"/>
    <w:qFormat/>
    <w:rsid w:val="00316173"/>
    <w:pPr>
      <w:keepNext/>
      <w:tabs>
        <w:tab w:val="left" w:pos="426" w:leader="none"/>
      </w:tabs>
      <w:spacing w:lineRule="auto" w:line="360" w:before="0" w:after="300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al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al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al"/>
    <w:qFormat/>
    <w:rsid w:val="00316173"/>
    <w:pPr>
      <w:keepNext/>
      <w:ind w:left="426" w:hanging="0"/>
      <w:outlineLvl w:val="6"/>
    </w:pPr>
    <w:rPr>
      <w:b/>
      <w:sz w:val="20"/>
    </w:rPr>
  </w:style>
  <w:style w:type="paragraph" w:styleId="Nadpis8">
    <w:name w:val="Heading 8"/>
    <w:basedOn w:val="Normal"/>
    <w:qFormat/>
    <w:rsid w:val="00316173"/>
    <w:pPr>
      <w:keepNext/>
      <w:tabs>
        <w:tab w:val="left" w:pos="426" w:leader="none"/>
      </w:tabs>
      <w:spacing w:before="0" w:after="240"/>
      <w:ind w:left="426" w:hanging="426"/>
      <w:outlineLvl w:val="7"/>
    </w:pPr>
    <w:rPr>
      <w:b/>
      <w:sz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bb76bc"/>
    <w:rPr/>
  </w:style>
  <w:style w:type="character" w:styleId="Zvraznntun" w:customStyle="1">
    <w:name w:val="Zvýraznění tučné"/>
    <w:qFormat/>
    <w:rsid w:val="00316173"/>
    <w:rPr>
      <w:b/>
      <w:i/>
    </w:rPr>
  </w:style>
  <w:style w:type="character" w:styleId="OdstavecChar" w:customStyle="1">
    <w:name w:val="odstavec Char"/>
    <w:basedOn w:val="DefaultParagraphFont"/>
    <w:qFormat/>
    <w:rsid w:val="008a2f14"/>
    <w:rPr>
      <w:rFonts w:ascii="Arial" w:hAnsi="Arial" w:cs="Arial"/>
      <w:bCs/>
      <w:iCs/>
    </w:rPr>
  </w:style>
  <w:style w:type="character" w:styleId="ABCparagrahinNotesChar" w:customStyle="1">
    <w:name w:val="ABC - paragrah in Notes Char"/>
    <w:basedOn w:val="DefaultParagraphFont"/>
    <w:qFormat/>
    <w:rsid w:val="00b0184f"/>
    <w:rPr>
      <w:rFonts w:ascii="Arial" w:hAnsi="Arial"/>
      <w:sz w:val="18"/>
      <w:lang w:val="en-GB" w:eastAsia="en-US" w:bidi="ar-SA"/>
    </w:rPr>
  </w:style>
  <w:style w:type="character" w:styleId="Internetovodkaz" w:customStyle="1">
    <w:name w:val="Internetový odkaz"/>
    <w:basedOn w:val="DefaultParagraphFont"/>
    <w:rsid w:val="00fb6e9b"/>
    <w:rPr>
      <w:strike w:val="false"/>
      <w:dstrike w:val="false"/>
      <w:color w:val="F37421"/>
      <w:sz w:val="18"/>
      <w:szCs w:val="18"/>
      <w:u w:val="none"/>
      <w:effect w:val="none"/>
    </w:rPr>
  </w:style>
  <w:style w:type="character" w:styleId="Annotationreference">
    <w:name w:val="annotation reference"/>
    <w:basedOn w:val="DefaultParagraphFont"/>
    <w:qFormat/>
    <w:rsid w:val="00c10476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qFormat/>
    <w:rsid w:val="00c10476"/>
    <w:rPr/>
  </w:style>
  <w:style w:type="character" w:styleId="PredmetkomentraChar" w:customStyle="1">
    <w:name w:val="Predmet komentára Char"/>
    <w:basedOn w:val="TextkomentraChar"/>
    <w:link w:val="Predmetkomentra"/>
    <w:qFormat/>
    <w:rsid w:val="00c10476"/>
    <w:rPr>
      <w:b/>
      <w:bCs/>
    </w:rPr>
  </w:style>
  <w:style w:type="character" w:styleId="NzovChar" w:customStyle="1">
    <w:name w:val="Názov Char"/>
    <w:basedOn w:val="DefaultParagraphFont"/>
    <w:link w:val="Nzov"/>
    <w:uiPriority w:val="99"/>
    <w:qFormat/>
    <w:locked/>
    <w:rsid w:val="00c10476"/>
    <w:rPr>
      <w:rFonts w:cs="Arial"/>
      <w:b/>
      <w:bCs/>
      <w:sz w:val="24"/>
      <w:szCs w:val="32"/>
    </w:rPr>
  </w:style>
  <w:style w:type="character" w:styleId="TruktradokumentuChar" w:customStyle="1">
    <w:name w:val="Štruktúra dokumentu Char"/>
    <w:basedOn w:val="DefaultParagraphFont"/>
    <w:link w:val="truktradokumentu"/>
    <w:qFormat/>
    <w:rsid w:val="00a314c9"/>
    <w:rPr>
      <w:rFonts w:ascii="Tahoma" w:hAnsi="Tahoma" w:cs="Tahoma"/>
      <w:sz w:val="16"/>
      <w:szCs w:val="16"/>
    </w:rPr>
  </w:style>
  <w:style w:type="character" w:styleId="BodyChar" w:customStyle="1">
    <w:name w:val="body Char"/>
    <w:basedOn w:val="OdstavecChar"/>
    <w:qFormat/>
    <w:rsid w:val="00d949df"/>
    <w:rPr>
      <w:rFonts w:ascii="Georgia" w:hAnsi="Georgia" w:cs="Helv"/>
      <w:bCs/>
      <w:iCs/>
    </w:rPr>
  </w:style>
  <w:style w:type="character" w:styleId="Nadpis2Char" w:customStyle="1">
    <w:name w:val="Nadpis 2 Char"/>
    <w:basedOn w:val="DefaultParagraphFont"/>
    <w:link w:val="Nadpis2"/>
    <w:qFormat/>
    <w:rsid w:val="00301988"/>
    <w:rPr>
      <w:rFonts w:ascii="Arial" w:hAnsi="Arial" w:cs="Arial"/>
      <w:b/>
      <w:bCs/>
      <w:iCs/>
      <w:color w:val="00000A"/>
    </w:rPr>
  </w:style>
  <w:style w:type="character" w:styleId="Appleconvertedspace" w:customStyle="1">
    <w:name w:val="apple-converted-space"/>
    <w:basedOn w:val="DefaultParagraphFont"/>
    <w:qFormat/>
    <w:rsid w:val="004c287a"/>
    <w:rPr/>
  </w:style>
  <w:style w:type="character" w:styleId="ListLabel1" w:customStyle="1">
    <w:name w:val="ListLabel 1"/>
    <w:qFormat/>
    <w:rPr>
      <w:rFonts w:eastAsia="Times New Roman" w:cs="Helv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eastAsia="Times New Roman" w:cs="Arial"/>
    </w:rPr>
  </w:style>
  <w:style w:type="character" w:styleId="ListLabel9" w:customStyle="1">
    <w:name w:val="ListLabel 9"/>
    <w:qFormat/>
    <w:rPr>
      <w:rFonts w:cs="Courier New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Courier New"/>
    </w:rPr>
  </w:style>
  <w:style w:type="character" w:styleId="ListLabel12" w:customStyle="1">
    <w:name w:val="ListLabel 12"/>
    <w:qFormat/>
    <w:rPr>
      <w:rFonts w:eastAsia="Times New Roman" w:cs="Aria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cs="Courier New"/>
    </w:rPr>
  </w:style>
  <w:style w:type="character" w:styleId="Odrky" w:customStyle="1">
    <w:name w:val="Odrážky"/>
    <w:qFormat/>
    <w:rPr>
      <w:rFonts w:ascii="OpenSymbol" w:hAnsi="OpenSymbol" w:eastAsia="OpenSymbol" w:cs="OpenSymbol"/>
    </w:rPr>
  </w:style>
  <w:style w:type="character" w:styleId="ListLabel16" w:customStyle="1">
    <w:name w:val="ListLabel 16"/>
    <w:qFormat/>
    <w:rPr>
      <w:rFonts w:cs="Arial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Wingdings"/>
    </w:rPr>
  </w:style>
  <w:style w:type="character" w:styleId="ListLabel19" w:customStyle="1">
    <w:name w:val="ListLabel 19"/>
    <w:qFormat/>
    <w:rPr>
      <w:rFonts w:cs="Symbol"/>
    </w:rPr>
  </w:style>
  <w:style w:type="character" w:styleId="ListLabel20" w:customStyle="1">
    <w:name w:val="ListLabel 20"/>
    <w:qFormat/>
    <w:rPr>
      <w:rFonts w:cs="Courier New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Symbol"/>
    </w:rPr>
  </w:style>
  <w:style w:type="character" w:styleId="ListLabel23" w:customStyle="1">
    <w:name w:val="ListLabel 23"/>
    <w:qFormat/>
    <w:rPr>
      <w:rFonts w:cs="Courier New"/>
    </w:rPr>
  </w:style>
  <w:style w:type="character" w:styleId="ListLabel24" w:customStyle="1">
    <w:name w:val="ListLabel 24"/>
    <w:qFormat/>
    <w:rPr>
      <w:rFonts w:cs="Wingdings"/>
    </w:rPr>
  </w:style>
  <w:style w:type="character" w:styleId="ListLabel25" w:customStyle="1">
    <w:name w:val="ListLabel 25"/>
    <w:qFormat/>
    <w:rPr>
      <w:rFonts w:cs="Arial"/>
    </w:rPr>
  </w:style>
  <w:style w:type="character" w:styleId="ListLabel26" w:customStyle="1">
    <w:name w:val="ListLabel 26"/>
    <w:qFormat/>
    <w:rPr>
      <w:rFonts w:cs="Courier New"/>
    </w:rPr>
  </w:style>
  <w:style w:type="character" w:styleId="ListLabel27" w:customStyle="1">
    <w:name w:val="ListLabel 27"/>
    <w:qFormat/>
    <w:rPr>
      <w:rFonts w:cs="Wingdings"/>
    </w:rPr>
  </w:style>
  <w:style w:type="character" w:styleId="ListLabel28" w:customStyle="1">
    <w:name w:val="ListLabel 28"/>
    <w:qFormat/>
    <w:rPr>
      <w:rFonts w:cs="Symbol"/>
    </w:rPr>
  </w:style>
  <w:style w:type="character" w:styleId="ListLabel29" w:customStyle="1">
    <w:name w:val="ListLabel 29"/>
    <w:qFormat/>
    <w:rPr>
      <w:rFonts w:cs="Courier New"/>
    </w:rPr>
  </w:style>
  <w:style w:type="character" w:styleId="ListLabel30" w:customStyle="1">
    <w:name w:val="ListLabel 30"/>
    <w:qFormat/>
    <w:rPr>
      <w:rFonts w:cs="Wingdings"/>
    </w:rPr>
  </w:style>
  <w:style w:type="character" w:styleId="ListLabel31" w:customStyle="1">
    <w:name w:val="ListLabel 31"/>
    <w:qFormat/>
    <w:rPr>
      <w:rFonts w:cs="Symbol"/>
    </w:rPr>
  </w:style>
  <w:style w:type="character" w:styleId="ListLabel32" w:customStyle="1">
    <w:name w:val="ListLabel 32"/>
    <w:qFormat/>
    <w:rPr>
      <w:rFonts w:cs="Courier New"/>
    </w:rPr>
  </w:style>
  <w:style w:type="character" w:styleId="ListLabel33" w:customStyle="1">
    <w:name w:val="ListLabel 33"/>
    <w:qFormat/>
    <w:rPr>
      <w:rFonts w:cs="Wingdings"/>
    </w:rPr>
  </w:style>
  <w:style w:type="character" w:styleId="ListLabel34" w:customStyle="1">
    <w:name w:val="ListLabel 34"/>
    <w:qFormat/>
    <w:rPr>
      <w:rFonts w:cs="Arial"/>
    </w:rPr>
  </w:style>
  <w:style w:type="character" w:styleId="ListLabel35" w:customStyle="1">
    <w:name w:val="ListLabel 35"/>
    <w:qFormat/>
    <w:rPr>
      <w:rFonts w:cs="Courier New"/>
    </w:rPr>
  </w:style>
  <w:style w:type="character" w:styleId="ListLabel36" w:customStyle="1">
    <w:name w:val="ListLabel 36"/>
    <w:qFormat/>
    <w:rPr>
      <w:rFonts w:cs="Wingdings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Courier New"/>
    </w:rPr>
  </w:style>
  <w:style w:type="character" w:styleId="ListLabel39" w:customStyle="1">
    <w:name w:val="ListLabel 39"/>
    <w:qFormat/>
    <w:rPr>
      <w:rFonts w:cs="Wingdings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Courier New"/>
    </w:rPr>
  </w:style>
  <w:style w:type="character" w:styleId="ListLabel42" w:customStyle="1">
    <w:name w:val="ListLabel 42"/>
    <w:qFormat/>
    <w:rPr>
      <w:rFonts w:cs="Wingdings"/>
    </w:rPr>
  </w:style>
  <w:style w:type="character" w:styleId="ListLabel43" w:customStyle="1">
    <w:name w:val="ListLabel 43"/>
    <w:qFormat/>
    <w:rPr>
      <w:rFonts w:cs="Arial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Ra" w:customStyle="1">
    <w:name w:val="ra"/>
    <w:basedOn w:val="DefaultParagraphFont"/>
    <w:qFormat/>
    <w:rsid w:val="004145bf"/>
    <w:rPr/>
  </w:style>
  <w:style w:type="character" w:styleId="ListLabel52" w:customStyle="1">
    <w:name w:val="ListLabel 52"/>
    <w:qFormat/>
    <w:rPr>
      <w:rFonts w:cs="Aria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Aria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</w:rPr>
  </w:style>
  <w:style w:type="character" w:styleId="ListLabel71" w:customStyle="1">
    <w:name w:val="ListLabel 71"/>
    <w:qFormat/>
    <w:rPr>
      <w:rFonts w:cs="Courier New"/>
    </w:rPr>
  </w:style>
  <w:style w:type="character" w:styleId="ListLabel72" w:customStyle="1">
    <w:name w:val="ListLabel 72"/>
    <w:qFormat/>
    <w:rPr>
      <w:rFonts w:cs="Wingdings"/>
    </w:rPr>
  </w:style>
  <w:style w:type="character" w:styleId="ListLabel73" w:customStyle="1">
    <w:name w:val="ListLabel 73"/>
    <w:qFormat/>
    <w:rPr>
      <w:rFonts w:cs="Symbol"/>
    </w:rPr>
  </w:style>
  <w:style w:type="character" w:styleId="ListLabel74" w:customStyle="1">
    <w:name w:val="ListLabel 74"/>
    <w:qFormat/>
    <w:rPr>
      <w:rFonts w:cs="Courier New"/>
    </w:rPr>
  </w:style>
  <w:style w:type="character" w:styleId="ListLabel75" w:customStyle="1">
    <w:name w:val="ListLabel 75"/>
    <w:qFormat/>
    <w:rPr>
      <w:rFonts w:cs="Wingdings"/>
    </w:rPr>
  </w:style>
  <w:style w:type="character" w:styleId="ListLabel76" w:customStyle="1">
    <w:name w:val="ListLabel 76"/>
    <w:qFormat/>
    <w:rPr>
      <w:rFonts w:cs="Symbol"/>
    </w:rPr>
  </w:style>
  <w:style w:type="character" w:styleId="ListLabel77" w:customStyle="1">
    <w:name w:val="ListLabel 77"/>
    <w:qFormat/>
    <w:rPr>
      <w:rFonts w:cs="Courier New"/>
    </w:rPr>
  </w:style>
  <w:style w:type="character" w:styleId="ListLabel78" w:customStyle="1">
    <w:name w:val="ListLabel 78"/>
    <w:qFormat/>
    <w:rPr>
      <w:rFonts w:cs="Wingdings"/>
    </w:rPr>
  </w:style>
  <w:style w:type="character" w:styleId="ListLabel79" w:customStyle="1">
    <w:name w:val="ListLabel 79"/>
    <w:qFormat/>
    <w:rPr>
      <w:rFonts w:cs="Arial"/>
    </w:rPr>
  </w:style>
  <w:style w:type="character" w:styleId="ListLabel80" w:customStyle="1">
    <w:name w:val="ListLabel 80"/>
    <w:qFormat/>
    <w:rPr>
      <w:rFonts w:cs="Courier New"/>
    </w:rPr>
  </w:style>
  <w:style w:type="character" w:styleId="ListLabel81" w:customStyle="1">
    <w:name w:val="ListLabel 81"/>
    <w:qFormat/>
    <w:rPr>
      <w:rFonts w:cs="Wingdings"/>
    </w:rPr>
  </w:style>
  <w:style w:type="character" w:styleId="ListLabel82" w:customStyle="1">
    <w:name w:val="ListLabel 82"/>
    <w:qFormat/>
    <w:rPr>
      <w:rFonts w:cs="Symbol"/>
    </w:rPr>
  </w:style>
  <w:style w:type="character" w:styleId="ListLabel83" w:customStyle="1">
    <w:name w:val="ListLabel 83"/>
    <w:qFormat/>
    <w:rPr>
      <w:rFonts w:cs="Courier New"/>
    </w:rPr>
  </w:style>
  <w:style w:type="character" w:styleId="ListLabel84" w:customStyle="1">
    <w:name w:val="ListLabel 84"/>
    <w:qFormat/>
    <w:rPr>
      <w:rFonts w:cs="Wingdings"/>
    </w:rPr>
  </w:style>
  <w:style w:type="character" w:styleId="ListLabel85" w:customStyle="1">
    <w:name w:val="ListLabel 85"/>
    <w:qFormat/>
    <w:rPr>
      <w:rFonts w:cs="Symbol"/>
    </w:rPr>
  </w:style>
  <w:style w:type="character" w:styleId="ListLabel86" w:customStyle="1">
    <w:name w:val="ListLabel 86"/>
    <w:qFormat/>
    <w:rPr>
      <w:rFonts w:cs="Courier New"/>
    </w:rPr>
  </w:style>
  <w:style w:type="character" w:styleId="ListLabel87" w:customStyle="1">
    <w:name w:val="ListLabel 87"/>
    <w:qFormat/>
    <w:rPr>
      <w:rFonts w:cs="Wingdings"/>
    </w:rPr>
  </w:style>
  <w:style w:type="character" w:styleId="ListLabel88" w:customStyle="1">
    <w:name w:val="ListLabel 88"/>
    <w:qFormat/>
    <w:rPr>
      <w:rFonts w:cs="Arial"/>
    </w:rPr>
  </w:style>
  <w:style w:type="character" w:styleId="ListLabel89" w:customStyle="1">
    <w:name w:val="ListLabel 89"/>
    <w:qFormat/>
    <w:rPr>
      <w:rFonts w:cs="Courier New"/>
    </w:rPr>
  </w:style>
  <w:style w:type="character" w:styleId="ListLabel90" w:customStyle="1">
    <w:name w:val="ListLabel 90"/>
    <w:qFormat/>
    <w:rPr>
      <w:rFonts w:cs="Wingdings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Courier New"/>
    </w:rPr>
  </w:style>
  <w:style w:type="character" w:styleId="ListLabel93" w:customStyle="1">
    <w:name w:val="ListLabel 93"/>
    <w:qFormat/>
    <w:rPr>
      <w:rFonts w:cs="Wingdings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Courier New"/>
    </w:rPr>
  </w:style>
  <w:style w:type="character" w:styleId="ListLabel96" w:customStyle="1">
    <w:name w:val="ListLabel 96"/>
    <w:qFormat/>
    <w:rPr>
      <w:rFonts w:cs="Wingdings"/>
    </w:rPr>
  </w:style>
  <w:style w:type="character" w:styleId="ListLabel97" w:customStyle="1">
    <w:name w:val="ListLabel 97"/>
    <w:qFormat/>
    <w:rPr>
      <w:rFonts w:cs="Arial"/>
    </w:rPr>
  </w:style>
  <w:style w:type="character" w:styleId="ListLabel98" w:customStyle="1">
    <w:name w:val="ListLabel 98"/>
    <w:qFormat/>
    <w:rPr>
      <w:rFonts w:cs="Courier New"/>
    </w:rPr>
  </w:style>
  <w:style w:type="character" w:styleId="ListLabel99" w:customStyle="1">
    <w:name w:val="ListLabel 99"/>
    <w:qFormat/>
    <w:rPr>
      <w:rFonts w:cs="Wingdings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Courier New"/>
    </w:rPr>
  </w:style>
  <w:style w:type="character" w:styleId="ListLabel102" w:customStyle="1">
    <w:name w:val="ListLabel 102"/>
    <w:qFormat/>
    <w:rPr>
      <w:rFonts w:cs="Wingdings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Courier New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>
    <w:name w:val="ListLabel 106"/>
    <w:qFormat/>
    <w:rPr>
      <w:rFonts w:cs="Arial"/>
    </w:rPr>
  </w:style>
  <w:style w:type="character" w:styleId="ListLabel107">
    <w:name w:val="ListLabel 107"/>
    <w:qFormat/>
    <w:rPr>
      <w:rFonts w:cs="Courier New"/>
    </w:rPr>
  </w:style>
  <w:style w:type="character" w:styleId="ListLabel108">
    <w:name w:val="ListLabel 108"/>
    <w:qFormat/>
    <w:rPr>
      <w:rFonts w:cs="Wingdings"/>
    </w:rPr>
  </w:style>
  <w:style w:type="character" w:styleId="ListLabel109">
    <w:name w:val="ListLabel 109"/>
    <w:qFormat/>
    <w:rPr>
      <w:rFonts w:cs="Symbol"/>
    </w:rPr>
  </w:style>
  <w:style w:type="character" w:styleId="ListLabel110">
    <w:name w:val="ListLabel 110"/>
    <w:qFormat/>
    <w:rPr>
      <w:rFonts w:cs="Courier New"/>
    </w:rPr>
  </w:style>
  <w:style w:type="character" w:styleId="ListLabel111">
    <w:name w:val="ListLabel 111"/>
    <w:qFormat/>
    <w:rPr>
      <w:rFonts w:cs="Wingdings"/>
    </w:rPr>
  </w:style>
  <w:style w:type="character" w:styleId="ListLabel112">
    <w:name w:val="ListLabel 112"/>
    <w:qFormat/>
    <w:rPr>
      <w:rFonts w:cs="Symbol"/>
    </w:rPr>
  </w:style>
  <w:style w:type="character" w:styleId="ListLabel113">
    <w:name w:val="ListLabel 113"/>
    <w:qFormat/>
    <w:rPr>
      <w:rFonts w:cs="Courier New"/>
    </w:rPr>
  </w:style>
  <w:style w:type="character" w:styleId="ListLabel114">
    <w:name w:val="ListLabel 114"/>
    <w:qFormat/>
    <w:rPr>
      <w:rFonts w:cs="Wingdings"/>
    </w:rPr>
  </w:style>
  <w:style w:type="character" w:styleId="ListLabel115">
    <w:name w:val="ListLabel 115"/>
    <w:qFormat/>
    <w:rPr>
      <w:rFonts w:cs="Arial"/>
    </w:rPr>
  </w:style>
  <w:style w:type="character" w:styleId="ListLabel116">
    <w:name w:val="ListLabel 116"/>
    <w:qFormat/>
    <w:rPr>
      <w:rFonts w:cs="Courier New"/>
    </w:rPr>
  </w:style>
  <w:style w:type="character" w:styleId="ListLabel117">
    <w:name w:val="ListLabel 117"/>
    <w:qFormat/>
    <w:rPr>
      <w:rFonts w:cs="Wingdings"/>
    </w:rPr>
  </w:style>
  <w:style w:type="character" w:styleId="ListLabel118">
    <w:name w:val="ListLabel 118"/>
    <w:qFormat/>
    <w:rPr>
      <w:rFonts w:cs="Symbol"/>
    </w:rPr>
  </w:style>
  <w:style w:type="character" w:styleId="ListLabel119">
    <w:name w:val="ListLabel 119"/>
    <w:qFormat/>
    <w:rPr>
      <w:rFonts w:cs="Courier New"/>
    </w:rPr>
  </w:style>
  <w:style w:type="character" w:styleId="ListLabel120">
    <w:name w:val="ListLabel 120"/>
    <w:qFormat/>
    <w:rPr>
      <w:rFonts w:cs="Wingdings"/>
    </w:rPr>
  </w:style>
  <w:style w:type="character" w:styleId="ListLabel121">
    <w:name w:val="ListLabel 121"/>
    <w:qFormat/>
    <w:rPr>
      <w:rFonts w:cs="Symbol"/>
    </w:rPr>
  </w:style>
  <w:style w:type="character" w:styleId="ListLabel122">
    <w:name w:val="ListLabel 122"/>
    <w:qFormat/>
    <w:rPr>
      <w:rFonts w:cs="Courier New"/>
    </w:rPr>
  </w:style>
  <w:style w:type="character" w:styleId="ListLabel123">
    <w:name w:val="ListLabel 123"/>
    <w:qFormat/>
    <w:rPr>
      <w:rFonts w:cs="Wingdings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Courier New"/>
    </w:rPr>
  </w:style>
  <w:style w:type="character" w:styleId="ListLabel126">
    <w:name w:val="ListLabel 126"/>
    <w:qFormat/>
    <w:rPr>
      <w:rFonts w:cs="Courier New"/>
    </w:rPr>
  </w:style>
  <w:style w:type="character" w:styleId="ListLabel127">
    <w:name w:val="ListLabel 127"/>
    <w:qFormat/>
    <w:rPr>
      <w:rFonts w:eastAsia="Times New Roman" w:cs="Arial"/>
    </w:rPr>
  </w:style>
  <w:style w:type="character" w:styleId="ListLabel128">
    <w:name w:val="ListLabel 128"/>
    <w:qFormat/>
    <w:rPr>
      <w:rFonts w:cs="Courier New"/>
    </w:rPr>
  </w:style>
  <w:style w:type="character" w:styleId="ListLabel129">
    <w:name w:val="ListLabel 129"/>
    <w:qFormat/>
    <w:rPr>
      <w:rFonts w:cs="Courier New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Symbol"/>
    </w:rPr>
  </w:style>
  <w:style w:type="character" w:styleId="ListLabel132">
    <w:name w:val="ListLabel 132"/>
    <w:qFormat/>
    <w:rPr>
      <w:rFonts w:cs="Courier New"/>
    </w:rPr>
  </w:style>
  <w:style w:type="character" w:styleId="ListLabel133">
    <w:name w:val="ListLabel 133"/>
    <w:qFormat/>
    <w:rPr>
      <w:rFonts w:cs="Wingdings"/>
    </w:rPr>
  </w:style>
  <w:style w:type="character" w:styleId="ListLabel134">
    <w:name w:val="ListLabel 134"/>
    <w:qFormat/>
    <w:rPr>
      <w:rFonts w:cs="Symbol"/>
    </w:rPr>
  </w:style>
  <w:style w:type="character" w:styleId="ListLabel135">
    <w:name w:val="ListLabel 135"/>
    <w:qFormat/>
    <w:rPr>
      <w:rFonts w:cs="Courier New"/>
    </w:rPr>
  </w:style>
  <w:style w:type="character" w:styleId="ListLabel136">
    <w:name w:val="ListLabel 136"/>
    <w:qFormat/>
    <w:rPr>
      <w:rFonts w:cs="Wingdings"/>
    </w:rPr>
  </w:style>
  <w:style w:type="character" w:styleId="ListLabel137">
    <w:name w:val="ListLabel 137"/>
    <w:qFormat/>
    <w:rPr>
      <w:rFonts w:cs="Symbol"/>
    </w:rPr>
  </w:style>
  <w:style w:type="character" w:styleId="ListLabel138">
    <w:name w:val="ListLabel 138"/>
    <w:qFormat/>
    <w:rPr>
      <w:rFonts w:cs="Courier New"/>
    </w:rPr>
  </w:style>
  <w:style w:type="character" w:styleId="ListLabel139">
    <w:name w:val="ListLabel 139"/>
    <w:qFormat/>
    <w:rPr>
      <w:rFonts w:cs="Wingdings"/>
    </w:rPr>
  </w:style>
  <w:style w:type="character" w:styleId="ListLabel140">
    <w:name w:val="ListLabel 140"/>
    <w:qFormat/>
    <w:rPr>
      <w:rFonts w:cs="Arial"/>
    </w:rPr>
  </w:style>
  <w:style w:type="character" w:styleId="ListLabel141">
    <w:name w:val="ListLabel 141"/>
    <w:qFormat/>
    <w:rPr>
      <w:rFonts w:cs="Courier New"/>
    </w:rPr>
  </w:style>
  <w:style w:type="character" w:styleId="ListLabel142">
    <w:name w:val="ListLabel 142"/>
    <w:qFormat/>
    <w:rPr>
      <w:rFonts w:cs="Wingdings"/>
    </w:rPr>
  </w:style>
  <w:style w:type="character" w:styleId="ListLabel143">
    <w:name w:val="ListLabel 143"/>
    <w:qFormat/>
    <w:rPr>
      <w:rFonts w:cs="Symbol"/>
    </w:rPr>
  </w:style>
  <w:style w:type="character" w:styleId="ListLabel144">
    <w:name w:val="ListLabel 144"/>
    <w:qFormat/>
    <w:rPr>
      <w:rFonts w:cs="Courier New"/>
    </w:rPr>
  </w:style>
  <w:style w:type="character" w:styleId="ListLabel145">
    <w:name w:val="ListLabel 145"/>
    <w:qFormat/>
    <w:rPr>
      <w:rFonts w:cs="Wingdings"/>
    </w:rPr>
  </w:style>
  <w:style w:type="character" w:styleId="ListLabel146">
    <w:name w:val="ListLabel 146"/>
    <w:qFormat/>
    <w:rPr>
      <w:rFonts w:cs="Symbol"/>
    </w:rPr>
  </w:style>
  <w:style w:type="character" w:styleId="ListLabel147">
    <w:name w:val="ListLabel 147"/>
    <w:qFormat/>
    <w:rPr>
      <w:rFonts w:cs="Courier New"/>
    </w:rPr>
  </w:style>
  <w:style w:type="character" w:styleId="ListLabel148">
    <w:name w:val="ListLabel 148"/>
    <w:qFormat/>
    <w:rPr>
      <w:rFonts w:cs="Wingdings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rsid w:val="00316173"/>
    <w:pPr>
      <w:spacing w:before="0" w:after="120"/>
    </w:pPr>
    <w:rPr/>
  </w:style>
  <w:style w:type="paragraph" w:styleId="Zoznam">
    <w:name w:val="List"/>
    <w:basedOn w:val="Normal"/>
    <w:rsid w:val="00316173"/>
    <w:pPr>
      <w:ind w:left="283" w:hanging="283"/>
    </w:pPr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Heading91" w:customStyle="1">
    <w:name w:val="Heading 91"/>
    <w:basedOn w:val="Nadpis8"/>
    <w:autoRedefine/>
    <w:qFormat/>
    <w:rsid w:val="00316173"/>
    <w:pPr/>
    <w:rPr/>
  </w:style>
  <w:style w:type="paragraph" w:styleId="Hlavika">
    <w:name w:val="Header"/>
    <w:basedOn w:val="Normal"/>
    <w:rsid w:val="00bb76bc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rsid w:val="00bb76bc"/>
    <w:pPr>
      <w:tabs>
        <w:tab w:val="center" w:pos="4536" w:leader="none"/>
        <w:tab w:val="right" w:pos="9072" w:leader="none"/>
      </w:tabs>
    </w:pPr>
    <w:rPr/>
  </w:style>
  <w:style w:type="paragraph" w:styleId="1Heading" w:customStyle="1">
    <w:name w:val="1 Heading"/>
    <w:basedOn w:val="Normal"/>
    <w:autoRedefine/>
    <w:qFormat/>
    <w:rsid w:val="00bb76bc"/>
    <w:pPr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styleId="Odst" w:customStyle="1">
    <w:name w:val="odst"/>
    <w:basedOn w:val="Normal"/>
    <w:qFormat/>
    <w:rsid w:val="001a02bf"/>
    <w:pPr/>
    <w:rPr>
      <w:lang w:val="en-GB"/>
    </w:rPr>
  </w:style>
  <w:style w:type="paragraph" w:styleId="Odstavec" w:customStyle="1">
    <w:name w:val="odstavec"/>
    <w:basedOn w:val="Normal"/>
    <w:autoRedefine/>
    <w:qFormat/>
    <w:rsid w:val="008a2f14"/>
    <w:pPr>
      <w:suppressAutoHyphens w:val="true"/>
      <w:ind w:left="426" w:hanging="0"/>
      <w:jc w:val="both"/>
    </w:pPr>
    <w:rPr>
      <w:rFonts w:ascii="Arial" w:hAnsi="Arial" w:cs="Arial"/>
      <w:bCs/>
      <w:iCs/>
      <w:sz w:val="20"/>
      <w:szCs w:val="20"/>
    </w:rPr>
  </w:style>
  <w:style w:type="paragraph" w:styleId="Lines" w:customStyle="1">
    <w:name w:val="line s"/>
    <w:basedOn w:val="Normal"/>
    <w:autoRedefine/>
    <w:qFormat/>
    <w:rsid w:val="00dd1079"/>
    <w:pPr>
      <w:pBdr>
        <w:bottom w:val="single" w:sz="4" w:space="1" w:color="00000A"/>
      </w:pBdr>
      <w:ind w:left="113" w:right="57" w:hanging="0"/>
      <w:jc w:val="right"/>
    </w:pPr>
    <w:rPr>
      <w:bCs/>
      <w:sz w:val="20"/>
      <w:szCs w:val="20"/>
    </w:rPr>
  </w:style>
  <w:style w:type="paragraph" w:styleId="Lined" w:customStyle="1">
    <w:name w:val="line d"/>
    <w:basedOn w:val="Normal"/>
    <w:autoRedefine/>
    <w:qFormat/>
    <w:rsid w:val="00dd1079"/>
    <w:pPr>
      <w:pBdr>
        <w:bottom w:val="double" w:sz="4" w:space="1" w:color="00000A"/>
      </w:pBdr>
      <w:ind w:left="113" w:right="57" w:hanging="0"/>
      <w:jc w:val="right"/>
    </w:pPr>
    <w:rPr>
      <w:b/>
      <w:sz w:val="20"/>
      <w:szCs w:val="20"/>
    </w:rPr>
  </w:style>
  <w:style w:type="paragraph" w:styleId="Abc" w:customStyle="1">
    <w:name w:val="abc"/>
    <w:basedOn w:val="Normal"/>
    <w:autoRedefine/>
    <w:qFormat/>
    <w:rsid w:val="00117013"/>
    <w:pPr>
      <w:tabs>
        <w:tab w:val="left" w:pos="450" w:leader="none"/>
      </w:tabs>
      <w:suppressAutoHyphens w:val="true"/>
      <w:spacing w:before="60" w:after="120"/>
      <w:ind w:left="454" w:hanging="397"/>
    </w:pPr>
    <w:rPr>
      <w:rFonts w:ascii="Arial" w:hAnsi="Arial" w:cs="Arial"/>
      <w:b/>
      <w:sz w:val="20"/>
      <w:szCs w:val="20"/>
    </w:rPr>
  </w:style>
  <w:style w:type="paragraph" w:styleId="ListBullet3">
    <w:name w:val="List Bullet 3"/>
    <w:basedOn w:val="Normal"/>
    <w:qFormat/>
    <w:rsid w:val="00316173"/>
    <w:pPr>
      <w:ind w:left="849" w:hanging="283"/>
    </w:pPr>
    <w:rPr/>
  </w:style>
  <w:style w:type="paragraph" w:styleId="Clanok" w:customStyle="1">
    <w:name w:val="Clanok"/>
    <w:basedOn w:val="Normal"/>
    <w:qFormat/>
    <w:rsid w:val="00316173"/>
    <w:pPr>
      <w:suppressAutoHyphens w:val="true"/>
      <w:spacing w:lineRule="atLeast" w:line="240" w:before="120" w:after="0"/>
      <w:jc w:val="center"/>
    </w:pPr>
    <w:rPr>
      <w:b/>
      <w:i/>
    </w:rPr>
  </w:style>
  <w:style w:type="paragraph" w:styleId="Anonie" w:customStyle="1">
    <w:name w:val="Ano_nie"/>
    <w:basedOn w:val="Normal"/>
    <w:qFormat/>
    <w:rsid w:val="00316173"/>
    <w:pPr>
      <w:widowControl w:val="false"/>
      <w:shd w:val="pct10" w:color="auto" w:fill="auto"/>
      <w:spacing w:lineRule="auto" w:line="360" w:before="120" w:after="120"/>
      <w:jc w:val="right"/>
    </w:pPr>
    <w:rPr>
      <w:b/>
      <w:color w:val="000000"/>
    </w:rPr>
  </w:style>
  <w:style w:type="paragraph" w:styleId="ListBullet4">
    <w:name w:val="List Bullet 4"/>
    <w:basedOn w:val="Normal"/>
    <w:qFormat/>
    <w:rsid w:val="00316173"/>
    <w:pPr>
      <w:ind w:left="1132" w:hanging="283"/>
    </w:pPr>
    <w:rPr/>
  </w:style>
  <w:style w:type="paragraph" w:styleId="ListBullet5">
    <w:name w:val="List Bullet 5"/>
    <w:basedOn w:val="Normal"/>
    <w:qFormat/>
    <w:rsid w:val="00316173"/>
    <w:pPr>
      <w:ind w:left="1132" w:hanging="283"/>
    </w:pPr>
    <w:rPr/>
  </w:style>
  <w:style w:type="paragraph" w:styleId="ListNumber">
    <w:name w:val="List Number"/>
    <w:basedOn w:val="Normal"/>
    <w:qFormat/>
    <w:rsid w:val="00316173"/>
    <w:pPr>
      <w:ind w:left="1415" w:hanging="283"/>
    </w:pPr>
    <w:rPr/>
  </w:style>
  <w:style w:type="paragraph" w:styleId="ListBullet2">
    <w:name w:val="List Bullet 2"/>
    <w:basedOn w:val="Normal"/>
    <w:qFormat/>
    <w:rsid w:val="00316173"/>
    <w:pPr>
      <w:ind w:left="454" w:hanging="170"/>
    </w:pPr>
    <w:rPr/>
  </w:style>
  <w:style w:type="paragraph" w:styleId="Dotabulky" w:customStyle="1">
    <w:name w:val="do tabulky"/>
    <w:basedOn w:val="Telotextu"/>
    <w:qFormat/>
    <w:rsid w:val="00316173"/>
    <w:pPr>
      <w:spacing w:before="40" w:after="0"/>
    </w:pPr>
    <w:rPr/>
  </w:style>
  <w:style w:type="paragraph" w:styleId="Tunstred" w:customStyle="1">
    <w:name w:val="Tučný stred"/>
    <w:basedOn w:val="Normal"/>
    <w:qFormat/>
    <w:rsid w:val="00316173"/>
    <w:pPr>
      <w:spacing w:before="60" w:after="0"/>
      <w:jc w:val="center"/>
    </w:pPr>
    <w:rPr>
      <w:b/>
      <w:sz w:val="20"/>
    </w:rPr>
  </w:style>
  <w:style w:type="paragraph" w:styleId="Odsadenietelatextu">
    <w:name w:val="Body Text Indent"/>
    <w:basedOn w:val="Normal"/>
    <w:rsid w:val="00316173"/>
    <w:pPr>
      <w:spacing w:before="0" w:after="120"/>
      <w:ind w:left="283" w:hanging="0"/>
    </w:pPr>
    <w:rPr/>
  </w:style>
  <w:style w:type="paragraph" w:styleId="Dotabulky2" w:customStyle="1">
    <w:name w:val="do tabulky 2"/>
    <w:basedOn w:val="Dotabulky"/>
    <w:qFormat/>
    <w:rsid w:val="00316173"/>
    <w:pPr/>
    <w:rPr>
      <w:b/>
      <w:sz w:val="22"/>
    </w:rPr>
  </w:style>
  <w:style w:type="paragraph" w:styleId="BodyTextIndent2">
    <w:name w:val="Body Text Indent 2"/>
    <w:basedOn w:val="Normal"/>
    <w:qFormat/>
    <w:rsid w:val="00316173"/>
    <w:pPr>
      <w:spacing w:before="60" w:after="0"/>
      <w:ind w:firstLine="720"/>
    </w:pPr>
    <w:rPr/>
  </w:style>
  <w:style w:type="paragraph" w:styleId="BodyText2">
    <w:name w:val="Body Text 2"/>
    <w:basedOn w:val="Normal"/>
    <w:qFormat/>
    <w:rsid w:val="00316173"/>
    <w:pPr/>
    <w:rPr>
      <w:b/>
      <w:sz w:val="28"/>
    </w:rPr>
  </w:style>
  <w:style w:type="paragraph" w:styleId="BodyTextIndent3">
    <w:name w:val="Body Text Indent 3"/>
    <w:basedOn w:val="Normal"/>
    <w:qFormat/>
    <w:rsid w:val="00316173"/>
    <w:pPr>
      <w:ind w:firstLine="720"/>
      <w:jc w:val="both"/>
    </w:pPr>
    <w:rPr/>
  </w:style>
  <w:style w:type="paragraph" w:styleId="BodyText3">
    <w:name w:val="Body Text 3"/>
    <w:basedOn w:val="Normal"/>
    <w:qFormat/>
    <w:rsid w:val="00316173"/>
    <w:pPr>
      <w:spacing w:before="0" w:after="120"/>
    </w:pPr>
    <w:rPr>
      <w:sz w:val="16"/>
      <w:szCs w:val="16"/>
    </w:rPr>
  </w:style>
  <w:style w:type="paragraph" w:styleId="Lines1" w:customStyle="1">
    <w:name w:val="line_s"/>
    <w:basedOn w:val="Normal"/>
    <w:autoRedefine/>
    <w:qFormat/>
    <w:rsid w:val="00316173"/>
    <w:pPr>
      <w:pBdr>
        <w:bottom w:val="single" w:sz="4" w:space="1" w:color="00000A"/>
      </w:pBdr>
      <w:spacing w:before="0" w:after="60"/>
      <w:jc w:val="center"/>
    </w:pPr>
    <w:rPr>
      <w:sz w:val="20"/>
    </w:rPr>
  </w:style>
  <w:style w:type="paragraph" w:styleId="Lined1" w:customStyle="1">
    <w:name w:val="line_d"/>
    <w:basedOn w:val="Normal"/>
    <w:autoRedefine/>
    <w:qFormat/>
    <w:rsid w:val="00316173"/>
    <w:pPr>
      <w:pBdr>
        <w:bottom w:val="double" w:sz="4" w:space="1" w:color="00000A"/>
      </w:pBdr>
      <w:spacing w:before="0" w:after="60"/>
      <w:jc w:val="center"/>
    </w:pPr>
    <w:rPr>
      <w:b/>
      <w:sz w:val="20"/>
    </w:rPr>
  </w:style>
  <w:style w:type="paragraph" w:styleId="2Heading" w:customStyle="1">
    <w:name w:val="2 Heading"/>
    <w:basedOn w:val="Normal"/>
    <w:autoRedefine/>
    <w:qFormat/>
    <w:rsid w:val="00316173"/>
    <w:pPr>
      <w:tabs>
        <w:tab w:val="left" w:pos="414" w:leader="none"/>
      </w:tabs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styleId="3Heading" w:customStyle="1">
    <w:name w:val="3 Heading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I" w:customStyle="1">
    <w:name w:val="i"/>
    <w:basedOn w:val="Normal"/>
    <w:autoRedefine/>
    <w:qFormat/>
    <w:rsid w:val="00316173"/>
    <w:pPr>
      <w:tabs>
        <w:tab w:val="left" w:pos="567" w:leader="none"/>
      </w:tabs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31" w:customStyle="1">
    <w:name w:val="3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styleId="311" w:customStyle="1">
    <w:name w:val="3.1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321" w:customStyle="1">
    <w:name w:val="3.2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41" w:customStyle="1">
    <w:name w:val="4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51" w:customStyle="1">
    <w:name w:val="5.1"/>
    <w:basedOn w:val="Normal"/>
    <w:autoRedefine/>
    <w:qFormat/>
    <w:rsid w:val="00316173"/>
    <w:pPr>
      <w:tabs>
        <w:tab w:val="left" w:pos="567" w:leader="none"/>
      </w:tabs>
      <w:ind w:left="567" w:hanging="567"/>
    </w:pPr>
    <w:rPr>
      <w:rFonts w:ascii="Arial" w:hAnsi="Arial" w:cs="Arial"/>
      <w:sz w:val="15"/>
      <w:szCs w:val="15"/>
      <w:lang w:val="en-US"/>
    </w:rPr>
  </w:style>
  <w:style w:type="paragraph" w:styleId="61" w:customStyle="1">
    <w:name w:val="6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71" w:customStyle="1">
    <w:name w:val="7.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Newi" w:customStyle="1">
    <w:name w:val="new i"/>
    <w:basedOn w:val="Normal"/>
    <w:autoRedefine/>
    <w:qFormat/>
    <w:rsid w:val="00316173"/>
    <w:pPr>
      <w:tabs>
        <w:tab w:val="left" w:pos="1287" w:leader="none"/>
      </w:tabs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styleId="731" w:customStyle="1">
    <w:name w:val="73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741" w:customStyle="1">
    <w:name w:val="741"/>
    <w:basedOn w:val="Normal"/>
    <w:autoRedefine/>
    <w:qFormat/>
    <w:rsid w:val="00316173"/>
    <w:pPr>
      <w:tabs>
        <w:tab w:val="left" w:pos="720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Thirdi" w:customStyle="1">
    <w:name w:val="thirdi"/>
    <w:basedOn w:val="Normal"/>
    <w:autoRedefine/>
    <w:qFormat/>
    <w:rsid w:val="00316173"/>
    <w:pPr>
      <w:tabs>
        <w:tab w:val="left" w:pos="1287" w:leader="none"/>
      </w:tabs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styleId="75" w:customStyle="1">
    <w:name w:val="75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81" w:customStyle="1">
    <w:name w:val="8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821" w:customStyle="1">
    <w:name w:val="82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831" w:customStyle="1">
    <w:name w:val="83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841" w:customStyle="1">
    <w:name w:val="84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91" w:customStyle="1">
    <w:name w:val="91"/>
    <w:basedOn w:val="Normal"/>
    <w:autoRedefine/>
    <w:qFormat/>
    <w:rsid w:val="00316173"/>
    <w:pPr>
      <w:tabs>
        <w:tab w:val="left" w:pos="567" w:leader="none"/>
      </w:tabs>
      <w:ind w:left="567" w:hanging="567"/>
    </w:pPr>
    <w:rPr>
      <w:rFonts w:ascii="Arial" w:hAnsi="Arial" w:cs="Arial"/>
      <w:sz w:val="15"/>
      <w:szCs w:val="15"/>
      <w:lang w:val="en-US"/>
    </w:rPr>
  </w:style>
  <w:style w:type="paragraph" w:styleId="921" w:customStyle="1">
    <w:name w:val="92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93" w:customStyle="1">
    <w:name w:val="93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101" w:customStyle="1">
    <w:name w:val="10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111" w:customStyle="1">
    <w:name w:val="111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styleId="Fori" w:customStyle="1">
    <w:name w:val="fori"/>
    <w:basedOn w:val="Normal"/>
    <w:autoRedefine/>
    <w:qFormat/>
    <w:rsid w:val="00316173"/>
    <w:pPr>
      <w:tabs>
        <w:tab w:val="left" w:pos="1287" w:leader="none"/>
      </w:tabs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styleId="51n" w:customStyle="1">
    <w:name w:val="51n"/>
    <w:basedOn w:val="Normal"/>
    <w:autoRedefine/>
    <w:qFormat/>
    <w:rsid w:val="00316173"/>
    <w:pPr>
      <w:tabs>
        <w:tab w:val="left" w:pos="567" w:leader="none"/>
      </w:tabs>
      <w:spacing w:before="120" w:after="120"/>
      <w:ind w:left="567" w:hanging="567"/>
      <w:jc w:val="both"/>
    </w:pPr>
    <w:rPr/>
  </w:style>
  <w:style w:type="paragraph" w:styleId="TextmTz" w:customStyle="1">
    <w:name w:val="Text m. Tz."/>
    <w:autoRedefine/>
    <w:qFormat/>
    <w:rsid w:val="00316173"/>
    <w:pPr>
      <w:widowControl w:val="false"/>
      <w:tabs>
        <w:tab w:val="left" w:pos="567" w:leader="none"/>
      </w:tabs>
      <w:bidi w:val="0"/>
      <w:spacing w:lineRule="auto" w:line="312" w:before="240" w:after="120"/>
      <w:ind w:left="567" w:hanging="397"/>
      <w:jc w:val="both"/>
    </w:pPr>
    <w:rPr>
      <w:rFonts w:ascii="Univers" w:hAnsi="Univers" w:eastAsia="Times New Roman" w:cs="Times New Roman"/>
      <w:color w:val="00000A"/>
      <w:sz w:val="22"/>
      <w:szCs w:val="20"/>
      <w:lang w:val="de-DE" w:eastAsia="sk-SK" w:bidi="ar-SA"/>
    </w:rPr>
  </w:style>
  <w:style w:type="paragraph" w:styleId="PlainText">
    <w:name w:val="Plain Text"/>
    <w:basedOn w:val="Normal"/>
    <w:qFormat/>
    <w:rsid w:val="00316173"/>
    <w:pPr/>
    <w:rPr>
      <w:rFonts w:ascii="Courier New" w:hAnsi="Courier New" w:cs="Courier New"/>
      <w:sz w:val="20"/>
      <w:szCs w:val="20"/>
    </w:rPr>
  </w:style>
  <w:style w:type="paragraph" w:styleId="Heading3B" w:customStyle="1">
    <w:name w:val="Heading3B"/>
    <w:basedOn w:val="Nadpis3"/>
    <w:autoRedefine/>
    <w:qFormat/>
    <w:rsid w:val="00316173"/>
    <w:pPr>
      <w:tabs>
        <w:tab w:val="left" w:pos="964" w:leader="none"/>
      </w:tabs>
      <w:ind w:left="964" w:hanging="397"/>
    </w:pPr>
    <w:rPr/>
  </w:style>
  <w:style w:type="paragraph" w:styleId="Heading3E" w:customStyle="1">
    <w:name w:val="Heading3E"/>
    <w:basedOn w:val="Nadpis3"/>
    <w:autoRedefine/>
    <w:qFormat/>
    <w:rsid w:val="00316173"/>
    <w:pPr>
      <w:tabs>
        <w:tab w:val="left" w:pos="964" w:leader="none"/>
      </w:tabs>
      <w:ind w:left="964" w:hanging="397"/>
    </w:pPr>
    <w:rPr/>
  </w:style>
  <w:style w:type="paragraph" w:styleId="Aparagraf" w:customStyle="1">
    <w:name w:val="aparagraf"/>
    <w:basedOn w:val="Normal"/>
    <w:autoRedefine/>
    <w:qFormat/>
    <w:rsid w:val="00316173"/>
    <w:pPr>
      <w:tabs>
        <w:tab w:val="left" w:pos="567" w:leader="none"/>
      </w:tabs>
      <w:spacing w:lineRule="auto" w:line="360" w:before="200" w:after="120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styleId="Borders" w:customStyle="1">
    <w:name w:val="Border s"/>
    <w:basedOn w:val="Normal"/>
    <w:autoRedefine/>
    <w:qFormat/>
    <w:rsid w:val="00316173"/>
    <w:pPr>
      <w:widowControl w:val="false"/>
      <w:pBdr>
        <w:bottom w:val="single" w:sz="6" w:space="1" w:color="00000A"/>
      </w:pBdr>
      <w:ind w:left="142" w:hanging="0"/>
      <w:jc w:val="center"/>
    </w:pPr>
    <w:rPr>
      <w:color w:val="000000"/>
      <w:sz w:val="20"/>
      <w:szCs w:val="20"/>
    </w:rPr>
  </w:style>
  <w:style w:type="paragraph" w:styleId="Borderd" w:customStyle="1">
    <w:name w:val="Border d"/>
    <w:basedOn w:val="Borders"/>
    <w:qFormat/>
    <w:rsid w:val="00316173"/>
    <w:pPr>
      <w:pBdr>
        <w:bottom w:val="double" w:sz="6" w:space="1" w:color="00000A"/>
      </w:pBdr>
      <w:spacing w:before="40" w:after="120"/>
    </w:pPr>
    <w:rPr>
      <w:b/>
    </w:rPr>
  </w:style>
  <w:style w:type="paragraph" w:styleId="Style11" w:customStyle="1">
    <w:name w:val="Style1"/>
    <w:basedOn w:val="Borders"/>
    <w:autoRedefine/>
    <w:qFormat/>
    <w:rsid w:val="00316173"/>
    <w:pPr>
      <w:pBdr>
        <w:bottom w:val="double" w:sz="4" w:space="1" w:color="00000A"/>
      </w:pBdr>
      <w:spacing w:before="40" w:after="120"/>
      <w:ind w:left="142" w:right="57" w:hanging="0"/>
      <w:jc w:val="right"/>
    </w:pPr>
    <w:rPr/>
  </w:style>
  <w:style w:type="paragraph" w:styleId="Odstavecabc" w:customStyle="1">
    <w:name w:val="odstavecabc"/>
    <w:basedOn w:val="Normal"/>
    <w:autoRedefine/>
    <w:qFormat/>
    <w:rsid w:val="00316173"/>
    <w:pPr>
      <w:tabs>
        <w:tab w:val="left" w:pos="426" w:leader="none"/>
      </w:tabs>
      <w:spacing w:before="120" w:after="120"/>
      <w:ind w:left="426" w:hanging="426"/>
      <w:jc w:val="both"/>
    </w:pPr>
    <w:rPr>
      <w:b/>
      <w:sz w:val="20"/>
    </w:rPr>
  </w:style>
  <w:style w:type="paragraph" w:styleId="Odstavecbezcisla" w:customStyle="1">
    <w:name w:val="odstavecbezcisla"/>
    <w:basedOn w:val="BodyText3"/>
    <w:qFormat/>
    <w:rsid w:val="00316173"/>
    <w:pPr>
      <w:spacing w:before="0" w:after="0"/>
      <w:ind w:left="426" w:hanging="0"/>
      <w:jc w:val="both"/>
    </w:pPr>
    <w:rPr>
      <w:iCs/>
      <w:sz w:val="20"/>
      <w:szCs w:val="24"/>
    </w:rPr>
  </w:style>
  <w:style w:type="paragraph" w:styleId="Odstavecislo" w:customStyle="1">
    <w:name w:val="odstavecislo"/>
    <w:basedOn w:val="Normal"/>
    <w:qFormat/>
    <w:rsid w:val="00316173"/>
    <w:pPr>
      <w:tabs>
        <w:tab w:val="left" w:pos="426" w:leader="none"/>
      </w:tabs>
      <w:spacing w:before="0" w:after="120"/>
      <w:ind w:left="426" w:hanging="426"/>
      <w:jc w:val="both"/>
    </w:pPr>
    <w:rPr>
      <w:b/>
      <w:bCs/>
      <w:sz w:val="20"/>
    </w:rPr>
  </w:style>
  <w:style w:type="paragraph" w:styleId="Doubleright" w:customStyle="1">
    <w:name w:val="doubleright"/>
    <w:basedOn w:val="Borders"/>
    <w:autoRedefine/>
    <w:qFormat/>
    <w:rsid w:val="00316173"/>
    <w:pPr>
      <w:pBdr>
        <w:bottom w:val="double" w:sz="4" w:space="1" w:color="00000A"/>
      </w:pBdr>
      <w:ind w:left="284" w:right="57" w:hanging="0"/>
      <w:jc w:val="right"/>
    </w:pPr>
    <w:rPr>
      <w:b/>
      <w:bCs/>
      <w:sz w:val="18"/>
    </w:rPr>
  </w:style>
  <w:style w:type="paragraph" w:styleId="Singleright" w:customStyle="1">
    <w:name w:val="singleright"/>
    <w:basedOn w:val="Normal"/>
    <w:qFormat/>
    <w:rsid w:val="00316173"/>
    <w:pPr>
      <w:widowControl w:val="false"/>
      <w:pBdr>
        <w:bottom w:val="single" w:sz="4" w:space="1" w:color="00000A"/>
      </w:pBdr>
      <w:tabs>
        <w:tab w:val="left" w:pos="1701" w:leader="none"/>
      </w:tabs>
      <w:ind w:left="293" w:right="57" w:hanging="0"/>
      <w:jc w:val="right"/>
    </w:pPr>
    <w:rPr>
      <w:sz w:val="20"/>
      <w:szCs w:val="20"/>
      <w:lang w:val="en-GB"/>
    </w:rPr>
  </w:style>
  <w:style w:type="paragraph" w:styleId="Nzov">
    <w:name w:val="Title"/>
    <w:basedOn w:val="Normal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szCs w:val="32"/>
    </w:rPr>
  </w:style>
  <w:style w:type="paragraph" w:styleId="SinglerightLeft0" w:customStyle="1">
    <w:name w:val="singleright + Left:  0"/>
    <w:basedOn w:val="Singleright"/>
    <w:qFormat/>
    <w:rsid w:val="00316173"/>
    <w:pPr>
      <w:ind w:left="257" w:right="57" w:hanging="0"/>
    </w:pPr>
    <w:rPr>
      <w:b/>
      <w:bCs/>
    </w:rPr>
  </w:style>
  <w:style w:type="paragraph" w:styleId="Doublerightbold" w:customStyle="1">
    <w:name w:val="doubleright bold"/>
    <w:basedOn w:val="Doubleright"/>
    <w:qFormat/>
    <w:rsid w:val="00316173"/>
    <w:pPr/>
    <w:rPr/>
  </w:style>
  <w:style w:type="paragraph" w:styleId="Headinga" w:customStyle="1">
    <w:name w:val="Heading a"/>
    <w:basedOn w:val="Normal"/>
    <w:autoRedefine/>
    <w:qFormat/>
    <w:rsid w:val="00316173"/>
    <w:pPr>
      <w:tabs>
        <w:tab w:val="left" w:pos="414" w:leader="none"/>
      </w:tabs>
      <w:ind w:left="414" w:hanging="414"/>
    </w:pPr>
    <w:rPr>
      <w:b/>
      <w:sz w:val="20"/>
      <w:szCs w:val="20"/>
    </w:rPr>
  </w:style>
  <w:style w:type="paragraph" w:styleId="Headingb" w:customStyle="1">
    <w:name w:val="Heading b"/>
    <w:basedOn w:val="Normal"/>
    <w:autoRedefine/>
    <w:qFormat/>
    <w:rsid w:val="00316173"/>
    <w:pPr>
      <w:tabs>
        <w:tab w:val="left" w:pos="414" w:leader="none"/>
      </w:tabs>
      <w:ind w:left="414" w:hanging="414"/>
    </w:pPr>
    <w:rPr>
      <w:b/>
      <w:sz w:val="20"/>
      <w:szCs w:val="20"/>
    </w:rPr>
  </w:style>
  <w:style w:type="paragraph" w:styleId="Head1" w:customStyle="1">
    <w:name w:val="Head 1"/>
    <w:basedOn w:val="Normal"/>
    <w:autoRedefine/>
    <w:qFormat/>
    <w:rsid w:val="00316173"/>
    <w:pPr>
      <w:tabs>
        <w:tab w:val="left" w:pos="414" w:leader="none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qFormat/>
    <w:rsid w:val="00316173"/>
    <w:pPr/>
    <w:rPr>
      <w:sz w:val="20"/>
    </w:rPr>
  </w:style>
  <w:style w:type="paragraph" w:styleId="BalloonText">
    <w:name w:val="Balloon Text"/>
    <w:basedOn w:val="Normal"/>
    <w:semiHidden/>
    <w:qFormat/>
    <w:rsid w:val="00316173"/>
    <w:pPr/>
    <w:rPr>
      <w:rFonts w:ascii="Tahoma" w:hAnsi="Tahoma" w:cs="Tahoma"/>
      <w:sz w:val="16"/>
      <w:szCs w:val="16"/>
    </w:rPr>
  </w:style>
  <w:style w:type="paragraph" w:styleId="Lettertext" w:customStyle="1">
    <w:name w:val="Letter text"/>
    <w:basedOn w:val="Normal"/>
    <w:qFormat/>
    <w:rsid w:val="0090780e"/>
    <w:pPr>
      <w:widowControl w:val="false"/>
      <w:tabs>
        <w:tab w:val="left" w:pos="567" w:leader="none"/>
      </w:tabs>
      <w:spacing w:lineRule="exact" w:line="240" w:before="0" w:after="240"/>
      <w:ind w:left="454" w:hanging="0"/>
      <w:jc w:val="both"/>
    </w:pPr>
    <w:rPr>
      <w:rFonts w:ascii="Arial" w:hAnsi="Arial"/>
      <w:sz w:val="18"/>
      <w:szCs w:val="20"/>
      <w:lang w:eastAsia="en-US"/>
    </w:rPr>
  </w:style>
  <w:style w:type="paragraph" w:styleId="ABCparagrahinNotes" w:customStyle="1">
    <w:name w:val="ABC - paragrah in Notes"/>
    <w:qFormat/>
    <w:rsid w:val="00b0184f"/>
    <w:pPr>
      <w:widowControl/>
      <w:bidi w:val="0"/>
      <w:spacing w:before="0" w:after="240"/>
      <w:jc w:val="both"/>
    </w:pPr>
    <w:rPr>
      <w:rFonts w:ascii="Arial" w:hAnsi="Arial" w:eastAsia="Times New Roman" w:cs="Times New Roman"/>
      <w:color w:val="00000A"/>
      <w:sz w:val="18"/>
      <w:szCs w:val="20"/>
      <w:lang w:val="en-GB" w:eastAsia="en-US" w:bidi="ar-SA"/>
    </w:rPr>
  </w:style>
  <w:style w:type="paragraph" w:styleId="Pismenka" w:customStyle="1">
    <w:name w:val="Pismenka"/>
    <w:basedOn w:val="Telotextu"/>
    <w:qFormat/>
    <w:rsid w:val="001574df"/>
    <w:pPr>
      <w:tabs>
        <w:tab w:val="left" w:pos="426" w:leader="none"/>
      </w:tabs>
      <w:spacing w:before="0" w:after="0"/>
      <w:ind w:left="426" w:hanging="426"/>
      <w:jc w:val="both"/>
    </w:pPr>
    <w:rPr>
      <w:b/>
      <w:sz w:val="18"/>
      <w:szCs w:val="20"/>
      <w:lang w:eastAsia="en-US"/>
    </w:rPr>
  </w:style>
  <w:style w:type="paragraph" w:styleId="TopHeader" w:customStyle="1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Annotationtext">
    <w:name w:val="annotation text"/>
    <w:basedOn w:val="Normal"/>
    <w:link w:val="TextkomentraChar"/>
    <w:qFormat/>
    <w:rsid w:val="00c10476"/>
    <w:pPr/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qFormat/>
    <w:rsid w:val="00c10476"/>
    <w:pPr/>
    <w:rPr>
      <w:b/>
      <w:bCs/>
    </w:rPr>
  </w:style>
  <w:style w:type="paragraph" w:styleId="DocumentMap">
    <w:name w:val="Document Map"/>
    <w:basedOn w:val="Normal"/>
    <w:link w:val="truktradokumentuChar"/>
    <w:qFormat/>
    <w:rsid w:val="00a314c9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spacing w:before="0" w:after="0"/>
      <w:ind w:left="720" w:hanging="0"/>
      <w:contextualSpacing/>
    </w:pPr>
    <w:rPr/>
  </w:style>
  <w:style w:type="paragraph" w:styleId="Body" w:customStyle="1">
    <w:name w:val="body"/>
    <w:basedOn w:val="Odstavec"/>
    <w:qFormat/>
    <w:rsid w:val="00a154f1"/>
    <w:pPr/>
    <w:rPr/>
  </w:style>
  <w:style w:type="paragraph" w:styleId="Default" w:customStyle="1">
    <w:name w:val="Default"/>
    <w:qFormat/>
    <w:rsid w:val="00403f61"/>
    <w:pPr>
      <w:widowControl/>
      <w:bidi w:val="0"/>
      <w:jc w:val="left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1574d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70939-04D7-4931-ACF9-8082550CA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Application>LibreOffice/5.2.0.4$Windows_x86 LibreOffice_project/066b007f5ebcc236395c7d282ba488bca6720265</Application>
  <Pages>13</Pages>
  <Words>3274</Words>
  <Characters>16844</Characters>
  <CharactersWithSpaces>19226</CharactersWithSpaces>
  <Paragraphs>970</Paragraphs>
  <Company>PwC Slovakia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2017-02-27T12:50:00Z</dcterms:created>
  <dc:creator>birok</dc:creator>
  <dc:description/>
  <dc:language>sk-SK</dc:language>
  <cp:lastModifiedBy/>
  <cp:lastPrinted>2019-03-13T15:54:00Z</cp:lastPrinted>
  <dcterms:modified xsi:type="dcterms:W3CDTF">2019-03-26T07:55:06Z</dcterms:modified>
  <cp:revision>202</cp:revision>
  <dc:subject/>
  <dc:title>A)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PwC Slovakia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