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47620676                             DIČ: 2023996414</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w:t>
      </w:r>
      <w:r>
        <w:rPr>
          <w:b w:val="false"/>
          <w:bCs w:val="false"/>
          <w:i/>
          <w:iCs/>
          <w:sz w:val="21"/>
          <w:szCs w:val="21"/>
          <w:u w:val="none"/>
        </w:rPr>
        <w:t>8</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3"/>
        <w:gridCol w:w="5101"/>
      </w:tblGrid>
      <w:tr>
        <w:trPr>
          <w:cantSplit w:val="false"/>
        </w:trPr>
        <w:tc>
          <w:tcPr>
            <w:tcW w:type="dxa" w:w="3963"/>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 xml:space="preserve">Vault 13, s.r.o. </w:t>
            </w:r>
          </w:p>
          <w:p>
            <w:pPr>
              <w:pStyle w:val="style0"/>
              <w:rPr>
                <w:b/>
                <w:bCs/>
                <w:color w:val="000000"/>
                <w:sz w:val="15"/>
                <w:szCs w:val="15"/>
              </w:rPr>
            </w:pPr>
            <w:r>
              <w:rPr>
                <w:b/>
                <w:bCs/>
                <w:color w:val="000000"/>
                <w:sz w:val="15"/>
                <w:szCs w:val="15"/>
              </w:rPr>
              <w:t>Chočská 1527/7</w:t>
            </w:r>
          </w:p>
          <w:p>
            <w:pPr>
              <w:pStyle w:val="style0"/>
              <w:rPr>
                <w:b/>
                <w:bCs/>
                <w:color w:val="000000"/>
              </w:rPr>
            </w:pPr>
            <w:r>
              <w:rPr>
                <w:b/>
                <w:bCs/>
                <w:color w:val="000000"/>
              </w:rPr>
            </w:r>
          </w:p>
          <w:p>
            <w:pPr>
              <w:pStyle w:val="style0"/>
              <w:rPr>
                <w:b/>
                <w:bCs/>
                <w:color w:val="000000"/>
                <w:sz w:val="15"/>
                <w:szCs w:val="15"/>
              </w:rPr>
            </w:pPr>
            <w:r>
              <w:rPr>
                <w:b/>
                <w:bCs/>
                <w:color w:val="000000"/>
                <w:sz w:val="15"/>
                <w:szCs w:val="15"/>
              </w:rPr>
              <w:t>23.01.2014</w:t>
            </w:r>
          </w:p>
          <w:p>
            <w:pPr>
              <w:pStyle w:val="style0"/>
              <w:rPr>
                <w:b/>
                <w:bCs/>
                <w:color w:val="000000"/>
              </w:rPr>
            </w:pPr>
            <w:r>
              <w:rPr>
                <w:b/>
                <w:bCs/>
                <w:color w:val="000000"/>
              </w:rPr>
            </w:r>
          </w:p>
        </w:tc>
      </w:tr>
      <w:tr>
        <w:trPr>
          <w:cantSplit w:val="false"/>
        </w:trPr>
        <w:tc>
          <w:tcPr>
            <w:tcW w:type="dxa" w:w="3963"/>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Kúpa tovaru na účely jeho predaja konečnému spotrebiteľovi (maloobchod) alebo iným prevádzkovateľom  živností (veľkoobchod)</w:t>
            </w:r>
          </w:p>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zásielkový predaj a ďalších 15 činností</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39"/>
        <w:gridCol w:w="1310"/>
        <w:gridCol w:w="1321"/>
      </w:tblGrid>
      <w:tr>
        <w:trPr>
          <w:cantSplit w:val="false"/>
        </w:trPr>
        <w:tc>
          <w:tcPr>
            <w:tcW w:type="dxa" w:w="6439"/>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8</w:t>
            </w:r>
          </w:p>
        </w:tc>
        <w:tc>
          <w:tcPr>
            <w:tcW w:type="dxa" w:w="1321"/>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w:t>
            </w:r>
            <w:r>
              <w:rPr>
                <w:rFonts w:cs="Arial"/>
                <w:b/>
                <w:bCs/>
                <w:i/>
                <w:iCs/>
                <w:sz w:val="15"/>
                <w:szCs w:val="15"/>
                <w:lang w:eastAsia="sk-SK"/>
              </w:rPr>
              <w:t>7</w:t>
            </w:r>
          </w:p>
        </w:tc>
      </w:tr>
      <w:tr>
        <w:trPr>
          <w:cantSplit w:val="false"/>
        </w:trPr>
        <w:tc>
          <w:tcPr>
            <w:tcW w:type="dxa" w:w="6439"/>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21"/>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r>
              <w:rPr>
                <w:rFonts w:cs="Arial"/>
                <w:sz w:val="15"/>
                <w:szCs w:val="15"/>
                <w:lang w:eastAsia="sk-SK"/>
              </w:rPr>
              <w:t>8</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Spoločnosť počas roka 201</w:t>
      </w:r>
      <w:r>
        <w:rPr>
          <w:sz w:val="14"/>
          <w:szCs w:val="14"/>
          <w:lang w:eastAsia="sk-SK"/>
        </w:rPr>
        <w:t>8</w:t>
      </w:r>
      <w:r>
        <w:rPr>
          <w:sz w:val="14"/>
          <w:szCs w:val="14"/>
          <w:lang w:eastAsia="sk-SK"/>
        </w:rPr>
        <w:t xml:space="preserve">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b/>
          <w:bCs/>
          <w:lang w:eastAsia="sk-SK"/>
        </w:rPr>
        <w:t>Vault 13</w:t>
      </w:r>
      <w:r>
        <w:rPr>
          <w:lang w:eastAsia="sk-SK"/>
        </w:rPr>
        <w:t xml:space="preserve"> </w:t>
      </w:r>
      <w:r>
        <w:rPr>
          <w:b/>
          <w:bCs/>
          <w:lang w:eastAsia="sk-SK"/>
        </w:rPr>
        <w:t>s.r.o</w:t>
      </w:r>
      <w:r>
        <w:rPr>
          <w:lang w:eastAsia="sk-SK"/>
        </w:rPr>
        <w:t>., bola zostavená za účtovné obdobie od 1. januára do 31. decembra 201</w:t>
      </w:r>
      <w:r>
        <w:rPr>
          <w:lang w:eastAsia="sk-SK"/>
        </w:rPr>
        <w:t>8</w:t>
      </w:r>
      <w:r>
        <w:rPr>
          <w:lang w:eastAsia="sk-SK"/>
        </w:rPr>
        <w:t xml:space="preserve">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w:t>
      </w:r>
      <w:r>
        <w:rPr/>
        <w:t>7</w:t>
      </w:r>
    </w:p>
    <w:p>
      <w:pPr>
        <w:pStyle w:val="style0"/>
        <w:rPr>
          <w:sz w:val="14"/>
          <w:szCs w:val="14"/>
          <w:lang w:eastAsia="sk-SK"/>
        </w:rPr>
      </w:pPr>
      <w:r>
        <w:rPr>
          <w:sz w:val="14"/>
          <w:szCs w:val="14"/>
          <w:lang w:eastAsia="sk-SK"/>
        </w:rPr>
      </w:r>
    </w:p>
    <w:p>
      <w:pPr>
        <w:pStyle w:val="style0"/>
        <w:rPr>
          <w:lang w:eastAsia="sk-SK"/>
        </w:rPr>
      </w:pPr>
      <w:r>
        <w:rPr>
          <w:lang w:eastAsia="sk-SK"/>
        </w:rPr>
        <w:t>Účtovná závierka spoločnosti Vault 13 s.r.o. za rok 201</w:t>
      </w:r>
      <w:r>
        <w:rPr>
          <w:lang w:eastAsia="sk-SK"/>
        </w:rPr>
        <w:t>7</w:t>
      </w:r>
      <w:r>
        <w:rPr>
          <w:lang w:eastAsia="sk-SK"/>
        </w:rPr>
        <w:t xml:space="preserve"> bola riadne schválená Rozhodnutím jediného spoločníka dňa 30.04.201</w:t>
      </w:r>
      <w:r>
        <w:rPr>
          <w:lang w:eastAsia="sk-SK"/>
        </w:rPr>
        <w:t>8</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Vault 13 s.r.o.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49"/>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49"/>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49"/>
        <w:rPr>
          <w:b w:val="false"/>
          <w:bCs w:val="false"/>
        </w:rPr>
      </w:pPr>
      <w:r>
        <w:rPr>
          <w:b w:val="false"/>
          <w:bCs w:val="false"/>
        </w:rPr>
      </w:r>
    </w:p>
    <w:p>
      <w:pPr>
        <w:pStyle w:val="style49"/>
        <w:rPr>
          <w:b/>
          <w:bCs/>
          <w:sz w:val="16"/>
          <w:szCs w:val="16"/>
        </w:rPr>
      </w:pPr>
      <w:r>
        <w:rPr>
          <w:b/>
          <w:bCs/>
          <w:sz w:val="16"/>
          <w:szCs w:val="16"/>
        </w:rPr>
        <w:t>2.  Pôžičky poskytnuté členom orgánov spoločnosti</w:t>
      </w:r>
    </w:p>
    <w:p>
      <w:pPr>
        <w:pStyle w:val="style49"/>
        <w:rPr>
          <w:b w:val="false"/>
          <w:bCs w:val="false"/>
          <w:sz w:val="18"/>
          <w:szCs w:val="18"/>
        </w:rPr>
      </w:pPr>
      <w:r>
        <w:rPr>
          <w:b w:val="false"/>
          <w:bCs w:val="false"/>
          <w:sz w:val="18"/>
          <w:szCs w:val="18"/>
        </w:rPr>
        <w:t>Spoločnosť v účtovnom období 201</w:t>
      </w:r>
      <w:r>
        <w:rPr>
          <w:b w:val="false"/>
          <w:bCs w:val="false"/>
          <w:sz w:val="18"/>
          <w:szCs w:val="18"/>
        </w:rPr>
        <w:t>8</w:t>
      </w:r>
      <w:r>
        <w:rPr>
          <w:b w:val="false"/>
          <w:bCs w:val="false"/>
          <w:sz w:val="18"/>
          <w:szCs w:val="18"/>
        </w:rPr>
        <w:t xml:space="preserve"> neposkytla členom orgánov spoločnosti žiadne záruky alebo iné zabezpečenie a poskytnuté pôžičky.</w:t>
      </w:r>
    </w:p>
    <w:p>
      <w:pPr>
        <w:pStyle w:val="style49"/>
        <w:rPr>
          <w:b w:val="false"/>
          <w:bCs w:val="false"/>
        </w:rPr>
      </w:pPr>
      <w:r>
        <w:rPr>
          <w:b w:val="false"/>
          <w:bCs w:val="false"/>
        </w:rPr>
      </w:r>
    </w:p>
    <w:p>
      <w:pPr>
        <w:pStyle w:val="style49"/>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49"/>
        <w:rPr>
          <w:b/>
          <w:bCs/>
        </w:rPr>
      </w:pPr>
      <w:r>
        <w:rPr>
          <w:b/>
          <w:bCs/>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w:t>
      </w:r>
      <w:r>
        <w:rPr>
          <w:b w:val="false"/>
          <w:bCs w:val="false"/>
          <w:sz w:val="18"/>
          <w:szCs w:val="18"/>
          <w:u w:val="none"/>
        </w:rPr>
        <w:t>8</w:t>
      </w:r>
      <w:r>
        <w:rPr>
          <w:b w:val="false"/>
          <w:bCs w:val="false"/>
          <w:sz w:val="18"/>
          <w:szCs w:val="18"/>
          <w:u w:val="none"/>
        </w:rPr>
        <w:t xml:space="preserve"> bola spracovaná za predpokladu nepretržitého pokračovania činnosti.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k) Daň z príjmov splatná – podľa slovenského zákona o dani z príjmov sa splatné dane z príjmov určujú z účtovného zisku </w:t>
      </w:r>
      <w:r>
        <w:rPr>
          <w:b w:val="false"/>
          <w:bCs w:val="false"/>
          <w:sz w:val="18"/>
          <w:szCs w:val="18"/>
          <w:u w:val="none"/>
        </w:rPr>
        <w:t>pred</w:t>
      </w:r>
      <w:r>
        <w:rPr>
          <w:b w:val="false"/>
          <w:bCs w:val="false"/>
          <w:sz w:val="18"/>
          <w:szCs w:val="18"/>
          <w:u w:val="none"/>
        </w:rPr>
        <w:t xml:space="preserve"> zdanením p</w:t>
      </w:r>
      <w:r>
        <w:rPr>
          <w:b w:val="false"/>
          <w:bCs w:val="false"/>
          <w:sz w:val="18"/>
          <w:szCs w:val="18"/>
          <w:u w:val="none"/>
        </w:rPr>
        <w:t>ri</w:t>
      </w:r>
      <w:r>
        <w:rPr>
          <w:b w:val="false"/>
          <w:bCs w:val="false"/>
          <w:sz w:val="18"/>
          <w:szCs w:val="18"/>
          <w:u w:val="none"/>
        </w:rPr>
        <w:t xml:space="preserve"> sadzbe 21% po úpravách o niektoré položky na daňové účely.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w:t>
      </w:r>
      <w:r>
        <w:rPr>
          <w:b w:val="false"/>
          <w:bCs w:val="false"/>
          <w:sz w:val="18"/>
          <w:szCs w:val="18"/>
          <w:u w:val="none"/>
        </w:rPr>
        <w:t>8</w:t>
      </w:r>
      <w:r>
        <w:rPr>
          <w:b w:val="false"/>
          <w:bCs w:val="false"/>
          <w:sz w:val="18"/>
          <w:szCs w:val="18"/>
          <w:u w:val="none"/>
        </w:rPr>
        <w:t xml:space="preserve"> nevyplynula povinnosť tvorby rezervy.</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w:t>
      </w:r>
      <w:r>
        <w:rPr>
          <w:b w:val="false"/>
          <w:bCs w:val="false"/>
          <w:sz w:val="18"/>
          <w:szCs w:val="18"/>
          <w:u w:val="none"/>
        </w:rPr>
        <w:t>8</w:t>
      </w:r>
      <w:r>
        <w:rPr>
          <w:b w:val="false"/>
          <w:bCs w:val="false"/>
          <w:sz w:val="18"/>
          <w:szCs w:val="18"/>
          <w:u w:val="none"/>
        </w:rPr>
        <w:t xml:space="preserve"> nevyplynula povinnosť tvoriť opravné položky.</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49"/>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účtovnom období roku 201</w:t>
      </w:r>
      <w:r>
        <w:rPr>
          <w:b w:val="false"/>
          <w:bCs w:val="false"/>
          <w:sz w:val="18"/>
          <w:szCs w:val="18"/>
          <w:u w:val="none"/>
        </w:rPr>
        <w:t>8</w:t>
      </w:r>
      <w:r>
        <w:rPr>
          <w:b w:val="false"/>
          <w:bCs w:val="false"/>
          <w:sz w:val="18"/>
          <w:szCs w:val="18"/>
          <w:u w:val="none"/>
        </w:rPr>
        <w:t xml:space="preserve"> nenastali v spoločnosti Vault 13 s.r.o. žiadne zmeny týkajúce sa účtovných zásad a účtovných metód.</w:t>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49"/>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49"/>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Vault 13 s.r.o. nedošlo v účtovnom období roku 201</w:t>
      </w:r>
      <w:r>
        <w:rPr>
          <w:b w:val="false"/>
          <w:bCs w:val="false"/>
          <w:sz w:val="18"/>
          <w:szCs w:val="18"/>
          <w:u w:val="none"/>
        </w:rPr>
        <w:t>8</w:t>
      </w:r>
      <w:r>
        <w:rPr>
          <w:b w:val="false"/>
          <w:bCs w:val="false"/>
          <w:sz w:val="18"/>
          <w:szCs w:val="18"/>
          <w:u w:val="none"/>
        </w:rPr>
        <w:t xml:space="preserve"> k žiadnzm opravám významných chýb minulých období.</w:t>
      </w:r>
    </w:p>
    <w:p>
      <w:pPr>
        <w:pStyle w:val="style49"/>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49"/>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49"/>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49"/>
        <w:widowControl/>
        <w:suppressAutoHyphens w:val="true"/>
        <w:spacing w:after="120" w:before="0"/>
        <w:ind w:hanging="214" w:left="246" w:right="0"/>
        <w:contextualSpacing w:val="false"/>
        <w:jc w:val="both"/>
        <w:rPr>
          <w:b/>
          <w:bCs/>
          <w:u w:val="none"/>
        </w:rPr>
      </w:pPr>
      <w:r>
        <w:rPr>
          <w:b/>
          <w:bCs/>
          <w:u w:val="none"/>
        </w:rPr>
      </w:r>
    </w:p>
    <w:p>
      <w:pPr>
        <w:pStyle w:val="style49"/>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49"/>
        <w:rPr>
          <w:b w:val="false"/>
          <w:bCs w:val="false"/>
          <w:sz w:val="18"/>
          <w:szCs w:val="18"/>
        </w:rPr>
      </w:pPr>
      <w:r>
        <w:rPr>
          <w:b w:val="false"/>
          <w:bCs w:val="false"/>
          <w:sz w:val="18"/>
          <w:szCs w:val="18"/>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val="false"/>
          <w:bCs w:val="false"/>
        </w:rPr>
      </w:pPr>
      <w:r>
        <w:rPr>
          <w:b w:val="false"/>
          <w:bCs w:val="false"/>
        </w:rPr>
      </w:r>
    </w:p>
    <w:p>
      <w:pPr>
        <w:pStyle w:val="style49"/>
        <w:rPr>
          <w:b/>
          <w:bCs/>
          <w:sz w:val="18"/>
          <w:szCs w:val="18"/>
        </w:rPr>
      </w:pPr>
      <w:r>
        <w:rPr>
          <w:b/>
          <w:bCs/>
          <w:sz w:val="18"/>
          <w:szCs w:val="18"/>
        </w:rPr>
        <w:t>2.  Pohľadávky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Pohľadávky z obchodného styku</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Daňové pohľadávky</w:t>
            </w:r>
          </w:p>
        </w:tc>
        <w:tc>
          <w:tcPr>
            <w:tcW w:type="dxa" w:w="2380"/>
            <w:tcBorders>
              <w:top w:val="nil"/>
              <w:left w:val="nil"/>
              <w:bottom w:val="nil"/>
              <w:right w:val="nil"/>
            </w:tcBorders>
            <w:shd w:fill="FFFFFF" w:val="clear"/>
            <w:vAlign w:val="center"/>
          </w:tcPr>
          <w:p>
            <w:pPr>
              <w:pStyle w:val="style64"/>
              <w:rPr/>
            </w:pPr>
            <w:r>
              <w:rPr/>
              <w:t xml:space="preserve">                   </w:t>
            </w:r>
            <w:r>
              <w:rPr/>
              <w:t>0</w:t>
            </w:r>
          </w:p>
        </w:tc>
        <w:tc>
          <w:tcPr>
            <w:tcW w:type="dxa" w:w="2390"/>
            <w:tcBorders>
              <w:top w:val="nil"/>
              <w:left w:val="nil"/>
              <w:bottom w:val="nil"/>
              <w:right w:val="nil"/>
            </w:tcBorders>
            <w:shd w:fill="FFFFFF" w:val="clear"/>
            <w:vAlign w:val="center"/>
          </w:tcPr>
          <w:p>
            <w:pPr>
              <w:pStyle w:val="style64"/>
              <w:jc w:val="center"/>
              <w:rPr/>
            </w:pP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Ostatné pohľadávky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b/>
                <w:bCs/>
              </w:rPr>
            </w:pPr>
            <w:r>
              <w:rPr>
                <w:b/>
                <w:bCs/>
              </w:rPr>
              <w:t>Pohľadávky 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0</w:t>
            </w:r>
          </w:p>
        </w:tc>
        <w:tc>
          <w:tcPr>
            <w:tcW w:type="dxa" w:w="2390"/>
            <w:tcBorders>
              <w:top w:val="nil"/>
              <w:left w:val="nil"/>
              <w:bottom w:val="nil"/>
              <w:right w:val="nil"/>
            </w:tcBorders>
            <w:shd w:fill="FFFFFF" w:val="clear"/>
            <w:vAlign w:val="center"/>
          </w:tcPr>
          <w:p>
            <w:pPr>
              <w:pStyle w:val="style64"/>
              <w:jc w:val="center"/>
              <w:rPr>
                <w:b/>
                <w:bCs/>
              </w:rPr>
            </w:pP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jc w:val="center"/>
              <w:rPr/>
            </w:pPr>
            <w:r>
              <w:rPr/>
              <w:t> </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 xml:space="preserve">V časti pohľadávok spoločnosť nevykazuje žiadne pohľadávky.  </w:t>
      </w:r>
    </w:p>
    <w:p>
      <w:pPr>
        <w:pStyle w:val="style49"/>
        <w:rPr/>
      </w:pPr>
      <w:r>
        <w:rPr/>
      </w:r>
    </w:p>
    <w:p>
      <w:pPr>
        <w:pStyle w:val="style49"/>
        <w:rPr>
          <w:b w:val="false"/>
          <w:bCs w:val="false"/>
          <w:sz w:val="18"/>
          <w:szCs w:val="18"/>
        </w:rPr>
      </w:pPr>
      <w:r>
        <w:rPr>
          <w:b w:val="false"/>
          <w:bCs w:val="false"/>
          <w:sz w:val="18"/>
          <w:szCs w:val="18"/>
        </w:rPr>
        <w:t>Tým, že spoločnosť neeviduje k 31.12.201</w:t>
      </w:r>
      <w:r>
        <w:rPr>
          <w:b w:val="false"/>
          <w:bCs w:val="false"/>
          <w:sz w:val="18"/>
          <w:szCs w:val="18"/>
        </w:rPr>
        <w:t>8</w:t>
      </w:r>
      <w:r>
        <w:rPr>
          <w:b w:val="false"/>
          <w:bCs w:val="false"/>
          <w:sz w:val="18"/>
          <w:szCs w:val="18"/>
        </w:rPr>
        <w:t xml:space="preserve"> pohľadávky žiadne pohľadávky, nebolo </w:t>
      </w:r>
    </w:p>
    <w:p>
      <w:pPr>
        <w:pStyle w:val="style49"/>
        <w:rPr>
          <w:b w:val="false"/>
          <w:bCs w:val="false"/>
          <w:sz w:val="18"/>
          <w:szCs w:val="18"/>
        </w:rPr>
      </w:pPr>
      <w:r>
        <w:rPr>
          <w:b w:val="false"/>
          <w:bCs w:val="false"/>
          <w:sz w:val="18"/>
          <w:szCs w:val="18"/>
        </w:rPr>
        <w:t>potrebné tvoriť opravné položky k pohľadávkam.</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3.  Krátkodobý finančný majetok</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0"/>
        <w:gridCol w:w="2390"/>
      </w:tblGrid>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bežné účtovné obdobie</w:t>
            </w:r>
          </w:p>
        </w:tc>
        <w:tc>
          <w:tcPr>
            <w:tcW w:type="dxa" w:w="2390"/>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b/>
                <w:bCs/>
              </w:rPr>
            </w:pPr>
            <w:r>
              <w:rPr>
                <w:b/>
                <w:bCs/>
              </w:rPr>
              <w:t>obdobie</w:t>
            </w:r>
          </w:p>
        </w:tc>
        <w:tc>
          <w:tcPr>
            <w:tcW w:type="dxa" w:w="2390"/>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Názov položky</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 </w:t>
            </w:r>
          </w:p>
        </w:tc>
        <w:tc>
          <w:tcPr>
            <w:tcW w:type="dxa" w:w="2380"/>
            <w:tcBorders>
              <w:top w:val="nil"/>
              <w:left w:val="nil"/>
              <w:bottom w:val="nil"/>
              <w:right w:val="nil"/>
            </w:tcBorders>
            <w:shd w:fill="FFFFFF" w:val="clear"/>
            <w:vAlign w:val="center"/>
          </w:tcPr>
          <w:p>
            <w:pPr>
              <w:pStyle w:val="style64"/>
              <w:rPr/>
            </w:pPr>
            <w:r>
              <w:rPr/>
              <w:t> </w:t>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Pokladnica</w:t>
            </w:r>
          </w:p>
        </w:tc>
        <w:tc>
          <w:tcPr>
            <w:tcW w:type="dxa" w:w="2380"/>
            <w:tcBorders>
              <w:top w:val="nil"/>
              <w:left w:val="nil"/>
              <w:bottom w:val="nil"/>
              <w:right w:val="nil"/>
            </w:tcBorders>
            <w:shd w:fill="FFFFFF" w:val="clear"/>
            <w:vAlign w:val="center"/>
          </w:tcPr>
          <w:p>
            <w:pPr>
              <w:pStyle w:val="style64"/>
              <w:rPr/>
            </w:pPr>
            <w:r>
              <w:rPr/>
              <w:t xml:space="preserve">                   </w:t>
            </w:r>
            <w:r>
              <w:rPr/>
              <w:t>5238</w:t>
            </w:r>
            <w:r>
              <w:rPr/>
              <w:t xml:space="preserve"> </w:t>
            </w:r>
          </w:p>
        </w:tc>
        <w:tc>
          <w:tcPr>
            <w:tcW w:type="dxa" w:w="2390"/>
            <w:tcBorders>
              <w:top w:val="nil"/>
              <w:left w:val="nil"/>
              <w:bottom w:val="nil"/>
              <w:right w:val="nil"/>
            </w:tcBorders>
            <w:shd w:fill="FFFFFF" w:val="clear"/>
            <w:vAlign w:val="center"/>
          </w:tcPr>
          <w:p>
            <w:pPr>
              <w:pStyle w:val="style64"/>
              <w:rPr/>
            </w:pPr>
            <w:r>
              <w:rPr/>
              <w:t xml:space="preserve">           </w:t>
            </w:r>
            <w:r>
              <w:rPr/>
              <w:t>5768</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ce</w:t>
            </w:r>
            <w:r>
              <w:rPr/>
              <w:t>niny</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EUR</w:t>
            </w:r>
          </w:p>
        </w:tc>
        <w:tc>
          <w:tcPr>
            <w:tcW w:type="dxa" w:w="2380"/>
            <w:tcBorders>
              <w:top w:val="nil"/>
              <w:left w:val="nil"/>
              <w:bottom w:val="nil"/>
              <w:right w:val="nil"/>
            </w:tcBorders>
            <w:shd w:fill="FFFFFF" w:val="clear"/>
            <w:vAlign w:val="center"/>
          </w:tcPr>
          <w:p>
            <w:pPr>
              <w:pStyle w:val="style64"/>
              <w:rPr/>
            </w:pPr>
            <w:r>
              <w:rPr/>
              <w:t xml:space="preserve">                   </w:t>
            </w:r>
            <w:r>
              <w:rPr/>
              <w:t>4058</w:t>
            </w:r>
          </w:p>
        </w:tc>
        <w:tc>
          <w:tcPr>
            <w:tcW w:type="dxa" w:w="2390"/>
            <w:tcBorders>
              <w:top w:val="nil"/>
              <w:left w:val="nil"/>
              <w:bottom w:val="nil"/>
              <w:right w:val="nil"/>
            </w:tcBorders>
            <w:shd w:fill="FFFFFF" w:val="clear"/>
            <w:vAlign w:val="center"/>
          </w:tcPr>
          <w:p>
            <w:pPr>
              <w:pStyle w:val="style64"/>
              <w:rPr/>
            </w:pPr>
            <w:r>
              <w:rPr/>
              <w:t xml:space="preserve">           </w:t>
            </w:r>
            <w:r>
              <w:rPr/>
              <w:t>2086</w:t>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Bankový účet v mene PLN</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64"/>
              <w:rPr/>
            </w:pPr>
            <w:r>
              <w:rPr/>
              <w:t>PeyPal</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pPr>
            <w:r>
              <w:rPr/>
              <w:t>Peniaze na ceste</w:t>
            </w:r>
          </w:p>
        </w:tc>
        <w:tc>
          <w:tcPr>
            <w:tcW w:type="dxa" w:w="2380"/>
            <w:tcBorders>
              <w:top w:val="nil"/>
              <w:left w:val="nil"/>
              <w:bottom w:val="nil"/>
              <w:right w:val="nil"/>
            </w:tcBorders>
            <w:shd w:fill="FFFFFF" w:val="clear"/>
            <w:vAlign w:val="center"/>
          </w:tcPr>
          <w:p>
            <w:pPr>
              <w:pStyle w:val="style64"/>
              <w:rPr/>
            </w:pPr>
            <w:r>
              <w:rPr/>
            </w:r>
          </w:p>
        </w:tc>
        <w:tc>
          <w:tcPr>
            <w:tcW w:type="dxa" w:w="2390"/>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2805"/>
            <w:tcBorders>
              <w:top w:val="nil"/>
              <w:left w:val="nil"/>
              <w:bottom w:val="nil"/>
              <w:right w:val="nil"/>
            </w:tcBorders>
            <w:shd w:fill="FFFFFF" w:val="clear"/>
            <w:vAlign w:val="center"/>
          </w:tcPr>
          <w:p>
            <w:pPr>
              <w:pStyle w:val="style64"/>
              <w:rPr>
                <w:b/>
                <w:bCs/>
              </w:rPr>
            </w:pPr>
            <w:r>
              <w:rPr/>
              <w:t> </w:t>
            </w:r>
            <w:r>
              <w:rPr>
                <w:b/>
                <w:bCs/>
              </w:rPr>
              <w:t>Spolu:</w:t>
            </w:r>
          </w:p>
        </w:tc>
        <w:tc>
          <w:tcPr>
            <w:tcW w:type="dxa" w:w="2380"/>
            <w:tcBorders>
              <w:top w:val="nil"/>
              <w:left w:val="nil"/>
              <w:bottom w:val="nil"/>
              <w:right w:val="nil"/>
            </w:tcBorders>
            <w:shd w:fill="FFFFFF" w:val="clear"/>
            <w:vAlign w:val="center"/>
          </w:tcPr>
          <w:p>
            <w:pPr>
              <w:pStyle w:val="style64"/>
              <w:rPr>
                <w:b/>
                <w:bCs/>
              </w:rPr>
            </w:pPr>
            <w:r>
              <w:rPr>
                <w:b/>
                <w:bCs/>
              </w:rPr>
              <w:t xml:space="preserve">                    </w:t>
            </w:r>
            <w:r>
              <w:rPr>
                <w:b/>
                <w:bCs/>
              </w:rPr>
              <w:t>9316</w:t>
            </w:r>
          </w:p>
        </w:tc>
        <w:tc>
          <w:tcPr>
            <w:tcW w:type="dxa" w:w="2390"/>
            <w:tcBorders>
              <w:top w:val="nil"/>
              <w:left w:val="nil"/>
              <w:bottom w:val="nil"/>
              <w:right w:val="nil"/>
            </w:tcBorders>
            <w:shd w:fill="FFFFFF" w:val="clear"/>
            <w:vAlign w:val="center"/>
          </w:tcPr>
          <w:p>
            <w:pPr>
              <w:pStyle w:val="style64"/>
              <w:rPr>
                <w:b/>
                <w:bCs/>
              </w:rPr>
            </w:pPr>
            <w:r>
              <w:rPr>
                <w:b/>
                <w:bCs/>
              </w:rPr>
              <w:t xml:space="preserve">            </w:t>
            </w:r>
            <w:r>
              <w:rPr>
                <w:b/>
                <w:bCs/>
              </w:rPr>
              <w:t>7854</w:t>
            </w:r>
          </w:p>
        </w:tc>
      </w:tr>
    </w:tbl>
    <w:p>
      <w:pPr>
        <w:pStyle w:val="style49"/>
        <w:rPr>
          <w:b/>
          <w:bCs/>
          <w:sz w:val="18"/>
          <w:szCs w:val="18"/>
        </w:rPr>
      </w:pPr>
      <w:r>
        <w:rPr>
          <w:b/>
          <w:bCs/>
          <w:sz w:val="18"/>
          <w:szCs w:val="18"/>
        </w:rPr>
      </w:r>
    </w:p>
    <w:p>
      <w:pPr>
        <w:pStyle w:val="style49"/>
        <w:rPr>
          <w:b w:val="false"/>
          <w:bCs w:val="false"/>
          <w:sz w:val="18"/>
          <w:szCs w:val="18"/>
        </w:rPr>
      </w:pPr>
      <w:r>
        <w:rPr>
          <w:b w:val="false"/>
          <w:bCs w:val="false"/>
          <w:sz w:val="18"/>
          <w:szCs w:val="18"/>
        </w:rPr>
        <w:t>Spoločnosť má zriadený  účt vo Fio banke, a.s., pobočka zahraničnej banky, Nám.</w:t>
      </w:r>
    </w:p>
    <w:p>
      <w:pPr>
        <w:pStyle w:val="style49"/>
        <w:rPr>
          <w:b w:val="false"/>
          <w:bCs w:val="false"/>
          <w:sz w:val="18"/>
          <w:szCs w:val="18"/>
        </w:rPr>
      </w:pPr>
      <w:r>
        <w:rPr>
          <w:b w:val="false"/>
          <w:bCs w:val="false"/>
          <w:sz w:val="18"/>
          <w:szCs w:val="18"/>
        </w:rPr>
        <w:t>SNP 21, Bratislava.</w:t>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4.  Informácie o rozdelení účtovného zisku alebo vysporiadanie účtovnej straty.</w:t>
      </w:r>
    </w:p>
    <w:p>
      <w:pPr>
        <w:pStyle w:val="style49"/>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1"/>
        <w:gridCol w:w="3049"/>
      </w:tblGrid>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tabuľka č. 1</w:t>
            </w:r>
          </w:p>
        </w:tc>
        <w:tc>
          <w:tcPr>
            <w:tcW w:type="dxa" w:w="3049"/>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t>N</w:t>
            </w:r>
            <w:r>
              <w:rPr>
                <w:b/>
                <w:bCs/>
              </w:rPr>
              <w:t>ázov položky</w:t>
            </w:r>
          </w:p>
        </w:tc>
        <w:tc>
          <w:tcPr>
            <w:tcW w:type="dxa" w:w="3049"/>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b/>
                <w:bCs/>
              </w:rPr>
            </w:pPr>
            <w:r>
              <w:rPr>
                <w:b/>
                <w:bCs/>
              </w:rPr>
              <w:t>Účtovný zisk</w:t>
            </w:r>
          </w:p>
        </w:tc>
        <w:tc>
          <w:tcPr>
            <w:tcW w:type="dxa" w:w="3049"/>
            <w:tcBorders>
              <w:top w:val="nil"/>
              <w:left w:val="nil"/>
              <w:bottom w:val="nil"/>
              <w:right w:val="nil"/>
            </w:tcBorders>
            <w:shd w:fill="FFFFFF" w:val="clear"/>
            <w:vAlign w:val="center"/>
          </w:tcPr>
          <w:p>
            <w:pPr>
              <w:pStyle w:val="style64"/>
              <w:rPr/>
            </w:pPr>
            <w:r>
              <w:rPr/>
              <w:t xml:space="preserve">                  </w:t>
            </w:r>
            <w:r>
              <w:rPr/>
              <w:t>0</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 </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účtovného zisku</w:t>
            </w:r>
          </w:p>
        </w:tc>
        <w:tc>
          <w:tcPr>
            <w:tcW w:type="dxa" w:w="3049"/>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zákonného rezervného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štatutárnych a ostatných fondov</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do sociálneho fondu</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Prídel na zvýšenie základného imania</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Úhrada straty minulých období</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Prevod do nerozdeleného zisku minulých rokov</w:t>
            </w:r>
          </w:p>
        </w:tc>
        <w:tc>
          <w:tcPr>
            <w:tcW w:type="dxa" w:w="3049"/>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t>Rozdelenie podielu na zisku spoločníkom</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31"/>
            <w:tcBorders>
              <w:top w:val="nil"/>
              <w:left w:val="nil"/>
              <w:bottom w:val="nil"/>
              <w:right w:val="nil"/>
            </w:tcBorders>
            <w:shd w:fill="FFFFFF" w:val="clear"/>
            <w:vAlign w:val="center"/>
          </w:tcPr>
          <w:p>
            <w:pPr>
              <w:pStyle w:val="style64"/>
              <w:rPr/>
            </w:pPr>
            <w:r>
              <w:rPr/>
            </w:r>
          </w:p>
        </w:tc>
        <w:tc>
          <w:tcPr>
            <w:tcW w:type="dxa" w:w="3049"/>
            <w:tcBorders>
              <w:top w:val="nil"/>
              <w:left w:val="nil"/>
              <w:bottom w:val="nil"/>
              <w:right w:val="nil"/>
            </w:tcBorders>
            <w:shd w:fill="FFFFFF" w:val="clear"/>
            <w:vAlign w:val="center"/>
          </w:tcPr>
          <w:p>
            <w:pPr>
              <w:pStyle w:val="style64"/>
              <w:rPr/>
            </w:pPr>
            <w:r>
              <w:rPr/>
              <w:t xml:space="preserve">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pPr>
            <w:r>
              <w:rPr/>
              <w:t>iné</w:t>
            </w:r>
          </w:p>
        </w:tc>
        <w:tc>
          <w:tcPr>
            <w:tcW w:type="dxa" w:w="3049"/>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31"/>
            <w:tcBorders>
              <w:top w:val="nil"/>
              <w:left w:val="nil"/>
              <w:bottom w:val="nil"/>
              <w:right w:val="nil"/>
            </w:tcBorders>
            <w:shd w:fill="FFFFFF" w:val="clear"/>
            <w:vAlign w:val="center"/>
          </w:tcPr>
          <w:p>
            <w:pPr>
              <w:pStyle w:val="style64"/>
              <w:rPr>
                <w:b/>
                <w:bCs/>
              </w:rPr>
            </w:pPr>
            <w:r>
              <w:rPr>
                <w:b/>
                <w:bCs/>
              </w:rPr>
              <w:t>Spolu:</w:t>
            </w:r>
          </w:p>
        </w:tc>
        <w:tc>
          <w:tcPr>
            <w:tcW w:type="dxa" w:w="3049"/>
            <w:tcBorders>
              <w:top w:val="nil"/>
              <w:left w:val="nil"/>
              <w:bottom w:val="nil"/>
              <w:right w:val="nil"/>
            </w:tcBorders>
            <w:shd w:fill="FFFFFF" w:val="clear"/>
            <w:vAlign w:val="center"/>
          </w:tcPr>
          <w:p>
            <w:pPr>
              <w:pStyle w:val="style64"/>
              <w:rPr>
                <w:b/>
                <w:bCs/>
              </w:rPr>
            </w:pPr>
            <w:r>
              <w:rPr/>
              <w:t xml:space="preserve">              </w:t>
            </w:r>
            <w:r>
              <w:rPr>
                <w:b/>
                <w:bCs/>
              </w:rPr>
              <w:t xml:space="preserve">      </w:t>
            </w:r>
            <w:r>
              <w:rPr>
                <w:b/>
                <w:bCs/>
              </w:rPr>
              <w:t>0</w:t>
            </w:r>
          </w:p>
        </w:tc>
      </w:tr>
    </w:tbl>
    <w:p>
      <w:pPr>
        <w:pStyle w:val="style49"/>
        <w:rPr>
          <w:b w:val="false"/>
          <w:bCs w:val="false"/>
          <w:sz w:val="18"/>
          <w:szCs w:val="18"/>
        </w:rPr>
      </w:pPr>
      <w:r>
        <w:rPr>
          <w:b w:val="false"/>
          <w:bCs w:val="false"/>
          <w:sz w:val="18"/>
          <w:szCs w:val="18"/>
        </w:rPr>
        <w:t>Sp</w:t>
      </w:r>
      <w:r>
        <w:rPr>
          <w:b w:val="false"/>
          <w:bCs w:val="false"/>
          <w:sz w:val="18"/>
          <w:szCs w:val="18"/>
        </w:rPr>
        <w:t>oločnosť v účtovnom období nevykázala zisk, účtovala iba o odloženej dani.</w:t>
      </w:r>
    </w:p>
    <w:p>
      <w:pPr>
        <w:pStyle w:val="style49"/>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5"/>
        <w:gridCol w:w="3015"/>
      </w:tblGrid>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tabuľka č. 2</w:t>
            </w:r>
          </w:p>
        </w:tc>
        <w:tc>
          <w:tcPr>
            <w:tcW w:type="dxa" w:w="3015"/>
            <w:tcBorders>
              <w:top w:val="nil"/>
              <w:left w:val="nil"/>
              <w:bottom w:val="nil"/>
              <w:right w:val="nil"/>
            </w:tcBorders>
            <w:shd w:fill="FFFFFF" w:val="clear"/>
            <w:vAlign w:val="center"/>
          </w:tcPr>
          <w:p>
            <w:pPr>
              <w:pStyle w:val="style64"/>
              <w:rPr>
                <w:sz w:val="4"/>
                <w:szCs w:val="4"/>
              </w:rPr>
            </w:pPr>
            <w:r>
              <w:rPr>
                <w:sz w:val="4"/>
                <w:szCs w:val="4"/>
              </w:rPr>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Názov položky</w:t>
            </w:r>
          </w:p>
        </w:tc>
        <w:tc>
          <w:tcPr>
            <w:tcW w:type="dxa" w:w="3015"/>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b/>
                <w:bCs/>
              </w:rPr>
            </w:pPr>
            <w:r>
              <w:rPr>
                <w:b/>
                <w:bCs/>
              </w:rPr>
              <w:t>Účtovná strata</w:t>
            </w:r>
          </w:p>
        </w:tc>
        <w:tc>
          <w:tcPr>
            <w:tcW w:type="dxa" w:w="3015"/>
            <w:tcBorders>
              <w:top w:val="nil"/>
              <w:left w:val="nil"/>
              <w:bottom w:val="nil"/>
              <w:right w:val="nil"/>
            </w:tcBorders>
            <w:shd w:fill="FFFFFF" w:val="clear"/>
            <w:vAlign w:val="center"/>
          </w:tcPr>
          <w:p>
            <w:pPr>
              <w:pStyle w:val="style64"/>
              <w:jc w:val="center"/>
              <w:rPr/>
            </w:pPr>
            <w:r>
              <w:rPr/>
              <w:t> </w:t>
            </w:r>
            <w:r>
              <w:rPr/>
              <w:t>480</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 </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vysporiadanie účtovnej straty</w:t>
            </w:r>
          </w:p>
        </w:tc>
        <w:tc>
          <w:tcPr>
            <w:tcW w:type="dxa" w:w="3015"/>
            <w:tcBorders>
              <w:top w:val="nil"/>
              <w:left w:val="nil"/>
              <w:bottom w:val="nil"/>
              <w:right w:val="nil"/>
            </w:tcBorders>
            <w:shd w:fill="FFFFFF" w:val="clear"/>
            <w:vAlign w:val="center"/>
          </w:tcPr>
          <w:p>
            <w:pPr>
              <w:pStyle w:val="style64"/>
              <w:jc w:val="center"/>
              <w:rPr>
                <w:b/>
                <w:bCs/>
              </w:rPr>
            </w:pPr>
            <w:r>
              <w:rPr>
                <w:b/>
                <w:bCs/>
              </w:rPr>
              <w:t>Bežné účtovné obdobie</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zákonného rezervného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štatutárnych a ostatných fondov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do sociálneho fondu</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Prídel na zvýšenie základného imania</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Úhrada straty minulých období</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Prevod do nerozdeleného zisku minulých rokov</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4165"/>
            <w:tcBorders>
              <w:top w:val="nil"/>
              <w:left w:val="nil"/>
              <w:bottom w:val="nil"/>
              <w:right w:val="nil"/>
            </w:tcBorders>
            <w:shd w:fill="FFFFFF" w:val="clear"/>
            <w:vAlign w:val="center"/>
          </w:tcPr>
          <w:p>
            <w:pPr>
              <w:pStyle w:val="style64"/>
              <w:rPr/>
            </w:pPr>
            <w:r>
              <w:rPr/>
              <w:t>Rozdelenie podielu na zisku spoločníkom</w:t>
            </w:r>
          </w:p>
        </w:tc>
        <w:tc>
          <w:tcPr>
            <w:tcW w:type="dxa" w:w="3015"/>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pPr>
            <w:r>
              <w:rPr/>
              <w:t>Daňová licencia</w:t>
            </w:r>
          </w:p>
        </w:tc>
        <w:tc>
          <w:tcPr>
            <w:tcW w:type="dxa" w:w="3015"/>
            <w:tcBorders>
              <w:top w:val="nil"/>
              <w:left w:val="nil"/>
              <w:bottom w:val="nil"/>
              <w:right w:val="nil"/>
            </w:tcBorders>
            <w:shd w:fill="FFFFFF" w:val="clear"/>
            <w:vAlign w:val="center"/>
          </w:tcPr>
          <w:p>
            <w:pPr>
              <w:pStyle w:val="style64"/>
              <w:jc w:val="center"/>
              <w:rPr/>
            </w:pPr>
            <w:r>
              <w:rPr/>
              <w:t>480</w:t>
            </w:r>
          </w:p>
        </w:tc>
      </w:tr>
      <w:tr>
        <w:trPr>
          <w:trHeight w:hRule="atLeast" w:val="315"/>
          <w:cantSplit w:val="false"/>
        </w:trPr>
        <w:tc>
          <w:tcPr>
            <w:tcW w:type="dxa" w:w="4165"/>
            <w:tcBorders>
              <w:top w:val="nil"/>
              <w:left w:val="nil"/>
              <w:bottom w:val="nil"/>
              <w:right w:val="nil"/>
            </w:tcBorders>
            <w:shd w:fill="FFFFFF" w:val="clear"/>
            <w:vAlign w:val="center"/>
          </w:tcPr>
          <w:p>
            <w:pPr>
              <w:pStyle w:val="style64"/>
              <w:rPr>
                <w:b/>
                <w:bCs/>
              </w:rPr>
            </w:pPr>
            <w:r>
              <w:rPr>
                <w:b/>
                <w:bCs/>
              </w:rPr>
              <w:t>Spolu:</w:t>
            </w:r>
          </w:p>
        </w:tc>
        <w:tc>
          <w:tcPr>
            <w:tcW w:type="dxa" w:w="3015"/>
            <w:tcBorders>
              <w:top w:val="nil"/>
              <w:left w:val="nil"/>
              <w:bottom w:val="nil"/>
              <w:right w:val="nil"/>
            </w:tcBorders>
            <w:shd w:fill="FFFFFF" w:val="clear"/>
            <w:vAlign w:val="center"/>
          </w:tcPr>
          <w:p>
            <w:pPr>
              <w:pStyle w:val="style64"/>
              <w:jc w:val="center"/>
              <w:rPr/>
            </w:pPr>
            <w:r>
              <w:rPr/>
              <w:t>480</w:t>
            </w:r>
          </w:p>
        </w:tc>
      </w:tr>
    </w:tbl>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t>Na základe rozhodnutia Valného zhromaždenia, ktoré sa konalo dňa 30.04.201</w:t>
      </w:r>
      <w:r>
        <w:rPr>
          <w:b w:val="false"/>
          <w:bCs w:val="false"/>
          <w:sz w:val="18"/>
          <w:szCs w:val="18"/>
        </w:rPr>
        <w:t>7</w:t>
      </w:r>
    </w:p>
    <w:p>
      <w:pPr>
        <w:pStyle w:val="style49"/>
        <w:rPr>
          <w:b w:val="false"/>
          <w:bCs w:val="false"/>
          <w:sz w:val="18"/>
          <w:szCs w:val="18"/>
        </w:rPr>
      </w:pPr>
      <w:r>
        <w:rPr>
          <w:b w:val="false"/>
          <w:bCs w:val="false"/>
          <w:sz w:val="18"/>
          <w:szCs w:val="18"/>
        </w:rPr>
        <w:t xml:space="preserve">spoločnosť </w:t>
      </w:r>
      <w:r>
        <w:rPr>
          <w:b w:val="false"/>
          <w:bCs w:val="false"/>
          <w:sz w:val="18"/>
          <w:szCs w:val="18"/>
        </w:rPr>
        <w:t>nevykazovala žiadnu činnosť, nebol vytvorený zisk ani strata.</w:t>
      </w:r>
      <w:r>
        <w:rPr>
          <w:b w:val="false"/>
          <w:bCs w:val="false"/>
          <w:sz w:val="18"/>
          <w:szCs w:val="18"/>
        </w:rPr>
        <w:t xml:space="preserve"> </w:t>
      </w:r>
    </w:p>
    <w:p>
      <w:pPr>
        <w:pStyle w:val="style49"/>
        <w:rPr>
          <w:b w:val="false"/>
          <w:bCs w:val="false"/>
          <w:sz w:val="18"/>
          <w:szCs w:val="18"/>
        </w:rPr>
      </w:pPr>
      <w:r>
        <w:rPr>
          <w:b w:val="false"/>
          <w:bCs w:val="false"/>
          <w:sz w:val="18"/>
          <w:szCs w:val="18"/>
        </w:rPr>
        <w:t>Spoločnosť platila iba daňovú licenciu vo výške 480,00 €</w:t>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5.  Informácie o rezervách</w:t>
      </w:r>
    </w:p>
    <w:p>
      <w:pPr>
        <w:pStyle w:val="style49"/>
        <w:rPr>
          <w:b w:val="false"/>
          <w:bCs w:val="false"/>
          <w:sz w:val="18"/>
          <w:szCs w:val="18"/>
        </w:rPr>
      </w:pPr>
      <w:r>
        <w:rPr>
          <w:b w:val="false"/>
          <w:bCs w:val="false"/>
          <w:sz w:val="18"/>
          <w:szCs w:val="18"/>
        </w:rPr>
        <w:t>Spoločnosť v bežnom účtovnom období nemala povinnosť tvoriť rezervy.</w:t>
      </w:r>
    </w:p>
    <w:p>
      <w:pPr>
        <w:pStyle w:val="style49"/>
        <w:rPr>
          <w:b w:val="false"/>
          <w:bCs w:val="false"/>
          <w:sz w:val="18"/>
          <w:szCs w:val="18"/>
        </w:rPr>
      </w:pPr>
      <w:r>
        <w:rPr>
          <w:b w:val="false"/>
          <w:bCs w:val="false"/>
          <w:sz w:val="18"/>
          <w:szCs w:val="18"/>
        </w:rPr>
      </w:r>
    </w:p>
    <w:p>
      <w:pPr>
        <w:pStyle w:val="style49"/>
        <w:rPr>
          <w:b/>
          <w:bCs/>
          <w:sz w:val="18"/>
          <w:szCs w:val="18"/>
        </w:rPr>
      </w:pPr>
      <w:r>
        <w:rPr>
          <w:b/>
          <w:bCs/>
          <w:sz w:val="18"/>
          <w:szCs w:val="18"/>
        </w:rPr>
        <w:t>6.  Informácie o záväzkoch</w:t>
      </w:r>
    </w:p>
    <w:p>
      <w:pPr>
        <w:pStyle w:val="style49"/>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899"/>
        <w:gridCol w:w="2484"/>
        <w:gridCol w:w="2492"/>
      </w:tblGrid>
      <w:tr>
        <w:trPr>
          <w:trHeight w:hRule="atLeast" w:val="300"/>
          <w:cantSplit w:val="false"/>
        </w:trPr>
        <w:tc>
          <w:tcPr>
            <w:tcW w:type="dxa" w:w="2899"/>
            <w:tcBorders>
              <w:top w:val="nil"/>
              <w:left w:val="nil"/>
              <w:bottom w:val="nil"/>
              <w:right w:val="nil"/>
            </w:tcBorders>
            <w:shd w:fill="FFFFFF" w:val="clear"/>
            <w:vAlign w:val="center"/>
          </w:tcPr>
          <w:p>
            <w:pPr>
              <w:pStyle w:val="style64"/>
              <w:rPr>
                <w:b/>
                <w:bCs/>
              </w:rPr>
            </w:pPr>
            <w:r>
              <w:rPr>
                <w:b/>
                <w:bCs/>
              </w:rPr>
              <w:t>Názov položky</w:t>
            </w:r>
          </w:p>
        </w:tc>
        <w:tc>
          <w:tcPr>
            <w:tcW w:type="dxa" w:w="2484"/>
            <w:tcBorders>
              <w:top w:val="nil"/>
              <w:left w:val="nil"/>
              <w:bottom w:val="nil"/>
              <w:right w:val="nil"/>
            </w:tcBorders>
            <w:shd w:fill="FFFFFF" w:val="clear"/>
            <w:vAlign w:val="center"/>
          </w:tcPr>
          <w:p>
            <w:pPr>
              <w:pStyle w:val="style64"/>
              <w:jc w:val="center"/>
              <w:rPr>
                <w:b/>
                <w:bCs/>
              </w:rPr>
            </w:pPr>
            <w:r>
              <w:rPr>
                <w:b/>
                <w:bCs/>
              </w:rPr>
              <w:t>Bežné 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Bezprostredne predchádzajúce</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 </w:t>
            </w:r>
          </w:p>
        </w:tc>
        <w:tc>
          <w:tcPr>
            <w:tcW w:type="dxa" w:w="2484"/>
            <w:tcBorders>
              <w:top w:val="nil"/>
              <w:left w:val="nil"/>
              <w:bottom w:val="nil"/>
              <w:right w:val="nil"/>
            </w:tcBorders>
            <w:shd w:fill="FFFFFF" w:val="clear"/>
            <w:vAlign w:val="center"/>
          </w:tcPr>
          <w:p>
            <w:pPr>
              <w:pStyle w:val="style64"/>
              <w:jc w:val="center"/>
              <w:rPr>
                <w:b/>
                <w:bCs/>
              </w:rPr>
            </w:pPr>
            <w:r>
              <w:rPr>
                <w:b/>
                <w:bCs/>
              </w:rPr>
              <w:t>účtovné obdobie</w:t>
            </w:r>
          </w:p>
        </w:tc>
        <w:tc>
          <w:tcPr>
            <w:tcW w:type="dxa" w:w="2492"/>
            <w:tcBorders>
              <w:top w:val="nil"/>
              <w:left w:val="nil"/>
              <w:bottom w:val="nil"/>
              <w:right w:val="nil"/>
            </w:tcBorders>
            <w:shd w:fill="FFFFFF" w:val="clear"/>
            <w:vAlign w:val="center"/>
          </w:tcPr>
          <w:p>
            <w:pPr>
              <w:pStyle w:val="style64"/>
              <w:jc w:val="center"/>
              <w:rPr>
                <w:b/>
                <w:bCs/>
              </w:rPr>
            </w:pPr>
            <w:r>
              <w:rPr>
                <w:b/>
                <w:bCs/>
              </w:rPr>
              <w:t>účtovné obdobie</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z obchodného styku</w:t>
            </w:r>
          </w:p>
        </w:tc>
        <w:tc>
          <w:tcPr>
            <w:tcW w:type="dxa" w:w="2484"/>
            <w:tcBorders>
              <w:top w:val="nil"/>
              <w:left w:val="nil"/>
              <w:bottom w:val="nil"/>
              <w:right w:val="nil"/>
            </w:tcBorders>
            <w:shd w:fill="FFFFFF" w:val="clear"/>
            <w:vAlign w:val="center"/>
          </w:tcPr>
          <w:p>
            <w:pPr>
              <w:pStyle w:val="style64"/>
              <w:rPr/>
            </w:pPr>
            <w:r>
              <w:rPr/>
              <w:t xml:space="preserve">                    </w:t>
            </w:r>
            <w:r>
              <w:rPr/>
              <w:t>0</w:t>
            </w:r>
          </w:p>
        </w:tc>
        <w:tc>
          <w:tcPr>
            <w:tcW w:type="dxa" w:w="2492"/>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voči daňovému úradu</w:t>
            </w:r>
          </w:p>
        </w:tc>
        <w:tc>
          <w:tcPr>
            <w:tcW w:type="dxa" w:w="2484"/>
            <w:tcBorders>
              <w:top w:val="nil"/>
              <w:left w:val="nil"/>
              <w:bottom w:val="nil"/>
              <w:right w:val="nil"/>
            </w:tcBorders>
            <w:shd w:fill="FFFFFF" w:val="clear"/>
            <w:vAlign w:val="center"/>
          </w:tcPr>
          <w:p>
            <w:pPr>
              <w:pStyle w:val="style64"/>
              <w:rPr>
                <w:sz w:val="16"/>
                <w:szCs w:val="16"/>
              </w:rPr>
            </w:pPr>
            <w:r>
              <w:rPr/>
              <w:t xml:space="preserve">              </w:t>
            </w:r>
            <w:r>
              <w:rPr>
                <w:sz w:val="16"/>
                <w:szCs w:val="16"/>
              </w:rPr>
              <w:t xml:space="preserve">     </w:t>
            </w:r>
            <w:r>
              <w:rPr>
                <w:sz w:val="16"/>
                <w:szCs w:val="16"/>
              </w:rPr>
              <w:t>408</w:t>
            </w:r>
          </w:p>
        </w:tc>
        <w:tc>
          <w:tcPr>
            <w:tcW w:type="dxa" w:w="2492"/>
            <w:tcBorders>
              <w:top w:val="nil"/>
              <w:left w:val="nil"/>
              <w:bottom w:val="nil"/>
              <w:right w:val="nil"/>
            </w:tcBorders>
            <w:shd w:fill="FFFFFF" w:val="clear"/>
            <w:vAlign w:val="center"/>
          </w:tcPr>
          <w:p>
            <w:pPr>
              <w:pStyle w:val="style64"/>
              <w:rPr/>
            </w:pPr>
            <w:r>
              <w:rPr/>
              <w:t xml:space="preserve">                 </w:t>
            </w:r>
            <w:r>
              <w:rPr/>
              <w:t>480</w:t>
            </w:r>
            <w:r>
              <w:rPr/>
              <w:t xml:space="preserve"> </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Iné záväzky</w:t>
            </w:r>
          </w:p>
        </w:tc>
        <w:tc>
          <w:tcPr>
            <w:tcW w:type="dxa" w:w="2484"/>
            <w:tcBorders>
              <w:top w:val="nil"/>
              <w:left w:val="nil"/>
              <w:bottom w:val="nil"/>
              <w:right w:val="nil"/>
            </w:tcBorders>
            <w:shd w:fill="FFFFFF" w:val="clear"/>
            <w:vAlign w:val="center"/>
          </w:tcPr>
          <w:p>
            <w:pPr>
              <w:pStyle w:val="style64"/>
              <w:rPr/>
            </w:pPr>
            <w:r>
              <w:rPr/>
              <w:t> </w:t>
            </w:r>
          </w:p>
        </w:tc>
        <w:tc>
          <w:tcPr>
            <w:tcW w:type="dxa" w:w="2492"/>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Krátkodobé záväzky spolu:</w:t>
            </w:r>
          </w:p>
        </w:tc>
        <w:tc>
          <w:tcPr>
            <w:tcW w:type="dxa" w:w="2484"/>
            <w:tcBorders>
              <w:top w:val="nil"/>
              <w:left w:val="nil"/>
              <w:bottom w:val="nil"/>
              <w:right w:val="nil"/>
            </w:tcBorders>
            <w:shd w:fill="FFFFFF" w:val="clear"/>
            <w:vAlign w:val="center"/>
          </w:tcPr>
          <w:p>
            <w:pPr>
              <w:pStyle w:val="style64"/>
              <w:rPr>
                <w:b/>
                <w:bCs/>
                <w:sz w:val="16"/>
                <w:szCs w:val="16"/>
              </w:rPr>
            </w:pPr>
            <w:r>
              <w:rPr>
                <w:b/>
                <w:bCs/>
                <w:sz w:val="16"/>
                <w:szCs w:val="16"/>
              </w:rPr>
              <w:t xml:space="preserve">                    </w:t>
            </w:r>
            <w:r>
              <w:rPr>
                <w:b/>
                <w:bCs/>
                <w:sz w:val="16"/>
                <w:szCs w:val="16"/>
              </w:rPr>
              <w:t>408</w:t>
            </w:r>
          </w:p>
        </w:tc>
        <w:tc>
          <w:tcPr>
            <w:tcW w:type="dxa" w:w="2492"/>
            <w:tcBorders>
              <w:top w:val="nil"/>
              <w:left w:val="nil"/>
              <w:bottom w:val="nil"/>
              <w:right w:val="nil"/>
            </w:tcBorders>
            <w:shd w:fill="FFFFFF" w:val="clear"/>
            <w:vAlign w:val="center"/>
          </w:tcPr>
          <w:p>
            <w:pPr>
              <w:pStyle w:val="style64"/>
              <w:rPr>
                <w:b/>
                <w:bCs/>
                <w:sz w:val="16"/>
                <w:szCs w:val="16"/>
              </w:rPr>
            </w:pPr>
            <w:r>
              <w:rPr>
                <w:b/>
                <w:bCs/>
                <w:sz w:val="16"/>
                <w:szCs w:val="16"/>
              </w:rPr>
              <w:t xml:space="preserve">                   </w:t>
            </w:r>
            <w:r>
              <w:rPr>
                <w:b/>
                <w:bCs/>
                <w:sz w:val="16"/>
                <w:szCs w:val="16"/>
              </w:rPr>
              <w:t>480</w:t>
            </w:r>
          </w:p>
        </w:tc>
      </w:tr>
      <w:tr>
        <w:trPr>
          <w:trHeight w:hRule="atLeast" w:val="300"/>
          <w:cantSplit w:val="false"/>
        </w:trPr>
        <w:tc>
          <w:tcPr>
            <w:tcW w:type="dxa" w:w="2899"/>
            <w:tcBorders>
              <w:top w:val="nil"/>
              <w:left w:val="nil"/>
              <w:bottom w:val="nil"/>
              <w:right w:val="nil"/>
            </w:tcBorders>
            <w:shd w:fill="FFFFFF" w:val="clear"/>
            <w:vAlign w:val="center"/>
          </w:tcPr>
          <w:p>
            <w:pPr>
              <w:pStyle w:val="style64"/>
              <w:rPr/>
            </w:pPr>
            <w:r>
              <w:rPr/>
              <w:t>Záväzky s dobou splatnosti 1-5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pPr>
            <w:r>
              <w:rPr/>
              <w:t>Záväzky s dobou splatnosti nad 5</w:t>
            </w:r>
          </w:p>
        </w:tc>
        <w:tc>
          <w:tcPr>
            <w:tcW w:type="dxa" w:w="2484"/>
            <w:tcBorders>
              <w:top w:val="nil"/>
              <w:left w:val="nil"/>
              <w:bottom w:val="nil"/>
              <w:right w:val="nil"/>
            </w:tcBorders>
            <w:shd w:fill="FFFFFF" w:val="clear"/>
            <w:vAlign w:val="center"/>
          </w:tcPr>
          <w:p>
            <w:pPr>
              <w:pStyle w:val="style64"/>
              <w:rPr/>
            </w:pPr>
            <w:r>
              <w:rPr/>
            </w:r>
          </w:p>
        </w:tc>
        <w:tc>
          <w:tcPr>
            <w:tcW w:type="dxa" w:w="2492"/>
            <w:tcBorders>
              <w:top w:val="nil"/>
              <w:left w:val="nil"/>
              <w:bottom w:val="nil"/>
              <w:right w:val="nil"/>
            </w:tcBorders>
            <w:shd w:fill="FFFFFF" w:val="clear"/>
            <w:vAlign w:val="center"/>
          </w:tcPr>
          <w:p>
            <w:pPr>
              <w:pStyle w:val="style64"/>
              <w:rPr/>
            </w:pPr>
            <w:r>
              <w:rPr/>
            </w:r>
          </w:p>
        </w:tc>
      </w:tr>
      <w:tr>
        <w:trPr>
          <w:trHeight w:hRule="atLeast" w:val="315"/>
          <w:cantSplit w:val="false"/>
        </w:trPr>
        <w:tc>
          <w:tcPr>
            <w:tcW w:type="dxa" w:w="2899"/>
            <w:tcBorders>
              <w:top w:val="nil"/>
              <w:left w:val="nil"/>
              <w:bottom w:val="nil"/>
              <w:right w:val="nil"/>
            </w:tcBorders>
            <w:shd w:fill="FFFFFF" w:val="clear"/>
            <w:vAlign w:val="center"/>
          </w:tcPr>
          <w:p>
            <w:pPr>
              <w:pStyle w:val="style64"/>
              <w:rPr>
                <w:b/>
                <w:bCs/>
              </w:rPr>
            </w:pPr>
            <w:r>
              <w:rPr>
                <w:b/>
                <w:bCs/>
              </w:rPr>
              <w:t>Záväzky spolu:</w:t>
            </w:r>
          </w:p>
        </w:tc>
        <w:tc>
          <w:tcPr>
            <w:tcW w:type="dxa" w:w="2484"/>
            <w:tcBorders>
              <w:top w:val="nil"/>
              <w:left w:val="nil"/>
              <w:bottom w:val="nil"/>
              <w:right w:val="nil"/>
            </w:tcBorders>
            <w:shd w:fill="FFFFFF" w:val="clear"/>
            <w:vAlign w:val="center"/>
          </w:tcPr>
          <w:p>
            <w:pPr>
              <w:pStyle w:val="style64"/>
              <w:jc w:val="center"/>
              <w:rPr>
                <w:b/>
                <w:bCs/>
                <w:sz w:val="16"/>
                <w:szCs w:val="16"/>
              </w:rPr>
            </w:pPr>
            <w:r>
              <w:rPr>
                <w:b/>
                <w:bCs/>
                <w:sz w:val="16"/>
                <w:szCs w:val="16"/>
              </w:rPr>
              <w:t xml:space="preserve"> </w:t>
            </w:r>
            <w:r>
              <w:rPr>
                <w:b/>
                <w:bCs/>
                <w:sz w:val="16"/>
                <w:szCs w:val="16"/>
              </w:rPr>
              <w:t>408</w:t>
            </w:r>
            <w:r>
              <w:rPr>
                <w:b/>
                <w:bCs/>
                <w:sz w:val="16"/>
                <w:szCs w:val="16"/>
              </w:rPr>
              <w:t xml:space="preserve">                                                           </w:t>
            </w:r>
          </w:p>
        </w:tc>
        <w:tc>
          <w:tcPr>
            <w:tcW w:type="dxa" w:w="2492"/>
            <w:tcBorders>
              <w:top w:val="nil"/>
              <w:left w:val="nil"/>
              <w:bottom w:val="nil"/>
              <w:right w:val="nil"/>
            </w:tcBorders>
            <w:shd w:fill="FFFFFF" w:val="clear"/>
            <w:vAlign w:val="center"/>
          </w:tcPr>
          <w:p>
            <w:pPr>
              <w:pStyle w:val="style64"/>
              <w:rPr>
                <w:b/>
                <w:bCs/>
                <w:sz w:val="16"/>
                <w:szCs w:val="16"/>
              </w:rPr>
            </w:pPr>
            <w:r>
              <w:rPr>
                <w:b/>
                <w:bCs/>
                <w:sz w:val="16"/>
                <w:szCs w:val="16"/>
              </w:rPr>
              <w:t xml:space="preserve">                   </w:t>
            </w:r>
            <w:r>
              <w:rPr>
                <w:b/>
                <w:bCs/>
                <w:sz w:val="16"/>
                <w:szCs w:val="16"/>
              </w:rPr>
              <w:t>480</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Spoločnosť vykazuje za hodnotiace obdobie iba krátkodobé záväzky v lehote splatnosti</w:t>
      </w:r>
    </w:p>
    <w:p>
      <w:pPr>
        <w:pStyle w:val="style49"/>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5"/>
        <w:gridCol w:w="2487"/>
        <w:gridCol w:w="2497"/>
      </w:tblGrid>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Bezprostredne predchádzajúce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jc w:val="center"/>
              <w:rPr>
                <w:b/>
                <w:bCs/>
                <w:sz w:val="16"/>
                <w:szCs w:val="16"/>
              </w:rPr>
            </w:pPr>
            <w:r>
              <w:rPr>
                <w:b/>
                <w:bCs/>
                <w:sz w:val="16"/>
                <w:szCs w:val="16"/>
              </w:rPr>
              <w:t>účtovné obdobie</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pôžičky</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pôžičiek</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Krátkodobé pôžičky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finančné výpomoci</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Úroky z finančných výpomocí</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00"/>
          <w:cantSplit w:val="false"/>
        </w:trPr>
        <w:tc>
          <w:tcPr>
            <w:tcW w:type="dxa" w:w="2905"/>
            <w:tcBorders>
              <w:top w:val="nil"/>
              <w:left w:val="nil"/>
              <w:bottom w:val="nil"/>
              <w:right w:val="nil"/>
            </w:tcBorders>
            <w:shd w:fill="FFFFFF" w:val="clear"/>
            <w:vAlign w:val="center"/>
          </w:tcPr>
          <w:p>
            <w:pPr>
              <w:pStyle w:val="style64"/>
              <w:rPr>
                <w:b/>
                <w:bCs/>
                <w:sz w:val="16"/>
                <w:szCs w:val="16"/>
              </w:rPr>
            </w:pPr>
            <w:r>
              <w:rPr>
                <w:b/>
                <w:bCs/>
                <w:sz w:val="16"/>
                <w:szCs w:val="16"/>
              </w:rPr>
              <w:t>Krátkodobé výpomoci spolu:</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r>
        <w:trPr>
          <w:trHeight w:hRule="atLeast" w:val="315"/>
          <w:cantSplit w:val="false"/>
        </w:trPr>
        <w:tc>
          <w:tcPr>
            <w:tcW w:type="dxa" w:w="2905"/>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87"/>
            <w:tcBorders>
              <w:top w:val="nil"/>
              <w:left w:val="nil"/>
              <w:bottom w:val="nil"/>
              <w:right w:val="nil"/>
            </w:tcBorders>
            <w:shd w:fill="FFFFFF" w:val="clear"/>
            <w:vAlign w:val="center"/>
          </w:tcPr>
          <w:p>
            <w:pPr>
              <w:pStyle w:val="style64"/>
              <w:rPr>
                <w:sz w:val="16"/>
                <w:szCs w:val="16"/>
              </w:rPr>
            </w:pPr>
            <w:r>
              <w:rPr>
                <w:sz w:val="16"/>
                <w:szCs w:val="16"/>
              </w:rPr>
              <w:t> </w:t>
            </w:r>
          </w:p>
        </w:tc>
        <w:tc>
          <w:tcPr>
            <w:tcW w:type="dxa" w:w="2497"/>
            <w:tcBorders>
              <w:top w:val="nil"/>
              <w:left w:val="nil"/>
              <w:bottom w:val="nil"/>
              <w:right w:val="nil"/>
            </w:tcBorders>
            <w:shd w:fill="FFFFFF" w:val="clear"/>
            <w:vAlign w:val="center"/>
          </w:tcPr>
          <w:p>
            <w:pPr>
              <w:pStyle w:val="style64"/>
              <w:rPr>
                <w:sz w:val="16"/>
                <w:szCs w:val="16"/>
              </w:rPr>
            </w:pPr>
            <w:r>
              <w:rPr>
                <w:sz w:val="16"/>
                <w:szCs w:val="16"/>
              </w:rPr>
              <w:t> </w:t>
            </w:r>
          </w:p>
        </w:tc>
      </w:tr>
    </w:tbl>
    <w:p>
      <w:pPr>
        <w:pStyle w:val="style49"/>
        <w:rPr>
          <w:b w:val="false"/>
          <w:bCs w:val="false"/>
          <w:sz w:val="18"/>
          <w:szCs w:val="18"/>
        </w:rPr>
      </w:pPr>
      <w:r>
        <w:rPr>
          <w:b w:val="false"/>
          <w:bCs w:val="false"/>
          <w:sz w:val="18"/>
          <w:szCs w:val="18"/>
        </w:rPr>
      </w:r>
    </w:p>
    <w:p>
      <w:pPr>
        <w:pStyle w:val="style49"/>
        <w:rPr>
          <w:b w:val="false"/>
          <w:bCs w:val="false"/>
          <w:sz w:val="16"/>
          <w:szCs w:val="16"/>
        </w:rPr>
      </w:pPr>
      <w:r>
        <w:rPr>
          <w:b w:val="false"/>
          <w:bCs w:val="false"/>
          <w:sz w:val="16"/>
          <w:szCs w:val="16"/>
        </w:rPr>
        <w:t xml:space="preserve">Spoločnosť v hodnotiacom období nečerpala žiadne bankové úvery, ani neposkytla žiadne pôžičky </w:t>
      </w:r>
    </w:p>
    <w:p>
      <w:pPr>
        <w:pStyle w:val="style49"/>
        <w:rPr>
          <w:b w:val="false"/>
          <w:bCs w:val="false"/>
          <w:sz w:val="16"/>
          <w:szCs w:val="16"/>
        </w:rPr>
      </w:pPr>
      <w:r>
        <w:rPr>
          <w:b w:val="false"/>
          <w:bCs w:val="false"/>
          <w:sz w:val="16"/>
          <w:szCs w:val="16"/>
        </w:rPr>
        <w:t>ani finančné výpomoci.</w:t>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Za rok 201</w:t>
      </w:r>
      <w:r>
        <w:rPr>
          <w:sz w:val="16"/>
          <w:szCs w:val="16"/>
        </w:rPr>
        <w:t>8</w:t>
      </w:r>
      <w:r>
        <w:rPr>
          <w:sz w:val="16"/>
          <w:szCs w:val="16"/>
        </w:rPr>
        <w:t xml:space="preserve"> spoločnosť dosiahla celkové výnosy vo výške   </w:t>
      </w:r>
      <w:r>
        <w:rPr>
          <w:sz w:val="16"/>
          <w:szCs w:val="16"/>
        </w:rPr>
        <w:t>3042,</w:t>
      </w:r>
      <w:r>
        <w:rPr>
          <w:b/>
          <w:bCs/>
          <w:sz w:val="16"/>
          <w:szCs w:val="16"/>
        </w:rPr>
        <w:t>00</w:t>
      </w:r>
      <w:r>
        <w:rPr>
          <w:sz w:val="16"/>
          <w:szCs w:val="16"/>
        </w:rPr>
        <w:t xml:space="preserve"> </w:t>
      </w:r>
      <w:r>
        <w:rPr>
          <w:b/>
          <w:bCs/>
          <w:sz w:val="16"/>
          <w:szCs w:val="16"/>
        </w:rPr>
        <w:t>€</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0"/>
        <w:gridCol w:w="2488"/>
        <w:gridCol w:w="2497"/>
      </w:tblGrid>
      <w:tr>
        <w:trPr>
          <w:trHeight w:hRule="atLeast" w:val="300"/>
          <w:cantSplit w:val="false"/>
        </w:trPr>
        <w:tc>
          <w:tcPr>
            <w:tcW w:type="dxa" w:w="3310"/>
            <w:tcBorders>
              <w:top w:val="nil"/>
              <w:left w:val="nil"/>
              <w:bottom w:val="nil"/>
              <w:right w:val="nil"/>
            </w:tcBorders>
            <w:shd w:fill="FFFFFF" w:val="clear"/>
            <w:vAlign w:val="center"/>
          </w:tcPr>
          <w:p>
            <w:pPr>
              <w:pStyle w:val="style64"/>
              <w:rPr>
                <w:b/>
                <w:bCs/>
              </w:rPr>
            </w:pPr>
            <w:r>
              <w:rPr>
                <w:b/>
                <w:bCs/>
              </w:rPr>
              <w:t>Oblasť odbytu</w:t>
            </w:r>
          </w:p>
        </w:tc>
        <w:tc>
          <w:tcPr>
            <w:tcW w:type="dxa" w:w="2488"/>
            <w:tcBorders>
              <w:top w:val="nil"/>
              <w:left w:val="nil"/>
              <w:bottom w:val="nil"/>
              <w:right w:val="nil"/>
            </w:tcBorders>
            <w:shd w:fill="FFFFFF" w:val="clear"/>
            <w:vAlign w:val="center"/>
          </w:tcPr>
          <w:p>
            <w:pPr>
              <w:pStyle w:val="style64"/>
              <w:rPr>
                <w:b/>
                <w:bCs/>
              </w:rPr>
            </w:pPr>
            <w:r>
              <w:rPr>
                <w:b/>
                <w:bCs/>
              </w:rPr>
              <w:t>Bežné účtovné obdobie</w:t>
            </w:r>
          </w:p>
        </w:tc>
        <w:tc>
          <w:tcPr>
            <w:tcW w:type="dxa" w:w="2497"/>
            <w:tcBorders>
              <w:top w:val="nil"/>
              <w:left w:val="nil"/>
              <w:bottom w:val="nil"/>
              <w:right w:val="nil"/>
            </w:tcBorders>
            <w:shd w:fill="FFFFFF" w:val="clear"/>
            <w:vAlign w:val="center"/>
          </w:tcPr>
          <w:p>
            <w:pPr>
              <w:pStyle w:val="style64"/>
              <w:rPr>
                <w:b/>
                <w:bCs/>
              </w:rPr>
            </w:pPr>
            <w:r>
              <w:rPr>
                <w:b/>
                <w:bCs/>
              </w:rPr>
              <w:t>Bezprostredne predchádzajúce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rPr>
            </w:pPr>
            <w:r>
              <w:rPr>
                <w:b/>
                <w:bCs/>
              </w:rPr>
              <w:t> </w:t>
            </w:r>
          </w:p>
        </w:tc>
        <w:tc>
          <w:tcPr>
            <w:tcW w:type="dxa" w:w="2488"/>
            <w:tcBorders>
              <w:top w:val="nil"/>
              <w:left w:val="nil"/>
              <w:bottom w:val="nil"/>
              <w:right w:val="nil"/>
            </w:tcBorders>
            <w:shd w:fill="FFFFFF" w:val="clear"/>
            <w:vAlign w:val="center"/>
          </w:tcPr>
          <w:p>
            <w:pPr>
              <w:pStyle w:val="style64"/>
              <w:rPr>
                <w:b/>
                <w:bCs/>
              </w:rPr>
            </w:pPr>
            <w:r>
              <w:rPr>
                <w:b/>
                <w:bCs/>
              </w:rPr>
              <w:t>účtovné obdobie</w:t>
            </w:r>
          </w:p>
        </w:tc>
        <w:tc>
          <w:tcPr>
            <w:tcW w:type="dxa" w:w="2497"/>
            <w:tcBorders>
              <w:top w:val="nil"/>
              <w:left w:val="nil"/>
              <w:bottom w:val="nil"/>
              <w:right w:val="nil"/>
            </w:tcBorders>
            <w:shd w:fill="FFFFFF" w:val="clear"/>
            <w:vAlign w:val="center"/>
          </w:tcPr>
          <w:p>
            <w:pPr>
              <w:pStyle w:val="style64"/>
              <w:rPr>
                <w:b/>
                <w:bCs/>
              </w:rPr>
            </w:pPr>
            <w:r>
              <w:rPr>
                <w:b/>
                <w:bCs/>
              </w:rPr>
              <w:t>účtovné obdobie</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Predaj služieb:</w:t>
            </w:r>
          </w:p>
        </w:tc>
        <w:tc>
          <w:tcPr>
            <w:tcW w:type="dxa" w:w="2488"/>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Predaj služieb – z toho:</w:t>
            </w:r>
          </w:p>
        </w:tc>
        <w:tc>
          <w:tcPr>
            <w:tcW w:type="dxa" w:w="2488"/>
            <w:tcBorders>
              <w:top w:val="nil"/>
              <w:left w:val="nil"/>
              <w:bottom w:val="nil"/>
              <w:right w:val="nil"/>
            </w:tcBorders>
            <w:shd w:fill="FFFFFF" w:val="clear"/>
            <w:vAlign w:val="center"/>
          </w:tcPr>
          <w:p>
            <w:pPr>
              <w:pStyle w:val="style64"/>
              <w:jc w:val="center"/>
              <w:rPr>
                <w:b/>
                <w:bCs/>
              </w:rPr>
            </w:pPr>
            <w:r>
              <w:rPr>
                <w:b/>
                <w:bCs/>
              </w:rPr>
              <w:t>3042</w:t>
            </w:r>
          </w:p>
        </w:tc>
        <w:tc>
          <w:tcPr>
            <w:tcW w:type="dxa" w:w="2497"/>
            <w:tcBorders>
              <w:top w:val="nil"/>
              <w:left w:val="nil"/>
              <w:bottom w:val="nil"/>
              <w:right w:val="nil"/>
            </w:tcBorders>
            <w:shd w:fill="FFFFFF" w:val="clear"/>
            <w:vAlign w:val="center"/>
          </w:tcPr>
          <w:p>
            <w:pPr>
              <w:pStyle w:val="style64"/>
              <w:jc w:val="center"/>
              <w:rPr>
                <w:b/>
                <w:bCs/>
              </w:rPr>
            </w:pPr>
            <w:r>
              <w:rPr/>
              <w:t xml:space="preserve">       </w:t>
            </w:r>
            <w:r>
              <w:rPr>
                <w:b/>
                <w:bCs/>
              </w:rPr>
              <w:t>0</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obc</w:t>
            </w:r>
            <w:r>
              <w:rPr/>
              <w:t>hodné zastúpenie</w:t>
            </w:r>
          </w:p>
        </w:tc>
        <w:tc>
          <w:tcPr>
            <w:tcW w:type="dxa" w:w="2488"/>
            <w:tcBorders>
              <w:top w:val="nil"/>
              <w:left w:val="nil"/>
              <w:bottom w:val="nil"/>
              <w:right w:val="nil"/>
            </w:tcBorders>
            <w:shd w:fill="FFFFFF" w:val="clear"/>
            <w:vAlign w:val="center"/>
          </w:tcPr>
          <w:p>
            <w:pPr>
              <w:pStyle w:val="style64"/>
              <w:jc w:val="center"/>
              <w:rPr/>
            </w:pPr>
            <w:r>
              <w:rPr/>
              <w:t>3042</w:t>
            </w:r>
          </w:p>
        </w:tc>
        <w:tc>
          <w:tcPr>
            <w:tcW w:type="dxa" w:w="2497"/>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 Hostingové služby</w:t>
            </w:r>
          </w:p>
        </w:tc>
        <w:tc>
          <w:tcPr>
            <w:tcW w:type="dxa" w:w="2488"/>
            <w:tcBorders>
              <w:top w:val="nil"/>
              <w:left w:val="nil"/>
              <w:bottom w:val="nil"/>
              <w:right w:val="nil"/>
            </w:tcBorders>
            <w:shd w:fill="FFFFFF" w:val="clear"/>
            <w:vAlign w:val="center"/>
          </w:tcPr>
          <w:p>
            <w:pPr>
              <w:pStyle w:val="style64"/>
              <w:jc w:val="center"/>
              <w:rPr/>
            </w:pPr>
            <w:r>
              <w:rPr/>
              <w:t>0</w:t>
            </w:r>
          </w:p>
        </w:tc>
        <w:tc>
          <w:tcPr>
            <w:tcW w:type="dxa" w:w="2497"/>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Tržby z predaja IM</w:t>
            </w:r>
          </w:p>
        </w:tc>
        <w:tc>
          <w:tcPr>
            <w:tcW w:type="dxa" w:w="2488"/>
            <w:tcBorders>
              <w:top w:val="nil"/>
              <w:left w:val="nil"/>
              <w:bottom w:val="nil"/>
              <w:right w:val="nil"/>
            </w:tcBorders>
            <w:shd w:fill="FFFFFF" w:val="clear"/>
            <w:vAlign w:val="center"/>
          </w:tcPr>
          <w:p>
            <w:pPr>
              <w:pStyle w:val="style64"/>
              <w:jc w:val="center"/>
              <w:rPr/>
            </w:pPr>
            <w:r>
              <w:rPr/>
              <w:t>0</w:t>
            </w:r>
          </w:p>
        </w:tc>
        <w:tc>
          <w:tcPr>
            <w:tcW w:type="dxa" w:w="2497"/>
            <w:tcBorders>
              <w:top w:val="nil"/>
              <w:left w:val="nil"/>
              <w:bottom w:val="nil"/>
              <w:right w:val="nil"/>
            </w:tcBorders>
            <w:shd w:fill="FFFFFF" w:val="clear"/>
            <w:vAlign w:val="center"/>
          </w:tcPr>
          <w:p>
            <w:pPr>
              <w:pStyle w:val="style64"/>
              <w:rPr/>
            </w:pPr>
            <w:r>
              <w:rPr/>
              <w:t xml:space="preserve">                  </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Bankové úrokx</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3310"/>
            <w:tcBorders>
              <w:top w:val="nil"/>
              <w:left w:val="nil"/>
              <w:bottom w:val="nil"/>
              <w:right w:val="nil"/>
            </w:tcBorders>
            <w:shd w:fill="FFFFFF" w:val="clear"/>
            <w:vAlign w:val="center"/>
          </w:tcPr>
          <w:p>
            <w:pPr>
              <w:pStyle w:val="style64"/>
              <w:rPr/>
            </w:pPr>
            <w:r>
              <w:rPr/>
              <w:t>Úroky z omeškania</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pPr>
            <w:r>
              <w:rPr/>
              <w:t> </w:t>
            </w:r>
          </w:p>
        </w:tc>
        <w:tc>
          <w:tcPr>
            <w:tcW w:type="dxa" w:w="2488"/>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w:t>
            </w:r>
          </w:p>
        </w:tc>
      </w:tr>
      <w:tr>
        <w:trPr>
          <w:trHeight w:hRule="atLeast" w:val="315"/>
          <w:cantSplit w:val="false"/>
        </w:trPr>
        <w:tc>
          <w:tcPr>
            <w:tcW w:type="dxa" w:w="3310"/>
            <w:tcBorders>
              <w:top w:val="nil"/>
              <w:left w:val="nil"/>
              <w:bottom w:val="nil"/>
              <w:right w:val="nil"/>
            </w:tcBorders>
            <w:shd w:fill="FFFFFF" w:val="clear"/>
            <w:vAlign w:val="center"/>
          </w:tcPr>
          <w:p>
            <w:pPr>
              <w:pStyle w:val="style64"/>
              <w:rPr>
                <w:b/>
                <w:bCs/>
                <w:sz w:val="16"/>
                <w:szCs w:val="16"/>
              </w:rPr>
            </w:pPr>
            <w:r>
              <w:rPr>
                <w:b/>
                <w:bCs/>
                <w:sz w:val="16"/>
                <w:szCs w:val="16"/>
              </w:rPr>
              <w:t>Výnosy spolu:</w:t>
            </w:r>
          </w:p>
        </w:tc>
        <w:tc>
          <w:tcPr>
            <w:tcW w:type="dxa" w:w="2488"/>
            <w:tcBorders>
              <w:top w:val="nil"/>
              <w:left w:val="nil"/>
              <w:bottom w:val="nil"/>
              <w:right w:val="nil"/>
            </w:tcBorders>
            <w:shd w:fill="FFFFFF" w:val="clear"/>
            <w:vAlign w:val="center"/>
          </w:tcPr>
          <w:p>
            <w:pPr>
              <w:pStyle w:val="style64"/>
              <w:jc w:val="center"/>
              <w:rPr>
                <w:b/>
                <w:bCs/>
                <w:sz w:val="18"/>
                <w:szCs w:val="18"/>
              </w:rPr>
            </w:pPr>
            <w:r>
              <w:rPr>
                <w:b/>
                <w:bCs/>
                <w:sz w:val="18"/>
                <w:szCs w:val="18"/>
              </w:rPr>
              <w:t>3042</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0</w:t>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Za rok 201</w:t>
      </w:r>
      <w:r>
        <w:rPr>
          <w:b w:val="false"/>
          <w:bCs w:val="false"/>
          <w:sz w:val="16"/>
          <w:szCs w:val="16"/>
        </w:rPr>
        <w:t>8</w:t>
      </w:r>
      <w:r>
        <w:rPr>
          <w:b w:val="false"/>
          <w:bCs w:val="false"/>
          <w:sz w:val="16"/>
          <w:szCs w:val="16"/>
        </w:rPr>
        <w:t xml:space="preserve"> spoločnosť dosiahla celkové náklady vo výške   </w:t>
      </w:r>
      <w:r>
        <w:rPr>
          <w:b/>
          <w:bCs/>
          <w:sz w:val="16"/>
          <w:szCs w:val="16"/>
        </w:rPr>
        <w:t>1100</w:t>
      </w:r>
      <w:r>
        <w:rPr>
          <w:b/>
          <w:bCs/>
          <w:sz w:val="16"/>
          <w:szCs w:val="16"/>
        </w:rPr>
        <w:t>,00 €</w:t>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6"/>
        <w:gridCol w:w="2496"/>
        <w:gridCol w:w="2497"/>
      </w:tblGrid>
      <w:tr>
        <w:trPr>
          <w:trHeight w:hRule="atLeast" w:val="300"/>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Bežné 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Bezprostredne predchádzajúce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c>
          <w:tcPr>
            <w:tcW w:type="dxa" w:w="2497"/>
            <w:tcBorders>
              <w:top w:val="nil"/>
              <w:left w:val="nil"/>
              <w:bottom w:val="nil"/>
              <w:right w:val="nil"/>
            </w:tcBorders>
            <w:shd w:fill="FFFFFF" w:val="clear"/>
            <w:vAlign w:val="center"/>
          </w:tcPr>
          <w:p>
            <w:pPr>
              <w:pStyle w:val="style64"/>
              <w:rPr>
                <w:b/>
                <w:bCs/>
                <w:sz w:val="16"/>
                <w:szCs w:val="16"/>
              </w:rPr>
            </w:pPr>
            <w:r>
              <w:rPr>
                <w:b/>
                <w:bCs/>
                <w:sz w:val="16"/>
                <w:szCs w:val="16"/>
              </w:rPr>
              <w:t>účtovné obdobie</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xml:space="preserve">                 </w:t>
            </w:r>
            <w:r>
              <w:rPr/>
              <w:t>1004</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xml:space="preserve">                   </w:t>
            </w:r>
            <w:r>
              <w:rPr/>
              <w:t>705</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64"/>
              <w:rPr/>
            </w:pPr>
            <w:r>
              <w:rPr/>
            </w:r>
          </w:p>
        </w:tc>
        <w:tc>
          <w:tcPr>
            <w:tcW w:type="dxa" w:w="2497"/>
            <w:tcBorders>
              <w:top w:val="nil"/>
              <w:left w:val="nil"/>
              <w:bottom w:val="nil"/>
              <w:right w:val="nil"/>
            </w:tcBorders>
            <w:shd w:fill="FFFFFF" w:val="clear"/>
            <w:vAlign w:val="center"/>
          </w:tcPr>
          <w:p>
            <w:pPr>
              <w:pStyle w:val="style64"/>
              <w:rPr/>
            </w:pPr>
            <w:r>
              <w:rPr/>
              <w:t> </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pPr>
            <w:r>
              <w:rPr/>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64"/>
              <w:jc w:val="center"/>
              <w:rPr/>
            </w:pPr>
            <w:r>
              <w:rPr/>
              <w:t>1100</w:t>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3019</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 xml:space="preserve"> </w:t>
            </w:r>
            <w:r>
              <w:rPr>
                <w:sz w:val="18"/>
                <w:szCs w:val="18"/>
              </w:rPr>
              <w:t>249</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Zostatková cena predaného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9281</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Odpisy IM</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1845</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 xml:space="preserve">    </w:t>
            </w:r>
            <w:r>
              <w:rPr>
                <w:sz w:val="18"/>
                <w:szCs w:val="18"/>
              </w:rPr>
              <w:t>3</w:t>
            </w:r>
          </w:p>
        </w:tc>
      </w:tr>
      <w:tr>
        <w:trPr>
          <w:trHeight w:hRule="atLeast" w:val="300"/>
          <w:cantSplit w:val="false"/>
        </w:trPr>
        <w:tc>
          <w:tcPr>
            <w:tcW w:type="dxa" w:w="3316"/>
            <w:tcBorders>
              <w:top w:val="nil"/>
              <w:left w:val="nil"/>
              <w:bottom w:val="nil"/>
              <w:right w:val="nil"/>
            </w:tcBorders>
            <w:shd w:fill="FFFFFF" w:val="clear"/>
            <w:vAlign w:val="center"/>
          </w:tcPr>
          <w:p>
            <w:pPr>
              <w:pStyle w:val="style64"/>
              <w:rPr>
                <w:sz w:val="16"/>
                <w:szCs w:val="16"/>
              </w:rPr>
            </w:pPr>
            <w:r>
              <w:rPr>
                <w:sz w:val="16"/>
                <w:szCs w:val="16"/>
              </w:rPr>
              <w:t>Daň z bežnej činnosti splatná</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677</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pPr>
            <w:r>
              <w:rPr/>
              <w:t> </w:t>
            </w:r>
          </w:p>
        </w:tc>
        <w:tc>
          <w:tcPr>
            <w:tcW w:type="dxa" w:w="2496"/>
            <w:tcBorders>
              <w:top w:val="nil"/>
              <w:left w:val="nil"/>
              <w:bottom w:val="nil"/>
              <w:right w:val="nil"/>
            </w:tcBorders>
            <w:shd w:fill="FFFFFF" w:val="clear"/>
            <w:vAlign w:val="center"/>
          </w:tcPr>
          <w:p>
            <w:pPr>
              <w:pStyle w:val="style64"/>
              <w:jc w:val="center"/>
              <w:rPr/>
            </w:pPr>
            <w:r>
              <w:rPr/>
            </w:r>
          </w:p>
        </w:tc>
        <w:tc>
          <w:tcPr>
            <w:tcW w:type="dxa" w:w="2497"/>
            <w:tcBorders>
              <w:top w:val="nil"/>
              <w:left w:val="nil"/>
              <w:bottom w:val="nil"/>
              <w:right w:val="nil"/>
            </w:tcBorders>
            <w:shd w:fill="FFFFFF" w:val="clear"/>
            <w:vAlign w:val="center"/>
          </w:tcPr>
          <w:p>
            <w:pPr>
              <w:pStyle w:val="style64"/>
              <w:jc w:val="center"/>
              <w:rPr>
                <w:sz w:val="18"/>
                <w:szCs w:val="18"/>
              </w:rPr>
            </w:pPr>
            <w:r>
              <w:rPr>
                <w:sz w:val="18"/>
                <w:szCs w:val="18"/>
              </w:rPr>
              <w:t> </w:t>
            </w:r>
          </w:p>
        </w:tc>
      </w:tr>
      <w:tr>
        <w:trPr>
          <w:trHeight w:hRule="atLeast" w:val="315"/>
          <w:cantSplit w:val="false"/>
        </w:trPr>
        <w:tc>
          <w:tcPr>
            <w:tcW w:type="dxa" w:w="3316"/>
            <w:tcBorders>
              <w:top w:val="nil"/>
              <w:left w:val="nil"/>
              <w:bottom w:val="nil"/>
              <w:right w:val="nil"/>
            </w:tcBorders>
            <w:shd w:fill="FFFFFF" w:val="clear"/>
            <w:vAlign w:val="center"/>
          </w:tcPr>
          <w:p>
            <w:pPr>
              <w:pStyle w:val="style64"/>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64"/>
              <w:jc w:val="center"/>
              <w:rPr>
                <w:b/>
                <w:bCs/>
                <w:sz w:val="18"/>
                <w:szCs w:val="18"/>
              </w:rPr>
            </w:pPr>
            <w:r>
              <w:rPr>
                <w:b/>
                <w:bCs/>
                <w:sz w:val="18"/>
                <w:szCs w:val="18"/>
              </w:rPr>
              <w:t>1100</w:t>
            </w:r>
          </w:p>
        </w:tc>
        <w:tc>
          <w:tcPr>
            <w:tcW w:type="dxa" w:w="2497"/>
            <w:tcBorders>
              <w:top w:val="nil"/>
              <w:left w:val="nil"/>
              <w:bottom w:val="nil"/>
              <w:right w:val="nil"/>
            </w:tcBorders>
            <w:shd w:fill="FFFFFF" w:val="clear"/>
            <w:vAlign w:val="center"/>
          </w:tcPr>
          <w:p>
            <w:pPr>
              <w:pStyle w:val="style64"/>
              <w:jc w:val="center"/>
              <w:rPr>
                <w:b/>
                <w:bCs/>
                <w:sz w:val="18"/>
                <w:szCs w:val="18"/>
              </w:rPr>
            </w:pPr>
            <w:r>
              <w:rPr>
                <w:b/>
                <w:bCs/>
                <w:sz w:val="18"/>
                <w:szCs w:val="18"/>
              </w:rPr>
              <w:t>16783</w:t>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pageBreakBefore/>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t>VII. INFORMÁCIE O DANIACH Z PRÍJMOV</w:t>
      </w:r>
    </w:p>
    <w:p>
      <w:pPr>
        <w:pStyle w:val="style0"/>
        <w:jc w:val="left"/>
        <w:rPr>
          <w:rFonts w:cs="Arial"/>
          <w:b/>
          <w:bCs/>
          <w:iCs/>
          <w:sz w:val="20"/>
          <w:szCs w:val="20"/>
        </w:rPr>
      </w:pPr>
      <w:r>
        <w:rPr>
          <w:rFonts w:cs="Arial"/>
          <w:b/>
          <w:bCs/>
          <w:iCs/>
          <w:sz w:val="20"/>
          <w:szCs w:val="20"/>
        </w:rPr>
      </w:r>
    </w:p>
    <w:p>
      <w:pPr>
        <w:pStyle w:val="style0"/>
        <w:jc w:val="left"/>
        <w:rPr>
          <w:rFonts w:ascii="Calibri" w:cs="Arial" w:eastAsia="Times New Roman" w:hAnsi="Calibri"/>
          <w:b w:val="false"/>
          <w:bCs w:val="false"/>
          <w:iCs/>
          <w:color w:val="000000"/>
          <w:sz w:val="20"/>
          <w:szCs w:val="20"/>
        </w:rPr>
      </w:pPr>
      <w:r>
        <w:rPr>
          <w:rFonts w:cs="Arial"/>
          <w:b w:val="false"/>
          <w:bCs w:val="false"/>
          <w:iCs/>
          <w:sz w:val="20"/>
          <w:szCs w:val="20"/>
        </w:rPr>
        <w:t xml:space="preserve">Spoločnosť v bežnom účtovnom období vykázala </w:t>
      </w:r>
      <w:r>
        <w:rPr>
          <w:rFonts w:ascii="Calibri" w:cs="Arial" w:eastAsia="Times New Roman" w:hAnsi="Calibri"/>
          <w:b w:val="false"/>
          <w:bCs w:val="false"/>
          <w:iCs/>
          <w:color w:val="000000"/>
          <w:sz w:val="20"/>
          <w:szCs w:val="20"/>
        </w:rPr>
        <w:t xml:space="preserve">účtovný zisk  </w:t>
      </w:r>
      <w:r>
        <w:rPr>
          <w:rFonts w:ascii="Calibri" w:cs="Arial" w:eastAsia="Times New Roman" w:hAnsi="Calibri"/>
          <w:b/>
          <w:bCs/>
          <w:iCs/>
          <w:color w:val="000000"/>
          <w:sz w:val="20"/>
          <w:szCs w:val="20"/>
        </w:rPr>
        <w:t>1534,00</w:t>
      </w:r>
      <w:r>
        <w:rPr>
          <w:rFonts w:ascii="Calibri" w:cs="Arial" w:eastAsia="Times New Roman" w:hAnsi="Calibri"/>
          <w:b/>
          <w:bCs/>
          <w:iCs/>
          <w:color w:val="000000"/>
          <w:sz w:val="20"/>
          <w:szCs w:val="20"/>
        </w:rPr>
        <w:t xml:space="preserve"> </w:t>
      </w:r>
      <w:r>
        <w:rPr>
          <w:rFonts w:ascii="Calibri" w:cs="Arial" w:eastAsia="Times New Roman" w:hAnsi="Calibri"/>
          <w:b w:val="false"/>
          <w:bCs w:val="false"/>
          <w:iCs/>
          <w:color w:val="000000"/>
          <w:sz w:val="20"/>
          <w:szCs w:val="20"/>
        </w:rPr>
        <w:t xml:space="preserve">€. </w:t>
      </w:r>
    </w:p>
    <w:p>
      <w:pPr>
        <w:pStyle w:val="style0"/>
        <w:jc w:val="left"/>
        <w:rPr/>
      </w:pPr>
      <w:r>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eastAsia="Times New Roman" w:hAnsi="Calibri"/>
          <w:b/>
          <w:bCs/>
          <w:iCs/>
          <w:color w:val="000000"/>
          <w:sz w:val="22"/>
          <w:szCs w:val="22"/>
        </w:rPr>
      </w:pPr>
      <w:r>
        <w:rPr>
          <w:rFonts w:ascii="Calibri" w:cs="Arial" w:eastAsia="Times New Roman" w:hAnsi="Calibri"/>
          <w:b/>
          <w:bCs/>
          <w:iCs/>
          <w:color w:val="000000"/>
          <w:sz w:val="22"/>
          <w:szCs w:val="22"/>
        </w:rPr>
        <w:t>VIII. INFORMÁCIE O PREH2ADE ZMIEN VLASTNÉHO IMANIA</w:t>
      </w:r>
    </w:p>
    <w:p>
      <w:pPr>
        <w:pStyle w:val="style0"/>
        <w:jc w:val="left"/>
        <w:rPr>
          <w:rFonts w:cs="Arial"/>
          <w:b w:val="false"/>
          <w:bCs w:val="false"/>
          <w:iCs/>
          <w:sz w:val="16"/>
          <w:szCs w:val="16"/>
        </w:rPr>
      </w:pPr>
      <w:r>
        <w:rPr>
          <w:rFonts w:cs="Arial"/>
          <w:b w:val="false"/>
          <w:bCs w:val="false"/>
          <w:iCs/>
          <w:sz w:val="16"/>
          <w:szCs w:val="16"/>
        </w:rPr>
      </w:r>
    </w:p>
    <w:p>
      <w:pPr>
        <w:pStyle w:val="style0"/>
        <w:jc w:val="left"/>
        <w:rPr>
          <w:rFonts w:ascii="Calibri" w:cs="Arial" w:hAnsi="Calibri"/>
          <w:b w:val="false"/>
          <w:bCs w:val="false"/>
          <w:iCs/>
          <w:color w:val="000000"/>
          <w:sz w:val="22"/>
          <w:szCs w:val="16"/>
        </w:rPr>
      </w:pPr>
      <w:r>
        <w:rPr>
          <w:rFonts w:ascii="Calibri" w:cs="Arial" w:hAnsi="Calibri"/>
          <w:b w:val="false"/>
          <w:bCs w:val="false"/>
          <w:iCs/>
          <w:color w:val="000000"/>
          <w:sz w:val="22"/>
          <w:szCs w:val="16"/>
        </w:rPr>
      </w:r>
    </w:p>
    <w:tbl>
      <w:tblPr>
        <w:jc w:val="left"/>
        <w:tblInd w:type="dxa" w:w="-105"/>
        <w:tblBorders>
          <w:top w:color="00000A" w:space="0" w:sz="8" w:val="single"/>
          <w:left w:val="nil"/>
          <w:bottom w:val="nil"/>
          <w:insideH w:val="nil"/>
          <w:right w:val="nil"/>
          <w:insideV w:val="nil"/>
        </w:tblBorders>
        <w:tblCellMar>
          <w:top w:type="dxa" w:w="0"/>
          <w:left w:type="dxa" w:w="0"/>
          <w:bottom w:type="dxa" w:w="0"/>
          <w:right w:type="dxa" w:w="0"/>
        </w:tblCellMar>
      </w:tblPr>
      <w:tblGrid>
        <w:gridCol w:w="4294"/>
        <w:gridCol w:w="884"/>
        <w:gridCol w:w="1033"/>
        <w:gridCol w:w="796"/>
        <w:gridCol w:w="924"/>
        <w:gridCol w:w="1141"/>
      </w:tblGrid>
      <w:tr>
        <w:trPr>
          <w:cantSplit w:val="false"/>
        </w:trPr>
        <w:tc>
          <w:tcPr>
            <w:tcW w:type="dxa" w:w="4294"/>
            <w:vMerge w:val="restart"/>
            <w:tcBorders>
              <w:top w:color="00000A" w:space="0" w:sz="8"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Položka</w:t>
            </w:r>
          </w:p>
        </w:tc>
        <w:tc>
          <w:tcPr>
            <w:tcW w:type="dxa" w:w="884"/>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c>
          <w:tcPr>
            <w:tcW w:type="dxa" w:w="1033"/>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Prírastky</w:t>
            </w:r>
          </w:p>
        </w:tc>
        <w:tc>
          <w:tcPr>
            <w:tcW w:type="dxa" w:w="796"/>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Úbytky</w:t>
            </w:r>
          </w:p>
        </w:tc>
        <w:tc>
          <w:tcPr>
            <w:tcW w:type="dxa" w:w="924"/>
            <w:vMerge w:val="restart"/>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Presuny</w:t>
            </w:r>
          </w:p>
        </w:tc>
        <w:tc>
          <w:tcPr>
            <w:tcW w:type="dxa" w:w="1141"/>
            <w:tcBorders>
              <w:top w:color="00000A" w:space="0" w:sz="8" w:val="single"/>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Stav</w:t>
            </w:r>
          </w:p>
        </w:tc>
      </w:tr>
      <w:tr>
        <w:trPr>
          <w:cantSplit w:val="false"/>
        </w:trPr>
        <w:tc>
          <w:tcPr>
            <w:tcW w:type="dxa" w:w="429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884"/>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1. januáru 201</w:t>
            </w:r>
            <w:r>
              <w:rPr>
                <w:rFonts w:cs="Times New Roman" w:eastAsia="Times New Roman"/>
                <w:b/>
                <w:bCs/>
                <w:i/>
                <w:iCs/>
                <w:color w:val="00000A"/>
                <w:sz w:val="20"/>
                <w:szCs w:val="20"/>
                <w:lang w:eastAsia="sk-SK"/>
              </w:rPr>
              <w:t>7</w:t>
            </w:r>
          </w:p>
        </w:tc>
        <w:tc>
          <w:tcPr>
            <w:tcW w:type="dxa" w:w="1033"/>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796"/>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924"/>
            <w:vMerge w:val="continue"/>
            <w:tcBorders>
              <w:top w:color="00000A" w:space="0" w:sz="8" w:val="single"/>
              <w:left w:val="nil"/>
              <w:bottom w:val="nil"/>
              <w:right w:val="nil"/>
            </w:tcBorders>
            <w:shd w:fill="FFFFFF" w:val="clear"/>
            <w:tcMar>
              <w:top w:type="dxa" w:w="105"/>
              <w:left w:type="dxa" w:w="105"/>
              <w:bottom w:type="dxa" w:w="105"/>
              <w:right w:type="dxa" w:w="105"/>
            </w:tcMar>
            <w:vAlign w:val="center"/>
          </w:tcPr>
          <w:p>
            <w:pPr>
              <w:pStyle w:val="style0"/>
              <w:jc w:val="left"/>
              <w:rPr>
                <w:rFonts w:cs="Times New Roman" w:eastAsia="Times New Roman"/>
                <w:color w:val="00000A"/>
                <w:sz w:val="20"/>
                <w:szCs w:val="20"/>
                <w:lang w:eastAsia="sk-SK"/>
              </w:rPr>
            </w:pPr>
            <w:r>
              <w:rPr>
                <w:rFonts w:cs="Times New Roman" w:eastAsia="Times New Roman"/>
                <w:color w:val="00000A"/>
                <w:sz w:val="20"/>
                <w:szCs w:val="20"/>
                <w:lang w:eastAsia="sk-SK"/>
              </w:rPr>
            </w:r>
          </w:p>
        </w:tc>
        <w:tc>
          <w:tcPr>
            <w:tcW w:type="dxa" w:w="1141"/>
            <w:tcBorders>
              <w:top w:val="nil"/>
              <w:left w:val="nil"/>
              <w:bottom w:val="nil"/>
              <w:right w:val="nil"/>
            </w:tcBorders>
            <w:shd w:fill="FFFFFF" w:val="clear"/>
            <w:vAlign w:val="center"/>
          </w:tcPr>
          <w:p>
            <w:pPr>
              <w:pStyle w:val="style0"/>
              <w:spacing w:after="119" w:before="28"/>
              <w:contextualSpacing w:val="false"/>
              <w:jc w:val="both"/>
              <w:rPr>
                <w:rFonts w:cs="Times New Roman" w:eastAsia="Times New Roman"/>
                <w:b/>
                <w:bCs/>
                <w:i/>
                <w:iCs/>
                <w:color w:val="00000A"/>
                <w:sz w:val="20"/>
                <w:szCs w:val="20"/>
                <w:lang w:eastAsia="sk-SK"/>
              </w:rPr>
            </w:pPr>
            <w:r>
              <w:rPr>
                <w:rFonts w:cs="Times New Roman" w:eastAsia="Times New Roman"/>
                <w:b/>
                <w:bCs/>
                <w:i/>
                <w:iCs/>
                <w:color w:val="00000A"/>
                <w:sz w:val="20"/>
                <w:szCs w:val="20"/>
                <w:lang w:eastAsia="sk-SK"/>
              </w:rPr>
              <w:t>K 31. decembru 201</w:t>
            </w:r>
            <w:r>
              <w:rPr>
                <w:rFonts w:cs="Times New Roman" w:eastAsia="Times New Roman"/>
                <w:b/>
                <w:bCs/>
                <w:i/>
                <w:iCs/>
                <w:color w:val="00000A"/>
                <w:sz w:val="20"/>
                <w:szCs w:val="20"/>
                <w:lang w:eastAsia="sk-SK"/>
              </w:rPr>
              <w:t>8</w:t>
            </w:r>
          </w:p>
        </w:tc>
      </w:tr>
      <w:tr>
        <w:trPr>
          <w:cantSplit w:val="false"/>
        </w:trPr>
        <w:tc>
          <w:tcPr>
            <w:tcW w:type="dxa" w:w="4294"/>
            <w:tcBorders>
              <w:top w:color="00000A" w:space="0" w:sz="6" w:val="single"/>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Základné imanie</w:t>
            </w:r>
          </w:p>
        </w:tc>
        <w:tc>
          <w:tcPr>
            <w:tcW w:type="dxa" w:w="88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c>
          <w:tcPr>
            <w:tcW w:type="dxa" w:w="1033"/>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color="00000A" w:space="0" w:sz="6" w:val="single"/>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5000</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Vlastné akcie a vlastné obchodné podiely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Zmena základného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Pohľadávky za upísané vlastné imanie</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Emisné ážio</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kapitálové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Zákonný rezervný fond (nedeliteľný fond) z kapitálových vkladov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majetku a záväzkov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kapitálových účastín</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Oceňovacie rozdiely z precenenia pri zlúčení, splynutí a rozdelení</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Zákonný rezervný fond </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106</w:t>
            </w: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pPr>
            <w:r>
              <w:rPr/>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106</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Nedeliteľný fond</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Štatutárne fondy a ostatné fondy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Nerozdelený zisk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2748</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2748</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Neuhradená strata minulých rokov</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center"/>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480</w:t>
            </w:r>
          </w:p>
        </w:tc>
        <w:tc>
          <w:tcPr>
            <w:tcW w:type="dxa" w:w="1141"/>
            <w:tcBorders>
              <w:top w:val="nil"/>
              <w:left w:val="nil"/>
              <w:bottom w:val="nil"/>
              <w:right w:val="nil"/>
            </w:tcBorders>
            <w:shd w:fill="FFFFFF" w:val="clear"/>
            <w:vAlign w:val="bottom"/>
          </w:tcPr>
          <w:p>
            <w:pPr>
              <w:pStyle w:val="style0"/>
              <w:spacing w:after="119" w:before="28"/>
              <w:contextualSpacing w:val="false"/>
              <w:jc w:val="center"/>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480</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Výsledok hospodárenia bežného účtovného obdobia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w:t>
            </w:r>
            <w:r>
              <w:rPr>
                <w:rFonts w:cs="Times New Roman" w:eastAsia="Times New Roman"/>
                <w:color w:val="00000A"/>
                <w:sz w:val="20"/>
                <w:szCs w:val="20"/>
                <w:lang w:eastAsia="sk-SK"/>
              </w:rPr>
              <w:t>480</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1534</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480</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r>
              <w:rPr>
                <w:rFonts w:cs="Times New Roman" w:eastAsia="Times New Roman"/>
                <w:color w:val="00000A"/>
                <w:sz w:val="20"/>
                <w:szCs w:val="20"/>
                <w:lang w:eastAsia="sk-SK"/>
              </w:rPr>
              <w:t>1534</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Vyplatené dividendy</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val="nil"/>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Ostatné položky vlastného imania</w:t>
            </w:r>
          </w:p>
        </w:tc>
        <w:tc>
          <w:tcPr>
            <w:tcW w:type="dxa" w:w="88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val="nil"/>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r>
        <w:trPr>
          <w:cantSplit w:val="false"/>
        </w:trPr>
        <w:tc>
          <w:tcPr>
            <w:tcW w:type="dxa" w:w="4294"/>
            <w:tcBorders>
              <w:top w:val="nil"/>
              <w:left w:val="nil"/>
              <w:bottom w:color="00000A" w:space="0" w:sz="8" w:val="single"/>
              <w:right w:val="nil"/>
            </w:tcBorders>
            <w:shd w:fill="FFFFFF" w:val="clear"/>
            <w:vAlign w:val="center"/>
          </w:tcPr>
          <w:p>
            <w:pPr>
              <w:pStyle w:val="style0"/>
              <w:spacing w:after="119" w:before="28"/>
              <w:ind w:hanging="176" w:left="176" w:right="0"/>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Účet 491 – Vlastné imanie fyzickej osoby – podnikateľa </w:t>
            </w:r>
          </w:p>
        </w:tc>
        <w:tc>
          <w:tcPr>
            <w:tcW w:type="dxa" w:w="884"/>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033"/>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796"/>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924"/>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c>
          <w:tcPr>
            <w:tcW w:type="dxa" w:w="1141"/>
            <w:tcBorders>
              <w:top w:val="nil"/>
              <w:left w:val="nil"/>
              <w:bottom w:color="00000A" w:space="0" w:sz="8" w:val="single"/>
              <w:right w:val="nil"/>
            </w:tcBorders>
            <w:shd w:fill="FFFFFF" w:val="clear"/>
            <w:vAlign w:val="bottom"/>
          </w:tcPr>
          <w:p>
            <w:pPr>
              <w:pStyle w:val="style0"/>
              <w:spacing w:after="119" w:before="28"/>
              <w:contextualSpacing w:val="false"/>
              <w:jc w:val="both"/>
              <w:rPr>
                <w:rFonts w:cs="Times New Roman" w:eastAsia="Times New Roman"/>
                <w:color w:val="00000A"/>
                <w:sz w:val="20"/>
                <w:szCs w:val="20"/>
                <w:lang w:eastAsia="sk-SK"/>
              </w:rPr>
            </w:pPr>
            <w:r>
              <w:rPr>
                <w:rFonts w:cs="Times New Roman" w:eastAsia="Times New Roman"/>
                <w:color w:val="00000A"/>
                <w:sz w:val="20"/>
                <w:szCs w:val="20"/>
                <w:lang w:eastAsia="sk-SK"/>
              </w:rPr>
              <w:t xml:space="preserve">- </w:t>
            </w:r>
          </w:p>
        </w:tc>
      </w:tr>
    </w:tbl>
    <w:p>
      <w:pPr>
        <w:pStyle w:val="style0"/>
        <w:keepNext/>
        <w:widowControl/>
        <w:suppressAutoHyphens w:val="true"/>
        <w:ind w:hanging="0" w:left="11" w:right="0"/>
        <w:jc w:val="both"/>
        <w:rPr/>
      </w:pPr>
      <w:r>
        <w:rPr/>
      </w:r>
    </w:p>
    <w:p>
      <w:pPr>
        <w:pStyle w:val="style0"/>
        <w:rPr>
          <w:rFonts w:cs="Arial"/>
          <w:bCs/>
          <w:szCs w:val="26"/>
          <w:u w:val="single"/>
        </w:rPr>
      </w:pPr>
      <w:r>
        <w:rPr>
          <w:rFonts w:cs="Arial"/>
          <w:bCs/>
          <w:szCs w:val="26"/>
          <w:u w:val="single"/>
        </w:rPr>
      </w:r>
    </w:p>
    <w:p>
      <w:pPr>
        <w:pStyle w:val="style0"/>
        <w:rPr>
          <w:rFonts w:cs="Arial"/>
          <w:bCs/>
          <w:sz w:val="20"/>
          <w:szCs w:val="20"/>
          <w:u w:val="none"/>
        </w:rPr>
      </w:pPr>
      <w:r>
        <w:rPr>
          <w:rFonts w:cs="Arial"/>
          <w:bCs/>
          <w:sz w:val="20"/>
          <w:szCs w:val="20"/>
          <w:u w:val="none"/>
        </w:rPr>
        <w:t>V Nižnej, dňa 2</w:t>
      </w:r>
      <w:r>
        <w:rPr>
          <w:rFonts w:cs="Arial"/>
          <w:bCs/>
          <w:sz w:val="20"/>
          <w:szCs w:val="20"/>
          <w:u w:val="none"/>
        </w:rPr>
        <w:t>3</w:t>
      </w:r>
      <w:r>
        <w:rPr>
          <w:rFonts w:cs="Arial"/>
          <w:bCs/>
          <w:sz w:val="20"/>
          <w:szCs w:val="20"/>
          <w:u w:val="none"/>
        </w:rPr>
        <w:t>.0</w:t>
      </w:r>
      <w:r>
        <w:rPr>
          <w:rFonts w:cs="Arial"/>
          <w:bCs/>
          <w:sz w:val="20"/>
          <w:szCs w:val="20"/>
          <w:u w:val="none"/>
        </w:rPr>
        <w:t>3</w:t>
      </w:r>
      <w:r>
        <w:rPr>
          <w:rFonts w:cs="Arial"/>
          <w:bCs/>
          <w:sz w:val="20"/>
          <w:szCs w:val="20"/>
          <w:u w:val="none"/>
        </w:rPr>
        <w:t>.201</w:t>
      </w:r>
      <w:r>
        <w:rPr>
          <w:rFonts w:cs="Arial"/>
          <w:bCs/>
          <w:sz w:val="20"/>
          <w:szCs w:val="20"/>
          <w:u w:val="none"/>
        </w:rPr>
        <w:t>9</w:t>
      </w:r>
    </w:p>
    <w:p>
      <w:pPr>
        <w:pStyle w:val="style0"/>
        <w:rPr>
          <w:rFonts w:cs="Arial"/>
          <w:bCs/>
          <w:sz w:val="20"/>
          <w:szCs w:val="20"/>
          <w:u w:val="none"/>
        </w:rPr>
      </w:pPr>
      <w:r>
        <w:rPr>
          <w:rFonts w:cs="Arial"/>
          <w:bCs/>
          <w:sz w:val="20"/>
          <w:szCs w:val="20"/>
          <w:u w:val="none"/>
        </w:rPr>
        <w:t>Ing. Michal Púčik</w:t>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p>
      <w:pPr>
        <w:pStyle w:val="style0"/>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99532" w:linePitch="656"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alibri">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53"/>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character">
    <w:name w:val="ListLabel 16"/>
    <w:next w:val="style36"/>
    <w:rPr>
      <w:rFonts w:cs="Symbol"/>
      <w:color w:val="00000A"/>
    </w:rPr>
  </w:style>
  <w:style w:styleId="style37" w:type="character">
    <w:name w:val="ListLabel 17"/>
    <w:next w:val="style37"/>
    <w:rPr>
      <w:rFonts w:cs="Courier New"/>
    </w:rPr>
  </w:style>
  <w:style w:styleId="style38" w:type="character">
    <w:name w:val="ListLabel 18"/>
    <w:next w:val="style38"/>
    <w:rPr>
      <w:rFonts w:cs="Wingdings"/>
    </w:rPr>
  </w:style>
  <w:style w:styleId="style39" w:type="character">
    <w:name w:val="ListLabel 19"/>
    <w:next w:val="style39"/>
    <w:rPr>
      <w:rFonts w:cs="Symbol"/>
    </w:rPr>
  </w:style>
  <w:style w:styleId="style40" w:type="character">
    <w:name w:val="ListLabel 20"/>
    <w:next w:val="style40"/>
    <w:rPr>
      <w:rFonts w:cs="Symbol"/>
      <w:color w:val="00000A"/>
    </w:rPr>
  </w:style>
  <w:style w:styleId="style41" w:type="character">
    <w:name w:val="ListLabel 21"/>
    <w:next w:val="style41"/>
    <w:rPr>
      <w:rFonts w:cs="Courier New"/>
    </w:rPr>
  </w:style>
  <w:style w:styleId="style42" w:type="character">
    <w:name w:val="ListLabel 22"/>
    <w:next w:val="style42"/>
    <w:rPr>
      <w:rFonts w:cs="Wingdings"/>
    </w:rPr>
  </w:style>
  <w:style w:styleId="style43" w:type="character">
    <w:name w:val="ListLabel 23"/>
    <w:next w:val="style43"/>
    <w:rPr>
      <w:rFonts w:cs="Symbol"/>
    </w:rPr>
  </w:style>
  <w:style w:styleId="style44" w:type="character">
    <w:name w:val="ListLabel 24"/>
    <w:next w:val="style44"/>
    <w:rPr>
      <w:rFonts w:cs="Symbol"/>
      <w:color w:val="00000A"/>
    </w:rPr>
  </w:style>
  <w:style w:styleId="style45" w:type="character">
    <w:name w:val="ListLabel 25"/>
    <w:next w:val="style45"/>
    <w:rPr>
      <w:rFonts w:cs="Courier New"/>
    </w:rPr>
  </w:style>
  <w:style w:styleId="style46" w:type="character">
    <w:name w:val="ListLabel 26"/>
    <w:next w:val="style46"/>
    <w:rPr>
      <w:rFonts w:cs="Wingdings"/>
    </w:rPr>
  </w:style>
  <w:style w:styleId="style47" w:type="character">
    <w:name w:val="ListLabel 27"/>
    <w:next w:val="style47"/>
    <w:rPr>
      <w:rFonts w:cs="Symbol"/>
    </w:rPr>
  </w:style>
  <w:style w:styleId="style48" w:type="paragraph">
    <w:name w:val="Nadpis"/>
    <w:basedOn w:val="style0"/>
    <w:next w:val="style49"/>
    <w:pPr>
      <w:keepNext/>
      <w:spacing w:after="120" w:before="240"/>
      <w:contextualSpacing w:val="false"/>
    </w:pPr>
    <w:rPr>
      <w:rFonts w:ascii="Arial" w:cs="Mangal" w:eastAsia="Microsoft YaHei" w:hAnsi="Arial"/>
      <w:sz w:val="28"/>
      <w:szCs w:val="28"/>
    </w:rPr>
  </w:style>
  <w:style w:styleId="style49" w:type="paragraph">
    <w:name w:val="Telo textu"/>
    <w:basedOn w:val="style0"/>
    <w:next w:val="style49"/>
    <w:pPr>
      <w:spacing w:after="120" w:before="0"/>
      <w:contextualSpacing w:val="false"/>
    </w:pPr>
    <w:rPr>
      <w:sz w:val="24"/>
      <w:lang w:eastAsia="sk-SK" w:val="cs-CZ"/>
    </w:rPr>
  </w:style>
  <w:style w:styleId="style50" w:type="paragraph">
    <w:name w:val="Zoznam"/>
    <w:basedOn w:val="style49"/>
    <w:next w:val="style50"/>
    <w:pPr/>
    <w:rPr>
      <w:rFonts w:cs="Mangal"/>
    </w:rPr>
  </w:style>
  <w:style w:styleId="style51" w:type="paragraph">
    <w:name w:val="Popis"/>
    <w:basedOn w:val="style0"/>
    <w:next w:val="style51"/>
    <w:pPr>
      <w:suppressLineNumbers/>
      <w:spacing w:after="120" w:before="120"/>
      <w:contextualSpacing w:val="false"/>
    </w:pPr>
    <w:rPr>
      <w:rFonts w:cs="Mangal"/>
      <w:i/>
      <w:iCs/>
      <w:sz w:val="24"/>
      <w:szCs w:val="24"/>
    </w:rPr>
  </w:style>
  <w:style w:styleId="style52" w:type="paragraph">
    <w:name w:val="Index"/>
    <w:basedOn w:val="style0"/>
    <w:next w:val="style52"/>
    <w:pPr>
      <w:suppressLineNumbers/>
    </w:pPr>
    <w:rPr>
      <w:rFonts w:cs="Mangal"/>
    </w:rPr>
  </w:style>
  <w:style w:styleId="style53" w:type="paragraph">
    <w:name w:val="Hlavička"/>
    <w:basedOn w:val="style0"/>
    <w:next w:val="style53"/>
    <w:pPr>
      <w:tabs>
        <w:tab w:leader="none" w:pos="4536" w:val="center"/>
        <w:tab w:leader="none" w:pos="9072" w:val="right"/>
      </w:tabs>
    </w:pPr>
    <w:rPr>
      <w:b/>
    </w:rPr>
  </w:style>
  <w:style w:styleId="style54" w:type="paragraph">
    <w:name w:val="Päta"/>
    <w:basedOn w:val="style0"/>
    <w:next w:val="style54"/>
    <w:pPr>
      <w:tabs>
        <w:tab w:leader="none" w:pos="4703" w:val="center"/>
        <w:tab w:leader="none" w:pos="9406" w:val="right"/>
      </w:tabs>
    </w:pPr>
    <w:rPr/>
  </w:style>
  <w:style w:styleId="style55" w:type="paragraph">
    <w:name w:val="Balloon Text"/>
    <w:basedOn w:val="style0"/>
    <w:next w:val="style55"/>
    <w:pPr/>
    <w:rPr>
      <w:rFonts w:ascii="Tahoma" w:cs="Tahoma" w:hAnsi="Tahoma"/>
      <w:sz w:val="16"/>
      <w:szCs w:val="16"/>
    </w:rPr>
  </w:style>
  <w:style w:styleId="style56" w:type="paragraph">
    <w:name w:val="annotation text"/>
    <w:basedOn w:val="style0"/>
    <w:next w:val="style56"/>
    <w:pPr/>
    <w:rPr>
      <w:sz w:val="20"/>
    </w:rPr>
  </w:style>
  <w:style w:styleId="style57" w:type="paragraph">
    <w:name w:val="annotation subject"/>
    <w:basedOn w:val="style56"/>
    <w:next w:val="style57"/>
    <w:pPr/>
    <w:rPr>
      <w:b/>
      <w:bCs/>
    </w:rPr>
  </w:style>
  <w:style w:styleId="style58" w:type="paragraph">
    <w:name w:val="table header"/>
    <w:basedOn w:val="style0"/>
    <w:next w:val="style58"/>
    <w:pPr>
      <w:jc w:val="center"/>
    </w:pPr>
    <w:rPr>
      <w:rFonts w:ascii="Times New Roman Bold" w:hAnsi="Times New Roman Bold"/>
      <w:b/>
      <w:i/>
      <w:sz w:val="20"/>
      <w:lang w:eastAsia="sk-SK"/>
    </w:rPr>
  </w:style>
  <w:style w:styleId="style59" w:type="paragraph">
    <w:name w:val="Revision"/>
    <w:next w:val="style59"/>
    <w:pPr>
      <w:widowControl/>
      <w:suppressAutoHyphens w:val="true"/>
    </w:pPr>
    <w:rPr>
      <w:rFonts w:ascii="Verdana" w:cs="Times New Roman" w:eastAsia="Times New Roman" w:hAnsi="Verdana"/>
      <w:color w:val="00000A"/>
      <w:sz w:val="17"/>
      <w:szCs w:val="20"/>
      <w:lang w:bidi="ar-SA" w:eastAsia="en-US" w:val="sk-SK"/>
    </w:rPr>
  </w:style>
  <w:style w:styleId="style60" w:type="paragraph">
    <w:name w:val="List Paragraph"/>
    <w:basedOn w:val="style0"/>
    <w:next w:val="style60"/>
    <w:pPr>
      <w:ind w:hanging="0" w:left="708" w:right="0"/>
    </w:pPr>
    <w:rPr/>
  </w:style>
  <w:style w:styleId="style61" w:type="paragraph">
    <w:name w:val="Citácie"/>
    <w:basedOn w:val="style0"/>
    <w:next w:val="style61"/>
    <w:pPr/>
    <w:rPr/>
  </w:style>
  <w:style w:styleId="style62" w:type="paragraph">
    <w:name w:val="Názov"/>
    <w:basedOn w:val="style48"/>
    <w:next w:val="style62"/>
    <w:pPr/>
    <w:rPr/>
  </w:style>
  <w:style w:styleId="style63" w:type="paragraph">
    <w:name w:val="Podnázov"/>
    <w:basedOn w:val="style48"/>
    <w:next w:val="style63"/>
    <w:pPr/>
    <w:rPr/>
  </w:style>
  <w:style w:styleId="style64" w:type="paragraph">
    <w:name w:val="Obsah tabuľky"/>
    <w:basedOn w:val="style0"/>
    <w:next w:val="style64"/>
    <w:pPr/>
    <w:rPr/>
  </w:style>
  <w:style w:styleId="style65" w:type="paragraph">
    <w:name w:val="Nadpis tabuľky"/>
    <w:basedOn w:val="style64"/>
    <w:next w:val="style65"/>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2017-03-17T14:38:02Z</cp:lastPrinted>
  <dcterms:modified xsi:type="dcterms:W3CDTF">2016-01-20T15:48:00Z</dcterms:modified>
  <cp:revision>13</cp:revision>
  <dc:title>Návod na použitie:</dc:title>
</cp:coreProperties>
</file>