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rPr/>
      </w:pPr>
      <w:r>
        <w:rPr/>
      </w:r>
    </w:p>
    <w:p>
      <w:pPr>
        <w:pStyle w:val="style0"/>
        <w:jc w:val="left"/>
        <w:rPr>
          <w:b/>
          <w:bCs/>
          <w:shd w:fill="99FF66" w:val="clear"/>
        </w:rPr>
      </w:pPr>
      <w:r>
        <w:rPr>
          <w:b/>
          <w:bCs/>
          <w:shd w:fill="99FF66" w:val="clear"/>
        </w:rPr>
        <w:t>–</w:t>
      </w:r>
      <w:r>
        <w:rPr>
          <w:b/>
          <w:bCs/>
          <w:shd w:fill="99FF66" w:val="clear"/>
        </w:rPr>
        <w:t>-------------------------------------------------------------------------------------------------------------</w:t>
      </w:r>
    </w:p>
    <w:p>
      <w:pPr>
        <w:pStyle w:val="style0"/>
        <w:jc w:val="left"/>
        <w:rPr>
          <w:b/>
          <w:bCs/>
          <w:u w:val="single"/>
        </w:rPr>
      </w:pPr>
      <w:r>
        <w:rPr>
          <w:b/>
          <w:bCs/>
          <w:u w:val="single"/>
          <w:shd w:fill="99FF66" w:val="clear"/>
        </w:rPr>
        <w:t>Poznámky Úč PODV 3-01                               IČO: 51053683                             DIČ: 2120573851</w:t>
      </w:r>
      <w:r>
        <w:rPr>
          <w:b/>
          <w:bCs/>
          <w:u w:val="single"/>
        </w:rPr>
        <w:t xml:space="preserve">     </w:t>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b/>
          <w:bCs/>
          <w:sz w:val="26"/>
          <w:szCs w:val="26"/>
          <w:u w:val="none"/>
        </w:rPr>
      </w:pPr>
      <w:r>
        <w:rPr>
          <w:b/>
          <w:bCs/>
          <w:sz w:val="26"/>
          <w:szCs w:val="26"/>
          <w:u w:val="none"/>
        </w:rPr>
        <w:t>Poznámky individuálnej účtovnej závierky</w:t>
      </w:r>
    </w:p>
    <w:p>
      <w:pPr>
        <w:pStyle w:val="style0"/>
        <w:jc w:val="left"/>
        <w:rPr>
          <w:b/>
          <w:bCs/>
          <w:sz w:val="26"/>
          <w:szCs w:val="26"/>
          <w:u w:val="none"/>
        </w:rPr>
      </w:pPr>
      <w:r>
        <w:rPr>
          <w:b/>
          <w:bCs/>
          <w:sz w:val="26"/>
          <w:szCs w:val="26"/>
          <w:u w:val="none"/>
        </w:rPr>
      </w:r>
    </w:p>
    <w:p>
      <w:pPr>
        <w:pStyle w:val="style0"/>
        <w:jc w:val="left"/>
        <w:rPr>
          <w:b w:val="false"/>
          <w:bCs w:val="false"/>
          <w:i/>
          <w:iCs/>
          <w:sz w:val="21"/>
          <w:szCs w:val="21"/>
          <w:u w:val="none"/>
        </w:rPr>
      </w:pPr>
      <w:r>
        <w:rPr>
          <w:b w:val="false"/>
          <w:bCs w:val="false"/>
          <w:i/>
          <w:iCs/>
          <w:sz w:val="21"/>
          <w:szCs w:val="21"/>
          <w:u w:val="none"/>
        </w:rPr>
        <w:t>Zostavenej k 31. decembru 201</w:t>
      </w:r>
      <w:r>
        <w:rPr>
          <w:b w:val="false"/>
          <w:bCs w:val="false"/>
          <w:i/>
          <w:iCs/>
          <w:sz w:val="21"/>
          <w:szCs w:val="21"/>
          <w:u w:val="none"/>
        </w:rPr>
        <w:t>8</w:t>
      </w:r>
    </w:p>
    <w:p>
      <w:pPr>
        <w:pStyle w:val="style0"/>
        <w:jc w:val="left"/>
        <w:rPr>
          <w:b w:val="false"/>
          <w:bCs w:val="false"/>
          <w:i/>
          <w:iCs/>
          <w:sz w:val="21"/>
          <w:szCs w:val="21"/>
          <w:u w:val="none"/>
        </w:rPr>
      </w:pPr>
      <w:r>
        <w:rPr>
          <w:b w:val="false"/>
          <w:bCs w:val="false"/>
          <w:i/>
          <w:iCs/>
          <w:sz w:val="21"/>
          <w:szCs w:val="21"/>
          <w:u w:val="none"/>
        </w:rPr>
        <w:t>(údaje v tabuľkách sú uvedené v celých eurách, ak nie je uvedené inak)</w:t>
      </w:r>
    </w:p>
    <w:p>
      <w:pPr>
        <w:pStyle w:val="style0"/>
        <w:jc w:val="left"/>
        <w:rPr>
          <w:b w:val="false"/>
          <w:bCs w:val="false"/>
          <w:i/>
          <w:iCs/>
          <w:u w:val="single"/>
        </w:rPr>
      </w:pPr>
      <w:r>
        <w:rPr>
          <w:b w:val="false"/>
          <w:bCs w:val="false"/>
          <w:i/>
          <w:iCs/>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t>Poznámka:</w:t>
      </w:r>
    </w:p>
    <w:p>
      <w:pPr>
        <w:pStyle w:val="style0"/>
        <w:rPr>
          <w:sz w:val="14"/>
          <w:szCs w:val="14"/>
          <w:lang w:eastAsia="sk-SK"/>
        </w:rPr>
      </w:pPr>
      <w:r>
        <w:rPr>
          <w:sz w:val="14"/>
          <w:szCs w:val="14"/>
          <w:lang w:eastAsia="sk-SK"/>
        </w:rPr>
      </w:r>
    </w:p>
    <w:p>
      <w:pPr>
        <w:pStyle w:val="style0"/>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rPr>
      </w:pPr>
      <w:r>
        <w:rPr>
          <w:sz w:val="14"/>
          <w:szCs w:val="14"/>
        </w:rPr>
      </w:r>
    </w:p>
    <w:p>
      <w:pPr>
        <w:pStyle w:val="style1"/>
        <w:numPr>
          <w:ilvl w:val="0"/>
          <w:numId w:val="1"/>
        </w:numPr>
        <w:rPr/>
      </w:pPr>
      <w:r>
        <w:rPr/>
        <w:t>VŠEOBECNÉ INFORMÁCIE</w:t>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2"/>
        <w:numPr>
          <w:ilvl w:val="1"/>
          <w:numId w:val="1"/>
        </w:numPr>
        <w:rPr/>
      </w:pPr>
      <w:r>
        <w:rPr/>
        <w:t>Základné údaje o spoločnosti</w:t>
      </w:r>
    </w:p>
    <w:p>
      <w:pPr>
        <w:pStyle w:val="style0"/>
        <w:rPr>
          <w:b/>
          <w:sz w:val="14"/>
          <w:szCs w:val="14"/>
          <w:u w:val="single"/>
          <w:lang w:eastAsia="sk-SK"/>
        </w:rPr>
      </w:pPr>
      <w:r>
        <w:rPr>
          <w:b/>
          <w:sz w:val="14"/>
          <w:szCs w:val="14"/>
          <w:u w:val="single"/>
          <w:lang w:eastAsia="sk-SK"/>
        </w:rPr>
      </w:r>
    </w:p>
    <w:tbl>
      <w:tblPr>
        <w:jc w:val="left"/>
        <w:tblInd w:type="dxa" w:w="109"/>
        <w:tblBorders>
          <w:top w:color="00000A" w:space="0" w:sz="8" w:val="single"/>
          <w:left w:val="nil"/>
          <w:bottom w:color="00000A" w:space="0" w:sz="4" w:val="dotted"/>
          <w:insideH w:color="00000A" w:space="0" w:sz="4" w:val="dotted"/>
          <w:right w:val="nil"/>
          <w:insideV w:val="nil"/>
        </w:tblBorders>
        <w:tblCellMar>
          <w:top w:type="dxa" w:w="0"/>
          <w:left w:type="dxa" w:w="108"/>
          <w:bottom w:type="dxa" w:w="0"/>
          <w:right w:type="dxa" w:w="108"/>
        </w:tblCellMar>
      </w:tblPr>
      <w:tblGrid>
        <w:gridCol w:w="3963"/>
        <w:gridCol w:w="5101"/>
      </w:tblGrid>
      <w:tr>
        <w:trPr>
          <w:cantSplit w:val="false"/>
        </w:trPr>
        <w:tc>
          <w:tcPr>
            <w:tcW w:type="dxa" w:w="3963"/>
            <w:tcBorders>
              <w:top w:color="00000A" w:space="0" w:sz="8" w:val="single"/>
              <w:left w:val="nil"/>
              <w:bottom w:color="00000A" w:space="0" w:sz="4" w:val="dotted"/>
              <w:right w:val="nil"/>
            </w:tcBorders>
            <w:shd w:fill="FFFFFF" w:val="clear"/>
          </w:tcPr>
          <w:p>
            <w:pPr>
              <w:pStyle w:val="style0"/>
              <w:rPr/>
            </w:pPr>
            <w:r>
              <w:rPr/>
            </w:r>
          </w:p>
          <w:p>
            <w:pPr>
              <w:pStyle w:val="style0"/>
              <w:rPr>
                <w:b/>
                <w:sz w:val="15"/>
                <w:szCs w:val="15"/>
              </w:rPr>
            </w:pPr>
            <w:r>
              <w:rPr>
                <w:b/>
                <w:sz w:val="15"/>
                <w:szCs w:val="15"/>
              </w:rPr>
              <w:t>Obchodné meno a sídlo</w:t>
            </w:r>
          </w:p>
          <w:p>
            <w:pPr>
              <w:pStyle w:val="style0"/>
              <w:rPr/>
            </w:pPr>
            <w:r>
              <w:rPr/>
            </w:r>
          </w:p>
          <w:p>
            <w:pPr>
              <w:pStyle w:val="style0"/>
              <w:rPr/>
            </w:pPr>
            <w:r>
              <w:rPr/>
            </w:r>
          </w:p>
          <w:p>
            <w:pPr>
              <w:pStyle w:val="style0"/>
              <w:rPr>
                <w:b/>
                <w:sz w:val="15"/>
                <w:szCs w:val="15"/>
              </w:rPr>
            </w:pPr>
            <w:r>
              <w:rPr>
                <w:b/>
                <w:sz w:val="15"/>
                <w:szCs w:val="15"/>
              </w:rPr>
              <w:t>Dátum vzniku podľa OR</w:t>
            </w:r>
          </w:p>
        </w:tc>
        <w:tc>
          <w:tcPr>
            <w:tcW w:type="dxa" w:w="5101"/>
            <w:tcBorders>
              <w:top w:color="00000A" w:space="0" w:sz="8" w:val="single"/>
              <w:left w:val="nil"/>
              <w:bottom w:color="00000A" w:space="0" w:sz="4" w:val="dotted"/>
              <w:right w:val="nil"/>
            </w:tcBorders>
            <w:shd w:fill="FFFFFF" w:val="clear"/>
          </w:tcPr>
          <w:p>
            <w:pPr>
              <w:pStyle w:val="style0"/>
              <w:rPr>
                <w:b/>
                <w:bCs/>
                <w:color w:val="000000"/>
              </w:rPr>
            </w:pPr>
            <w:r>
              <w:rPr>
                <w:b/>
                <w:bCs/>
                <w:color w:val="000000"/>
              </w:rPr>
            </w:r>
          </w:p>
          <w:p>
            <w:pPr>
              <w:pStyle w:val="style0"/>
              <w:rPr>
                <w:b/>
                <w:bCs/>
                <w:color w:val="000000"/>
                <w:sz w:val="15"/>
                <w:szCs w:val="15"/>
                <w:lang w:eastAsia="sk-SK"/>
              </w:rPr>
            </w:pPr>
            <w:r>
              <w:rPr>
                <w:b/>
                <w:bCs/>
                <w:color w:val="000000"/>
                <w:sz w:val="15"/>
                <w:szCs w:val="15"/>
                <w:lang w:eastAsia="sk-SK"/>
              </w:rPr>
              <w:t xml:space="preserve">JUSKA s.r.o. </w:t>
            </w:r>
          </w:p>
          <w:p>
            <w:pPr>
              <w:pStyle w:val="style0"/>
              <w:rPr>
                <w:b/>
                <w:bCs/>
                <w:color w:val="000000"/>
                <w:sz w:val="15"/>
                <w:szCs w:val="15"/>
              </w:rPr>
            </w:pPr>
            <w:r>
              <w:rPr>
                <w:b/>
                <w:bCs/>
                <w:color w:val="000000"/>
                <w:sz w:val="15"/>
                <w:szCs w:val="15"/>
              </w:rPr>
              <w:t>Hladovka 224, 027 13 Hladovka</w:t>
            </w:r>
          </w:p>
          <w:p>
            <w:pPr>
              <w:pStyle w:val="style0"/>
              <w:rPr>
                <w:b/>
                <w:bCs/>
                <w:color w:val="000000"/>
              </w:rPr>
            </w:pPr>
            <w:r>
              <w:rPr>
                <w:b/>
                <w:bCs/>
                <w:color w:val="000000"/>
              </w:rPr>
            </w:r>
          </w:p>
          <w:p>
            <w:pPr>
              <w:pStyle w:val="style0"/>
              <w:rPr>
                <w:b/>
                <w:bCs/>
                <w:color w:val="000000"/>
                <w:sz w:val="15"/>
                <w:szCs w:val="15"/>
              </w:rPr>
            </w:pPr>
            <w:r>
              <w:rPr>
                <w:b/>
                <w:bCs/>
                <w:color w:val="000000"/>
                <w:sz w:val="15"/>
                <w:szCs w:val="15"/>
              </w:rPr>
              <w:t>17.08.201</w:t>
            </w:r>
            <w:r>
              <w:rPr>
                <w:b/>
                <w:bCs/>
                <w:color w:val="000000"/>
                <w:sz w:val="15"/>
                <w:szCs w:val="15"/>
              </w:rPr>
              <w:t>8</w:t>
            </w:r>
          </w:p>
          <w:p>
            <w:pPr>
              <w:pStyle w:val="style0"/>
              <w:rPr>
                <w:b/>
                <w:bCs/>
                <w:color w:val="000000"/>
              </w:rPr>
            </w:pPr>
            <w:r>
              <w:rPr>
                <w:b/>
                <w:bCs/>
                <w:color w:val="000000"/>
              </w:rPr>
            </w:r>
          </w:p>
        </w:tc>
      </w:tr>
      <w:tr>
        <w:trPr>
          <w:cantSplit w:val="false"/>
        </w:trPr>
        <w:tc>
          <w:tcPr>
            <w:tcW w:type="dxa" w:w="3963"/>
            <w:tcBorders>
              <w:top w:color="00000A" w:space="0" w:sz="4" w:val="dotted"/>
              <w:left w:val="nil"/>
              <w:bottom w:color="00000A" w:space="0" w:sz="8" w:val="single"/>
              <w:right w:val="nil"/>
            </w:tcBorders>
            <w:shd w:fill="FFFFFF" w:val="clear"/>
          </w:tcPr>
          <w:p>
            <w:pPr>
              <w:pStyle w:val="style0"/>
              <w:rPr>
                <w:b/>
                <w:sz w:val="15"/>
                <w:szCs w:val="15"/>
              </w:rPr>
            </w:pPr>
            <w:r>
              <w:rPr>
                <w:b/>
                <w:sz w:val="15"/>
                <w:szCs w:val="15"/>
              </w:rPr>
              <w:t>Hospodárska činnosť</w:t>
            </w:r>
          </w:p>
        </w:tc>
        <w:tc>
          <w:tcPr>
            <w:tcW w:type="dxa" w:w="5101"/>
            <w:tcBorders>
              <w:top w:color="00000A" w:space="0" w:sz="4" w:val="dotted"/>
              <w:left w:val="nil"/>
              <w:bottom w:color="00000A" w:space="0" w:sz="8" w:val="single"/>
              <w:right w:val="nil"/>
            </w:tcBorders>
            <w:shd w:fill="FFFFFF" w:val="clear"/>
          </w:tcPr>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Kúpa tovaru na účely jeho predaja konečnému spotrebiteľovi (maloobchod) alebo iným prevádzkovateľom  živností (veľkoobchod)</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 xml:space="preserve">sprostredkovateľská čínnosť o oblasti obchodu a služieb </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uskutočňovanie stavieb a ich zmien a ďalšie 4 činnosti</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Zamestnanci</w:t>
      </w:r>
    </w:p>
    <w:p>
      <w:pPr>
        <w:pStyle w:val="style0"/>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jc w:val="left"/>
        <w:tblInd w:type="dxa" w:w="0"/>
        <w:tblBorders>
          <w:top w:color="00000A" w:space="0" w:sz="8" w:val="single"/>
          <w:left w:val="nil"/>
          <w:bottom w:color="00000A" w:space="0" w:sz="4" w:val="single"/>
          <w:insideH w:color="00000A" w:space="0" w:sz="4" w:val="single"/>
          <w:right w:val="nil"/>
          <w:insideV w:val="nil"/>
        </w:tblBorders>
        <w:tblCellMar>
          <w:top w:type="dxa" w:w="0"/>
          <w:left w:type="dxa" w:w="70"/>
          <w:bottom w:type="dxa" w:w="0"/>
          <w:right w:type="dxa" w:w="70"/>
        </w:tblCellMar>
      </w:tblPr>
      <w:tblGrid>
        <w:gridCol w:w="6439"/>
        <w:gridCol w:w="1310"/>
        <w:gridCol w:w="1321"/>
      </w:tblGrid>
      <w:tr>
        <w:trPr>
          <w:cantSplit w:val="false"/>
        </w:trPr>
        <w:tc>
          <w:tcPr>
            <w:tcW w:type="dxa" w:w="6439"/>
            <w:tcBorders>
              <w:top w:color="00000A" w:space="0" w:sz="8" w:val="single"/>
              <w:left w:val="nil"/>
              <w:bottom w:color="00000A" w:space="0" w:sz="4" w:val="single"/>
              <w:right w:val="nil"/>
            </w:tcBorders>
            <w:shd w:fill="FFFFFF" w:val="clear"/>
            <w:vAlign w:val="center"/>
          </w:tcPr>
          <w:p>
            <w:pPr>
              <w:pStyle w:val="style0"/>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type="dxa" w:w="1310"/>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w:t>
            </w:r>
            <w:r>
              <w:rPr>
                <w:rFonts w:cs="Arial"/>
                <w:b/>
                <w:bCs/>
                <w:i/>
                <w:iCs/>
                <w:sz w:val="15"/>
                <w:szCs w:val="15"/>
                <w:lang w:eastAsia="sk-SK"/>
              </w:rPr>
              <w:t>8</w:t>
            </w:r>
          </w:p>
        </w:tc>
        <w:tc>
          <w:tcPr>
            <w:tcW w:type="dxa" w:w="1321"/>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w:t>
            </w:r>
            <w:r>
              <w:rPr>
                <w:rFonts w:cs="Arial"/>
                <w:b/>
                <w:bCs/>
                <w:i/>
                <w:iCs/>
                <w:sz w:val="15"/>
                <w:szCs w:val="15"/>
                <w:lang w:eastAsia="sk-SK"/>
              </w:rPr>
              <w:t>7</w:t>
            </w:r>
          </w:p>
        </w:tc>
      </w:tr>
      <w:tr>
        <w:trPr>
          <w:cantSplit w:val="false"/>
        </w:trPr>
        <w:tc>
          <w:tcPr>
            <w:tcW w:type="dxa" w:w="6439"/>
            <w:tcBorders>
              <w:top w:color="00000A" w:space="0" w:sz="4" w:val="single"/>
              <w:left w:val="nil"/>
              <w:bottom w:color="00000A" w:space="0" w:sz="8" w:val="single"/>
              <w:right w:val="nil"/>
            </w:tcBorders>
            <w:shd w:fill="FFFFFF" w:val="clear"/>
            <w:vAlign w:val="center"/>
          </w:tcPr>
          <w:p>
            <w:pPr>
              <w:pStyle w:val="style0"/>
              <w:jc w:val="left"/>
              <w:rPr>
                <w:rFonts w:cs="Arial"/>
                <w:sz w:val="15"/>
                <w:szCs w:val="15"/>
                <w:lang w:eastAsia="sk-SK"/>
              </w:rPr>
            </w:pPr>
            <w:r>
              <w:rPr>
                <w:rFonts w:cs="Arial"/>
                <w:sz w:val="15"/>
                <w:szCs w:val="15"/>
                <w:lang w:eastAsia="sk-SK"/>
              </w:rPr>
              <w:t>Priemerný prepočítaný počet zamestnancov</w:t>
            </w:r>
          </w:p>
        </w:tc>
        <w:tc>
          <w:tcPr>
            <w:tcW w:type="dxa" w:w="1310"/>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c>
          <w:tcPr>
            <w:tcW w:type="dxa" w:w="1321"/>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t xml:space="preserve">Spoločnosť počas roka </w:t>
      </w:r>
      <w:r>
        <w:rPr>
          <w:sz w:val="14"/>
          <w:szCs w:val="14"/>
          <w:lang w:eastAsia="sk-SK"/>
        </w:rPr>
        <w:t>2018</w:t>
      </w:r>
      <w:r>
        <w:rPr>
          <w:sz w:val="14"/>
          <w:szCs w:val="14"/>
          <w:lang w:eastAsia="sk-SK"/>
        </w:rPr>
        <w:t xml:space="preserve"> ani v bezprostredne predchádzajúcom účtovnom období nezamestnávala žiadnych pracovníkov. </w:t>
      </w:r>
    </w:p>
    <w:p>
      <w:pPr>
        <w:pStyle w:val="style0"/>
        <w:rPr>
          <w:sz w:val="14"/>
          <w:szCs w:val="14"/>
          <w:lang w:eastAsia="sk-SK"/>
        </w:rPr>
      </w:pPr>
      <w:r>
        <w:rPr>
          <w:sz w:val="14"/>
          <w:szCs w:val="14"/>
          <w:lang w:eastAsia="sk-SK"/>
        </w:rPr>
      </w:r>
    </w:p>
    <w:p>
      <w:pPr>
        <w:pStyle w:val="style0"/>
        <w:rPr>
          <w:sz w:val="14"/>
          <w:szCs w:val="14"/>
          <w:lang w:eastAsia="sk-SK"/>
        </w:rPr>
      </w:pPr>
      <w:bookmarkStart w:id="2" w:name="T_number_of_employees1"/>
      <w:bookmarkStart w:id="3" w:name="T_number_of_employees1"/>
      <w:bookmarkEnd w:id="3"/>
      <w:r>
        <w:rPr>
          <w:sz w:val="14"/>
          <w:szCs w:val="14"/>
          <w:lang w:eastAsia="sk-SK"/>
        </w:rPr>
      </w:r>
    </w:p>
    <w:p>
      <w:pPr>
        <w:pStyle w:val="style2"/>
        <w:numPr>
          <w:ilvl w:val="1"/>
          <w:numId w:val="1"/>
        </w:numPr>
        <w:rPr/>
      </w:pPr>
      <w:r>
        <w:rPr/>
        <w:t>Právny dôvod zostavenia účtovnej závierky</w:t>
      </w:r>
    </w:p>
    <w:p>
      <w:pPr>
        <w:pStyle w:val="style0"/>
        <w:rPr>
          <w:sz w:val="14"/>
          <w:szCs w:val="14"/>
          <w:lang w:eastAsia="sk-SK"/>
        </w:rPr>
      </w:pPr>
      <w:r>
        <w:rPr>
          <w:sz w:val="14"/>
          <w:szCs w:val="14"/>
          <w:lang w:eastAsia="sk-SK"/>
        </w:rPr>
      </w:r>
    </w:p>
    <w:p>
      <w:pPr>
        <w:pStyle w:val="style0"/>
        <w:rPr>
          <w:lang w:eastAsia="sk-SK"/>
        </w:rPr>
      </w:pPr>
      <w:r>
        <w:rPr>
          <w:lang w:eastAsia="sk-SK"/>
        </w:rPr>
        <w:t>Táto účtovná závierka je riadna individuálna účtovná závierka spoločnosti JUSKA s.r.o., bola zostavená za účtovné obdobie od 1. augusta do 31. decembra 201</w:t>
      </w:r>
      <w:r>
        <w:rPr>
          <w:lang w:eastAsia="sk-SK"/>
        </w:rPr>
        <w:t>8</w:t>
      </w:r>
      <w:r>
        <w:rPr>
          <w:lang w:eastAsia="sk-SK"/>
        </w:rPr>
        <w:t xml:space="preserve"> podľa slovenských právnych predpisov, a to zákona o</w:t>
      </w:r>
      <w:r>
        <w:rPr/>
        <w:t> </w:t>
      </w:r>
      <w:r>
        <w:rPr>
          <w:lang w:eastAsia="sk-SK"/>
        </w:rPr>
        <w:t xml:space="preserve">účtovníctve a postupov účtovania pre podnikateľov. </w:t>
      </w:r>
    </w:p>
    <w:p>
      <w:pPr>
        <w:pStyle w:val="style0"/>
        <w:rPr>
          <w:sz w:val="14"/>
          <w:szCs w:val="14"/>
          <w:lang w:eastAsia="sk-SK"/>
        </w:rPr>
      </w:pPr>
      <w:r>
        <w:rPr>
          <w:sz w:val="14"/>
          <w:szCs w:val="14"/>
          <w:lang w:eastAsia="sk-SK"/>
        </w:rPr>
      </w:r>
    </w:p>
    <w:p>
      <w:pPr>
        <w:pStyle w:val="style0"/>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Schválenie účtovnej závierky za rok 2016</w:t>
      </w:r>
    </w:p>
    <w:p>
      <w:pPr>
        <w:pStyle w:val="style0"/>
        <w:rPr>
          <w:sz w:val="14"/>
          <w:szCs w:val="14"/>
          <w:lang w:eastAsia="sk-SK"/>
        </w:rPr>
      </w:pPr>
      <w:r>
        <w:rPr>
          <w:sz w:val="14"/>
          <w:szCs w:val="14"/>
          <w:lang w:eastAsia="sk-SK"/>
        </w:rPr>
      </w:r>
    </w:p>
    <w:p>
      <w:pPr>
        <w:pStyle w:val="style0"/>
        <w:rPr>
          <w:lang w:eastAsia="sk-SK"/>
        </w:rPr>
      </w:pPr>
      <w:r>
        <w:rPr>
          <w:lang w:eastAsia="sk-SK"/>
        </w:rPr>
        <w:t>Účtovná závierka spoločnosti JUSKA s.r.o. schvaľovaná nebola, nakoľko spoločnosť vznikla 17.08.201</w:t>
      </w:r>
      <w:r>
        <w:rPr>
          <w:lang w:eastAsia="sk-SK"/>
        </w:rPr>
        <w:t>8</w:t>
      </w:r>
      <w:r>
        <w:rPr>
          <w:lang w:eastAsia="sk-SK"/>
        </w:rPr>
        <w:t xml:space="preserve">. </w:t>
      </w:r>
    </w:p>
    <w:p>
      <w:pPr>
        <w:pStyle w:val="style0"/>
        <w:rPr>
          <w:sz w:val="14"/>
          <w:szCs w:val="14"/>
          <w:lang w:eastAsia="sk-SK"/>
        </w:rPr>
      </w:pPr>
      <w:r>
        <w:rPr>
          <w:sz w:val="14"/>
          <w:szCs w:val="14"/>
          <w:lang w:eastAsia="sk-SK"/>
        </w:rPr>
      </w:r>
    </w:p>
    <w:p>
      <w:pPr>
        <w:pStyle w:val="style0"/>
        <w:jc w:val="both"/>
        <w:rPr>
          <w:sz w:val="14"/>
          <w:szCs w:val="14"/>
          <w:lang w:eastAsia="sk-SK"/>
        </w:rPr>
      </w:pP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jc w:val="left"/>
        <w:rPr>
          <w:rFonts w:cs="Arial"/>
          <w:b/>
          <w:bCs/>
          <w:iCs/>
          <w:szCs w:val="28"/>
        </w:rPr>
      </w:pPr>
      <w:r>
        <w:rPr>
          <w:rFonts w:cs="Arial"/>
          <w:b/>
          <w:bCs/>
          <w:iCs/>
          <w:szCs w:val="28"/>
        </w:rPr>
        <w:t>5.      Neobmedzené ručenie</w:t>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t>Spoločnosť JUSKA s.r.o. nie je neobmedzene ručiacim spoločníkom v iných účtovných jednotkách podľa § 56 ods. 5 Obchodného zákonníka.</w:t>
      </w:r>
    </w:p>
    <w:p>
      <w:pPr>
        <w:pStyle w:val="style0"/>
        <w:jc w:val="left"/>
        <w:rPr/>
      </w:pPr>
      <w:r>
        <w:rPr/>
      </w:r>
    </w:p>
    <w:p>
      <w:pPr>
        <w:pStyle w:val="style0"/>
        <w:jc w:val="left"/>
        <w:rPr/>
      </w:pPr>
      <w:r>
        <w:rPr/>
      </w:r>
    </w:p>
    <w:p>
      <w:pPr>
        <w:pStyle w:val="style0"/>
        <w:jc w:val="left"/>
        <w:rPr>
          <w:b/>
          <w:bCs/>
        </w:rPr>
      </w:pPr>
      <w:r>
        <w:rPr>
          <w:b/>
          <w:bCs/>
        </w:rPr>
        <w:t>6.      Konsolidovaná účtovná závierka</w:t>
      </w:r>
    </w:p>
    <w:p>
      <w:pPr>
        <w:pStyle w:val="style0"/>
        <w:jc w:val="left"/>
        <w:rPr>
          <w:b/>
          <w:bCs/>
        </w:rPr>
      </w:pPr>
      <w:r>
        <w:rPr>
          <w:b/>
          <w:bCs/>
        </w:rPr>
      </w:r>
    </w:p>
    <w:p>
      <w:pPr>
        <w:pStyle w:val="style0"/>
        <w:jc w:val="left"/>
        <w:rPr>
          <w:b w:val="false"/>
          <w:bCs w:val="false"/>
        </w:rPr>
      </w:pPr>
      <w:r>
        <w:rPr>
          <w:b/>
          <w:bCs/>
        </w:rPr>
        <w:t xml:space="preserve">- </w:t>
      </w:r>
      <w:r>
        <w:rPr>
          <w:b w:val="false"/>
          <w:bCs w:val="false"/>
        </w:rPr>
        <w:t>Spoločnosť v účtovnom období nevlastnila podiely v iných spoločnostiach,</w:t>
      </w:r>
    </w:p>
    <w:p>
      <w:pPr>
        <w:pStyle w:val="style0"/>
        <w:jc w:val="left"/>
        <w:rPr>
          <w:b w:val="false"/>
          <w:bCs w:val="false"/>
        </w:rPr>
      </w:pPr>
      <w:r>
        <w:rPr>
          <w:b w:val="false"/>
          <w:bCs w:val="false"/>
        </w:rPr>
        <w:t>- Spoločnosť v účtovnom období nezostavovala konsolidovanú účtovnú závierku</w:t>
      </w:r>
    </w:p>
    <w:p>
      <w:pPr>
        <w:pStyle w:val="style2"/>
        <w:rPr/>
      </w:pPr>
      <w:r>
        <w:rPr/>
      </w:r>
    </w:p>
    <w:p>
      <w:pPr>
        <w:pStyle w:val="style0"/>
        <w:rPr>
          <w:sz w:val="10"/>
          <w:szCs w:val="10"/>
          <w:lang w:eastAsia="sk-SK"/>
        </w:rPr>
      </w:pPr>
      <w:r>
        <w:rPr>
          <w:sz w:val="10"/>
          <w:szCs w:val="10"/>
          <w:lang w:eastAsia="sk-SK"/>
        </w:rPr>
      </w:r>
    </w:p>
    <w:p>
      <w:pPr>
        <w:pStyle w:val="style0"/>
        <w:rPr>
          <w:sz w:val="10"/>
          <w:szCs w:val="10"/>
          <w:lang w:eastAsia="sk-SK"/>
        </w:rPr>
      </w:pPr>
      <w:r>
        <w:rPr>
          <w:sz w:val="10"/>
          <w:szCs w:val="10"/>
          <w:lang w:eastAsia="sk-SK"/>
        </w:rPr>
      </w:r>
    </w:p>
    <w:p>
      <w:pPr>
        <w:pStyle w:val="style1"/>
        <w:tabs>
          <w:tab w:leader="none" w:pos="75" w:val="left"/>
        </w:tabs>
        <w:rPr>
          <w:rFonts w:cs="Arial"/>
          <w:b/>
          <w:bCs/>
          <w:iCs/>
          <w:szCs w:val="28"/>
        </w:rPr>
      </w:pPr>
      <w:r>
        <w:rPr>
          <w:rFonts w:cs="Arial"/>
          <w:b/>
          <w:bCs/>
          <w:iCs/>
          <w:szCs w:val="28"/>
          <w:u w:val="none"/>
        </w:rPr>
        <w:t xml:space="preserve">II.  </w:t>
      </w:r>
      <w:r>
        <w:rPr>
          <w:rFonts w:cs="Arial"/>
          <w:b/>
          <w:bCs/>
          <w:iCs/>
          <w:szCs w:val="28"/>
        </w:rPr>
        <w:t>NFORMÁCIE O ORGÁNOCH SPOLOČNOSTI</w:t>
      </w:r>
    </w:p>
    <w:p>
      <w:pPr>
        <w:pStyle w:val="style1"/>
        <w:rPr>
          <w:rFonts w:cs="Arial"/>
          <w:b/>
          <w:bCs/>
          <w:iCs/>
          <w:szCs w:val="28"/>
        </w:rPr>
      </w:pPr>
      <w:r>
        <w:rPr>
          <w:rFonts w:cs="Arial"/>
          <w:b/>
          <w:bCs/>
          <w:iCs/>
          <w:szCs w:val="28"/>
        </w:rPr>
      </w:r>
    </w:p>
    <w:p>
      <w:pPr>
        <w:pStyle w:val="style1"/>
        <w:rPr>
          <w:rFonts w:cs="Arial"/>
          <w:b/>
          <w:bCs/>
          <w:iCs/>
          <w:szCs w:val="28"/>
        </w:rPr>
      </w:pPr>
      <w:r>
        <w:rPr>
          <w:rFonts w:cs="Arial"/>
          <w:b/>
          <w:bCs/>
          <w:iCs/>
          <w:szCs w:val="28"/>
        </w:rPr>
      </w:r>
    </w:p>
    <w:p>
      <w:pPr>
        <w:pStyle w:val="style49"/>
        <w:rPr>
          <w:b/>
          <w:bCs/>
          <w:sz w:val="16"/>
          <w:szCs w:val="16"/>
        </w:rPr>
      </w:pPr>
      <w:r>
        <w:rPr>
          <w:sz w:val="20"/>
          <w:szCs w:val="20"/>
        </w:rPr>
        <w:t>1.</w:t>
      </w:r>
      <w:r>
        <w:rPr/>
        <w:t xml:space="preserve"> </w:t>
      </w:r>
      <w:r>
        <w:rPr>
          <w:b/>
          <w:bCs/>
          <w:sz w:val="16"/>
          <w:szCs w:val="16"/>
        </w:rPr>
        <w:t>Záruky a iné zabezpečenia poskytnuté členom a orgánom spoločnosti</w:t>
      </w:r>
    </w:p>
    <w:p>
      <w:pPr>
        <w:pStyle w:val="style49"/>
        <w:rPr>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style49"/>
        <w:rPr>
          <w:b w:val="false"/>
          <w:bCs w:val="false"/>
        </w:rPr>
      </w:pPr>
      <w:r>
        <w:rPr>
          <w:b w:val="false"/>
          <w:bCs w:val="false"/>
        </w:rPr>
      </w:r>
    </w:p>
    <w:p>
      <w:pPr>
        <w:pStyle w:val="style49"/>
        <w:rPr>
          <w:b/>
          <w:bCs/>
          <w:sz w:val="16"/>
          <w:szCs w:val="16"/>
        </w:rPr>
      </w:pPr>
      <w:r>
        <w:rPr>
          <w:b/>
          <w:bCs/>
          <w:sz w:val="16"/>
          <w:szCs w:val="16"/>
        </w:rPr>
        <w:t>2.  Pôžičky poskytnuté členom orgánov spoločnosti</w:t>
      </w:r>
    </w:p>
    <w:p>
      <w:pPr>
        <w:pStyle w:val="style49"/>
        <w:rPr>
          <w:b w:val="false"/>
          <w:bCs w:val="false"/>
          <w:sz w:val="18"/>
          <w:szCs w:val="18"/>
        </w:rPr>
      </w:pPr>
      <w:r>
        <w:rPr>
          <w:b w:val="false"/>
          <w:bCs w:val="false"/>
          <w:sz w:val="18"/>
          <w:szCs w:val="18"/>
        </w:rPr>
        <w:t>Spoločnosť v účtovnom období 201</w:t>
      </w:r>
      <w:r>
        <w:rPr>
          <w:b w:val="false"/>
          <w:bCs w:val="false"/>
          <w:sz w:val="18"/>
          <w:szCs w:val="18"/>
        </w:rPr>
        <w:t>8</w:t>
      </w:r>
      <w:r>
        <w:rPr>
          <w:b w:val="false"/>
          <w:bCs w:val="false"/>
          <w:sz w:val="18"/>
          <w:szCs w:val="18"/>
        </w:rPr>
        <w:t xml:space="preserve"> neposkytla členom orgánov spoločnosti žiadne záruky alebo iné zabezpečenie a poskytnuté pôžičky.</w:t>
      </w:r>
    </w:p>
    <w:p>
      <w:pPr>
        <w:pStyle w:val="style49"/>
        <w:rPr>
          <w:b w:val="false"/>
          <w:bCs w:val="false"/>
        </w:rPr>
      </w:pPr>
      <w:r>
        <w:rPr>
          <w:b w:val="false"/>
          <w:bCs w:val="false"/>
        </w:rPr>
      </w:r>
    </w:p>
    <w:p>
      <w:pPr>
        <w:pStyle w:val="style49"/>
        <w:rPr>
          <w:b/>
          <w:bCs/>
          <w:sz w:val="16"/>
          <w:szCs w:val="16"/>
          <w:u w:val="single"/>
        </w:rPr>
      </w:pPr>
      <w:r>
        <w:rPr>
          <w:b/>
          <w:bCs/>
          <w:sz w:val="16"/>
          <w:szCs w:val="16"/>
        </w:rPr>
        <w:t xml:space="preserve">III.    </w:t>
      </w:r>
      <w:r>
        <w:rPr>
          <w:b/>
          <w:bCs/>
          <w:sz w:val="16"/>
          <w:szCs w:val="16"/>
          <w:u w:val="single"/>
        </w:rPr>
        <w:t>POUŽITÉ ÚČTOVNÉ ZÁSADY A ÚČTOVNÉ METÓDY</w:t>
      </w:r>
    </w:p>
    <w:p>
      <w:pPr>
        <w:pStyle w:val="style49"/>
        <w:rPr>
          <w:b/>
          <w:bCs/>
        </w:rPr>
      </w:pPr>
      <w:r>
        <w:rPr>
          <w:b/>
          <w:bCs/>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2. Účtovná závierka za rok </w:t>
      </w:r>
      <w:r>
        <w:rPr>
          <w:b w:val="false"/>
          <w:bCs w:val="false"/>
          <w:sz w:val="18"/>
          <w:szCs w:val="18"/>
          <w:u w:val="none"/>
        </w:rPr>
        <w:t>2018</w:t>
      </w:r>
      <w:r>
        <w:rPr>
          <w:b w:val="false"/>
          <w:bCs w:val="false"/>
          <w:sz w:val="18"/>
          <w:szCs w:val="18"/>
          <w:u w:val="none"/>
        </w:rPr>
        <w:t xml:space="preserve"> bola spracovaná za predpokladu nepretržitého pokračovania činnosti.</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t>1. Spôsob ocenenia jednotlivých zložiek majetku a záväzkov – prvé ocenenie</w:t>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c) Zásoby obstarané kúpou: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e) Pohľadávky:</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alebo bezodplatnom nadobudnutí –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g) Časové rozlíšenie na strane aktív súvahy – očakávanou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h) Záväzky:</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pervzatí – obstarávacou cenou.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i) Rezervy – v očakávanej výške záväzku alebo poistnomatematickými metódami.</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j) Časové rozlíšenie na strane pasív súvahy – očakávanou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21% po úpravách o niektoré položky na daňové účely.</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w:t>
      </w:r>
      <w:r>
        <w:rPr>
          <w:b w:val="false"/>
          <w:bCs w:val="false"/>
          <w:sz w:val="18"/>
          <w:szCs w:val="18"/>
          <w:u w:val="none"/>
        </w:rPr>
        <w:t>2018</w:t>
      </w:r>
      <w:r>
        <w:rPr>
          <w:b w:val="false"/>
          <w:bCs w:val="false"/>
          <w:sz w:val="18"/>
          <w:szCs w:val="18"/>
          <w:u w:val="none"/>
        </w:rPr>
        <w:t xml:space="preserve"> nevyplynula povinnosť tvorby rezervy.</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w:t>
      </w:r>
      <w:r>
        <w:rPr>
          <w:b w:val="false"/>
          <w:bCs w:val="false"/>
          <w:sz w:val="18"/>
          <w:szCs w:val="18"/>
          <w:u w:val="none"/>
        </w:rPr>
        <w:t>2018</w:t>
      </w:r>
      <w:r>
        <w:rPr>
          <w:b w:val="false"/>
          <w:bCs w:val="false"/>
          <w:sz w:val="18"/>
          <w:szCs w:val="18"/>
          <w:u w:val="none"/>
        </w:rPr>
        <w:t xml:space="preserve"> nevyplynula povinnosť tvoriť opravné položky.</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Plán odpisov</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Podiely na základnom imaní sa ponechávajú v pôvodnom ocenení.</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t>2. Prepočet údajov v cudzích menách na slovenskú menu</w:t>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style49"/>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49"/>
        <w:widowControl/>
        <w:suppressAutoHyphens w:val="true"/>
        <w:spacing w:after="120" w:before="0"/>
        <w:ind w:firstLine="11" w:left="-11" w:right="0"/>
        <w:contextualSpacing w:val="false"/>
        <w:jc w:val="both"/>
        <w:rPr>
          <w:b/>
          <w:bCs/>
          <w:sz w:val="18"/>
          <w:szCs w:val="18"/>
          <w:u w:val="none"/>
        </w:rPr>
      </w:pPr>
      <w:r>
        <w:rPr>
          <w:b/>
          <w:bCs/>
          <w:sz w:val="18"/>
          <w:szCs w:val="18"/>
          <w:u w:val="none"/>
        </w:rPr>
        <w:t>3. Zmeny účtovných zásad a účtovných metód</w:t>
      </w:r>
    </w:p>
    <w:p>
      <w:pPr>
        <w:pStyle w:val="style49"/>
        <w:widowControl/>
        <w:suppressAutoHyphens w:val="true"/>
        <w:spacing w:after="120" w:before="0"/>
        <w:ind w:firstLine="11" w:left="-11" w:right="0"/>
        <w:contextualSpacing w:val="false"/>
        <w:jc w:val="both"/>
        <w:rPr>
          <w:b/>
          <w:bCs/>
          <w:sz w:val="18"/>
          <w:szCs w:val="18"/>
          <w:u w:val="none"/>
        </w:rPr>
      </w:pPr>
      <w:r>
        <w:rPr>
          <w:b/>
          <w:bCs/>
          <w:sz w:val="18"/>
          <w:szCs w:val="18"/>
          <w:u w:val="none"/>
        </w:rPr>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 xml:space="preserve">V účtovnom období roku </w:t>
      </w:r>
      <w:r>
        <w:rPr>
          <w:b w:val="false"/>
          <w:bCs w:val="false"/>
          <w:sz w:val="18"/>
          <w:szCs w:val="18"/>
          <w:u w:val="none"/>
        </w:rPr>
        <w:t>2018</w:t>
      </w:r>
      <w:r>
        <w:rPr>
          <w:b w:val="false"/>
          <w:bCs w:val="false"/>
          <w:sz w:val="18"/>
          <w:szCs w:val="18"/>
          <w:u w:val="none"/>
        </w:rPr>
        <w:t xml:space="preserve"> nenastali v spoločnosti JUSKA s.r.o. žiadne zmeny týkajúce sa účtovných zásad a účtovných metód.</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r>
    </w:p>
    <w:p>
      <w:pPr>
        <w:pStyle w:val="style49"/>
        <w:widowControl/>
        <w:suppressAutoHyphens w:val="true"/>
        <w:spacing w:after="120" w:before="0"/>
        <w:ind w:firstLine="11" w:left="-11" w:right="0"/>
        <w:contextualSpacing w:val="false"/>
        <w:jc w:val="both"/>
        <w:rPr>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style49"/>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 xml:space="preserve">V spoločnosti JUSKA s.r.o. nedošlo v účtovnom období roku </w:t>
      </w:r>
      <w:r>
        <w:rPr>
          <w:b w:val="false"/>
          <w:bCs w:val="false"/>
          <w:sz w:val="18"/>
          <w:szCs w:val="18"/>
          <w:u w:val="none"/>
        </w:rPr>
        <w:t>2018</w:t>
      </w:r>
      <w:r>
        <w:rPr>
          <w:b w:val="false"/>
          <w:bCs w:val="false"/>
          <w:sz w:val="18"/>
          <w:szCs w:val="18"/>
          <w:u w:val="none"/>
        </w:rPr>
        <w:t xml:space="preserve"> k žiadnzm opravám významných chýb minulých období., nakoľko spoločnosť bola zapísaná do OR OS Žilina až dňa 17.08.201</w:t>
      </w:r>
      <w:r>
        <w:rPr>
          <w:b w:val="false"/>
          <w:bCs w:val="false"/>
          <w:sz w:val="18"/>
          <w:szCs w:val="18"/>
          <w:u w:val="none"/>
        </w:rPr>
        <w:t>8</w:t>
      </w:r>
      <w:r>
        <w:rPr>
          <w:b w:val="false"/>
          <w:bCs w:val="false"/>
          <w:sz w:val="18"/>
          <w:szCs w:val="18"/>
          <w:u w:val="none"/>
        </w:rPr>
        <w:t>.</w:t>
      </w:r>
    </w:p>
    <w:p>
      <w:pPr>
        <w:pStyle w:val="style49"/>
        <w:widowControl/>
        <w:suppressAutoHyphens w:val="true"/>
        <w:spacing w:after="120" w:before="0"/>
        <w:ind w:hanging="214" w:left="246" w:right="0"/>
        <w:contextualSpacing w:val="false"/>
        <w:jc w:val="both"/>
        <w:rPr>
          <w:b w:val="false"/>
          <w:bCs w:val="false"/>
          <w:sz w:val="20"/>
          <w:szCs w:val="20"/>
          <w:u w:val="none"/>
        </w:rPr>
      </w:pPr>
      <w:r>
        <w:rPr>
          <w:b w:val="false"/>
          <w:bCs w:val="false"/>
          <w:sz w:val="20"/>
          <w:szCs w:val="20"/>
          <w:u w:val="none"/>
        </w:rPr>
      </w:r>
    </w:p>
    <w:p>
      <w:pPr>
        <w:pStyle w:val="style49"/>
        <w:widowControl/>
        <w:suppressAutoHyphens w:val="true"/>
        <w:spacing w:after="120" w:before="0"/>
        <w:ind w:hanging="214" w:left="246" w:right="0"/>
        <w:contextualSpacing w:val="false"/>
        <w:jc w:val="both"/>
        <w:rPr>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t>1. Dlhodobý nehmotný a hmotný majetok</w:t>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75"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style49"/>
        <w:rPr>
          <w:b w:val="false"/>
          <w:bCs w:val="false"/>
          <w:sz w:val="18"/>
          <w:szCs w:val="18"/>
        </w:rPr>
      </w:pPr>
      <w:r>
        <w:rPr>
          <w:b w:val="false"/>
          <w:bCs w:val="false"/>
          <w:sz w:val="18"/>
          <w:szCs w:val="18"/>
        </w:rPr>
      </w:r>
    </w:p>
    <w:p>
      <w:pPr>
        <w:pStyle w:val="style49"/>
        <w:rPr>
          <w:b w:val="false"/>
          <w:bCs w:val="false"/>
        </w:rPr>
      </w:pPr>
      <w:r>
        <w:rPr>
          <w:b w:val="false"/>
          <w:bCs w:val="false"/>
        </w:rPr>
      </w:r>
    </w:p>
    <w:p>
      <w:pPr>
        <w:pStyle w:val="style49"/>
        <w:rPr>
          <w:b w:val="false"/>
          <w:bCs w:val="false"/>
        </w:rPr>
      </w:pPr>
      <w:r>
        <w:rPr>
          <w:b w:val="false"/>
          <w:bCs w:val="false"/>
        </w:rPr>
      </w:r>
    </w:p>
    <w:p>
      <w:pPr>
        <w:pStyle w:val="style49"/>
        <w:rPr>
          <w:b w:val="false"/>
          <w:bCs w:val="false"/>
        </w:rPr>
      </w:pPr>
      <w:r>
        <w:rPr>
          <w:b w:val="false"/>
          <w:bCs w:val="false"/>
        </w:rPr>
      </w:r>
    </w:p>
    <w:p>
      <w:pPr>
        <w:pStyle w:val="style49"/>
        <w:rPr>
          <w:b/>
          <w:bCs/>
          <w:sz w:val="18"/>
          <w:szCs w:val="18"/>
        </w:rPr>
      </w:pPr>
      <w:r>
        <w:rPr>
          <w:b/>
          <w:bCs/>
          <w:sz w:val="18"/>
          <w:szCs w:val="18"/>
        </w:rPr>
        <w:t>2.  Pohľadávky</w:t>
      </w:r>
    </w:p>
    <w:p>
      <w:pPr>
        <w:pStyle w:val="style4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0"/>
        <w:gridCol w:w="2390"/>
      </w:tblGrid>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bežné účtovné obdobie</w:t>
            </w:r>
          </w:p>
        </w:tc>
        <w:tc>
          <w:tcPr>
            <w:tcW w:type="dxa" w:w="2390"/>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obdobie</w:t>
            </w:r>
          </w:p>
        </w:tc>
        <w:tc>
          <w:tcPr>
            <w:tcW w:type="dxa" w:w="2390"/>
            <w:tcBorders>
              <w:top w:val="nil"/>
              <w:left w:val="nil"/>
              <w:bottom w:val="nil"/>
              <w:right w:val="nil"/>
            </w:tcBorders>
            <w:shd w:fill="FFFFFF" w:val="clear"/>
            <w:vAlign w:val="center"/>
          </w:tcPr>
          <w:p>
            <w:pPr>
              <w:pStyle w:val="style64"/>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Názov položky</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Pohľadávky z obchodného styku</w:t>
            </w:r>
          </w:p>
        </w:tc>
        <w:tc>
          <w:tcPr>
            <w:tcW w:type="dxa" w:w="2380"/>
            <w:tcBorders>
              <w:top w:val="nil"/>
              <w:left w:val="nil"/>
              <w:bottom w:val="nil"/>
              <w:right w:val="nil"/>
            </w:tcBorders>
            <w:shd w:fill="FFFFFF" w:val="clear"/>
            <w:vAlign w:val="center"/>
          </w:tcPr>
          <w:p>
            <w:pPr>
              <w:pStyle w:val="style64"/>
              <w:rPr/>
            </w:pPr>
            <w:r>
              <w:rPr/>
              <w:t xml:space="preserve">                   </w:t>
            </w:r>
            <w:r>
              <w:rPr/>
              <w:t>0</w:t>
            </w:r>
          </w:p>
        </w:tc>
        <w:tc>
          <w:tcPr>
            <w:tcW w:type="dxa" w:w="2390"/>
            <w:tcBorders>
              <w:top w:val="nil"/>
              <w:left w:val="nil"/>
              <w:bottom w:val="nil"/>
              <w:right w:val="nil"/>
            </w:tcBorders>
            <w:shd w:fill="FFFFFF" w:val="clear"/>
            <w:vAlign w:val="center"/>
          </w:tcPr>
          <w:p>
            <w:pPr>
              <w:pStyle w:val="style64"/>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Daňové pohľadávky</w:t>
            </w:r>
          </w:p>
        </w:tc>
        <w:tc>
          <w:tcPr>
            <w:tcW w:type="dxa" w:w="2380"/>
            <w:tcBorders>
              <w:top w:val="nil"/>
              <w:left w:val="nil"/>
              <w:bottom w:val="nil"/>
              <w:right w:val="nil"/>
            </w:tcBorders>
            <w:shd w:fill="FFFFFF" w:val="clear"/>
            <w:vAlign w:val="center"/>
          </w:tcPr>
          <w:p>
            <w:pPr>
              <w:pStyle w:val="style64"/>
              <w:rPr/>
            </w:pPr>
            <w:r>
              <w:rPr/>
              <w:t xml:space="preserve">                   </w:t>
            </w:r>
            <w:r>
              <w:rPr/>
              <w:t>0</w:t>
            </w:r>
          </w:p>
        </w:tc>
        <w:tc>
          <w:tcPr>
            <w:tcW w:type="dxa" w:w="2390"/>
            <w:tcBorders>
              <w:top w:val="nil"/>
              <w:left w:val="nil"/>
              <w:bottom w:val="nil"/>
              <w:right w:val="nil"/>
            </w:tcBorders>
            <w:shd w:fill="FFFFFF" w:val="clear"/>
            <w:vAlign w:val="center"/>
          </w:tcPr>
          <w:p>
            <w:pPr>
              <w:pStyle w:val="style64"/>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Ostatné pohľadávky</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b/>
                <w:bCs/>
              </w:rPr>
            </w:pPr>
            <w:r>
              <w:rPr>
                <w:b/>
                <w:bCs/>
              </w:rPr>
              <w:t>Pohľadávky spolu:</w:t>
            </w:r>
          </w:p>
        </w:tc>
        <w:tc>
          <w:tcPr>
            <w:tcW w:type="dxa" w:w="2380"/>
            <w:tcBorders>
              <w:top w:val="nil"/>
              <w:left w:val="nil"/>
              <w:bottom w:val="nil"/>
              <w:right w:val="nil"/>
            </w:tcBorders>
            <w:shd w:fill="FFFFFF" w:val="clear"/>
            <w:vAlign w:val="center"/>
          </w:tcPr>
          <w:p>
            <w:pPr>
              <w:pStyle w:val="style64"/>
              <w:rPr>
                <w:b/>
                <w:bCs/>
              </w:rPr>
            </w:pPr>
            <w:r>
              <w:rPr>
                <w:b/>
                <w:bCs/>
              </w:rPr>
              <w:t xml:space="preserve">                   </w:t>
            </w:r>
            <w:r>
              <w:rPr>
                <w:b/>
                <w:bCs/>
              </w:rPr>
              <w:t>0</w:t>
            </w:r>
          </w:p>
        </w:tc>
        <w:tc>
          <w:tcPr>
            <w:tcW w:type="dxa" w:w="2390"/>
            <w:tcBorders>
              <w:top w:val="nil"/>
              <w:left w:val="nil"/>
              <w:bottom w:val="nil"/>
              <w:right w:val="nil"/>
            </w:tcBorders>
            <w:shd w:fill="FFFFFF" w:val="clear"/>
            <w:vAlign w:val="center"/>
          </w:tcPr>
          <w:p>
            <w:pPr>
              <w:pStyle w:val="style64"/>
              <w:jc w:val="center"/>
              <w:rPr>
                <w:b/>
                <w:bCs/>
              </w:rPr>
            </w:pPr>
            <w:r>
              <w:rPr>
                <w:b/>
                <w:bCs/>
              </w:rPr>
              <w:t>0</w:t>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jc w:val="center"/>
              <w:rPr/>
            </w:pPr>
            <w:r>
              <w:rPr/>
              <w:t> </w:t>
            </w:r>
          </w:p>
        </w:tc>
      </w:tr>
    </w:tbl>
    <w:p>
      <w:pPr>
        <w:pStyle w:val="style49"/>
        <w:rPr>
          <w:b/>
          <w:bCs/>
          <w:sz w:val="18"/>
          <w:szCs w:val="18"/>
        </w:rPr>
      </w:pPr>
      <w:r>
        <w:rPr>
          <w:b/>
          <w:bCs/>
          <w:sz w:val="18"/>
          <w:szCs w:val="18"/>
        </w:rPr>
      </w:r>
    </w:p>
    <w:p>
      <w:pPr>
        <w:pStyle w:val="style49"/>
        <w:rPr>
          <w:b w:val="false"/>
          <w:bCs w:val="false"/>
          <w:sz w:val="18"/>
          <w:szCs w:val="18"/>
        </w:rPr>
      </w:pPr>
      <w:r>
        <w:rPr>
          <w:b w:val="false"/>
          <w:bCs w:val="false"/>
          <w:sz w:val="18"/>
          <w:szCs w:val="18"/>
        </w:rPr>
        <w:t xml:space="preserve">V časti pohľadávok spoločnosť nevykazuje žiadne pohľadávky.  </w:t>
      </w:r>
    </w:p>
    <w:p>
      <w:pPr>
        <w:pStyle w:val="style49"/>
        <w:rPr/>
      </w:pPr>
      <w:r>
        <w:rPr/>
      </w:r>
    </w:p>
    <w:p>
      <w:pPr>
        <w:pStyle w:val="style49"/>
        <w:rPr>
          <w:b w:val="false"/>
          <w:bCs w:val="false"/>
          <w:sz w:val="18"/>
          <w:szCs w:val="18"/>
        </w:rPr>
      </w:pPr>
      <w:r>
        <w:rPr>
          <w:b w:val="false"/>
          <w:bCs w:val="false"/>
          <w:sz w:val="18"/>
          <w:szCs w:val="18"/>
        </w:rPr>
        <w:t>Tým, že spoločnosť neeviduje k 31.12.</w:t>
      </w:r>
      <w:r>
        <w:rPr>
          <w:b w:val="false"/>
          <w:bCs w:val="false"/>
          <w:sz w:val="18"/>
          <w:szCs w:val="18"/>
        </w:rPr>
        <w:t>2018</w:t>
      </w:r>
      <w:r>
        <w:rPr>
          <w:b w:val="false"/>
          <w:bCs w:val="false"/>
          <w:sz w:val="18"/>
          <w:szCs w:val="18"/>
        </w:rPr>
        <w:t xml:space="preserve"> pohľadávky žiadne pohľadávky, nebolo </w:t>
      </w:r>
    </w:p>
    <w:p>
      <w:pPr>
        <w:pStyle w:val="style49"/>
        <w:rPr>
          <w:b w:val="false"/>
          <w:bCs w:val="false"/>
          <w:sz w:val="18"/>
          <w:szCs w:val="18"/>
        </w:rPr>
      </w:pPr>
      <w:r>
        <w:rPr>
          <w:b w:val="false"/>
          <w:bCs w:val="false"/>
          <w:sz w:val="18"/>
          <w:szCs w:val="18"/>
        </w:rPr>
        <w:t>potrebné tvoriť opravné položky k pohľadávkam.</w:t>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3.  Krátkodobý finančný majetok</w:t>
      </w:r>
    </w:p>
    <w:p>
      <w:pPr>
        <w:pStyle w:val="style4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0"/>
        <w:gridCol w:w="2390"/>
      </w:tblGrid>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bežné účtovné obdobie</w:t>
            </w:r>
          </w:p>
        </w:tc>
        <w:tc>
          <w:tcPr>
            <w:tcW w:type="dxa" w:w="2390"/>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obdobie</w:t>
            </w:r>
          </w:p>
        </w:tc>
        <w:tc>
          <w:tcPr>
            <w:tcW w:type="dxa" w:w="2390"/>
            <w:tcBorders>
              <w:top w:val="nil"/>
              <w:left w:val="nil"/>
              <w:bottom w:val="nil"/>
              <w:right w:val="nil"/>
            </w:tcBorders>
            <w:shd w:fill="FFFFFF" w:val="clear"/>
            <w:vAlign w:val="center"/>
          </w:tcPr>
          <w:p>
            <w:pPr>
              <w:pStyle w:val="style64"/>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Názov položky</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Pokladnica</w:t>
            </w:r>
          </w:p>
        </w:tc>
        <w:tc>
          <w:tcPr>
            <w:tcW w:type="dxa" w:w="2380"/>
            <w:tcBorders>
              <w:top w:val="nil"/>
              <w:left w:val="nil"/>
              <w:bottom w:val="nil"/>
              <w:right w:val="nil"/>
            </w:tcBorders>
            <w:shd w:fill="FFFFFF" w:val="clear"/>
            <w:vAlign w:val="center"/>
          </w:tcPr>
          <w:p>
            <w:pPr>
              <w:pStyle w:val="style64"/>
              <w:rPr/>
            </w:pPr>
            <w:r>
              <w:rPr/>
              <w:t xml:space="preserve">                    </w:t>
            </w:r>
            <w:r>
              <w:rPr/>
              <w:t>2150</w:t>
            </w:r>
          </w:p>
        </w:tc>
        <w:tc>
          <w:tcPr>
            <w:tcW w:type="dxa" w:w="2390"/>
            <w:tcBorders>
              <w:top w:val="nil"/>
              <w:left w:val="nil"/>
              <w:bottom w:val="nil"/>
              <w:right w:val="nil"/>
            </w:tcBorders>
            <w:shd w:fill="FFFFFF" w:val="clear"/>
            <w:vAlign w:val="center"/>
          </w:tcPr>
          <w:p>
            <w:pPr>
              <w:pStyle w:val="style64"/>
              <w:jc w:val="center"/>
              <w:rPr/>
            </w:pPr>
            <w:r>
              <w:rPr/>
              <w:t>4681</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Ceniny</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Bankový účet v mene EUR</w:t>
            </w:r>
          </w:p>
        </w:tc>
        <w:tc>
          <w:tcPr>
            <w:tcW w:type="dxa" w:w="2380"/>
            <w:tcBorders>
              <w:top w:val="nil"/>
              <w:left w:val="nil"/>
              <w:bottom w:val="nil"/>
              <w:right w:val="nil"/>
            </w:tcBorders>
            <w:shd w:fill="FFFFFF" w:val="clear"/>
            <w:vAlign w:val="center"/>
          </w:tcPr>
          <w:p>
            <w:pPr>
              <w:pStyle w:val="style64"/>
              <w:rPr/>
            </w:pPr>
            <w:r>
              <w:rPr/>
              <w:t xml:space="preserve">                    </w:t>
            </w:r>
            <w:r>
              <w:rPr/>
              <w:t>4521</w:t>
            </w:r>
          </w:p>
        </w:tc>
        <w:tc>
          <w:tcPr>
            <w:tcW w:type="dxa" w:w="2390"/>
            <w:tcBorders>
              <w:top w:val="nil"/>
              <w:left w:val="nil"/>
              <w:bottom w:val="nil"/>
              <w:right w:val="nil"/>
            </w:tcBorders>
            <w:shd w:fill="FFFFFF" w:val="clear"/>
            <w:vAlign w:val="center"/>
          </w:tcPr>
          <w:p>
            <w:pPr>
              <w:pStyle w:val="style64"/>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Bankový účet v mene PLN</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PeyPal</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Peniaze na ceste</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b/>
                <w:bCs/>
              </w:rPr>
            </w:pPr>
            <w:r>
              <w:rPr/>
              <w:t> </w:t>
            </w:r>
            <w:r>
              <w:rPr>
                <w:b/>
                <w:bCs/>
              </w:rPr>
              <w:t>Spolu:</w:t>
            </w:r>
          </w:p>
        </w:tc>
        <w:tc>
          <w:tcPr>
            <w:tcW w:type="dxa" w:w="2380"/>
            <w:tcBorders>
              <w:top w:val="nil"/>
              <w:left w:val="nil"/>
              <w:bottom w:val="nil"/>
              <w:right w:val="nil"/>
            </w:tcBorders>
            <w:shd w:fill="FFFFFF" w:val="clear"/>
            <w:vAlign w:val="center"/>
          </w:tcPr>
          <w:p>
            <w:pPr>
              <w:pStyle w:val="style64"/>
              <w:rPr>
                <w:b/>
                <w:bCs/>
              </w:rPr>
            </w:pPr>
            <w:r>
              <w:rPr>
                <w:b/>
                <w:bCs/>
              </w:rPr>
              <w:t xml:space="preserve">                    </w:t>
            </w:r>
            <w:r>
              <w:rPr>
                <w:b/>
                <w:bCs/>
              </w:rPr>
              <w:t>6671</w:t>
            </w:r>
          </w:p>
        </w:tc>
        <w:tc>
          <w:tcPr>
            <w:tcW w:type="dxa" w:w="2390"/>
            <w:tcBorders>
              <w:top w:val="nil"/>
              <w:left w:val="nil"/>
              <w:bottom w:val="nil"/>
              <w:right w:val="nil"/>
            </w:tcBorders>
            <w:shd w:fill="FFFFFF" w:val="clear"/>
            <w:vAlign w:val="center"/>
          </w:tcPr>
          <w:p>
            <w:pPr>
              <w:pStyle w:val="style64"/>
              <w:jc w:val="center"/>
              <w:rPr>
                <w:b/>
                <w:bCs/>
              </w:rPr>
            </w:pPr>
            <w:r>
              <w:rPr>
                <w:b/>
                <w:bCs/>
              </w:rPr>
              <w:t>4681</w:t>
            </w:r>
          </w:p>
        </w:tc>
      </w:tr>
    </w:tbl>
    <w:p>
      <w:pPr>
        <w:pStyle w:val="style49"/>
        <w:rPr>
          <w:b/>
          <w:bCs/>
          <w:sz w:val="18"/>
          <w:szCs w:val="18"/>
        </w:rPr>
      </w:pPr>
      <w:r>
        <w:rPr>
          <w:b/>
          <w:bCs/>
          <w:sz w:val="18"/>
          <w:szCs w:val="18"/>
        </w:rPr>
      </w:r>
    </w:p>
    <w:p>
      <w:pPr>
        <w:pStyle w:val="style49"/>
        <w:rPr>
          <w:b w:val="false"/>
          <w:bCs w:val="false"/>
          <w:sz w:val="18"/>
          <w:szCs w:val="18"/>
        </w:rPr>
      </w:pPr>
      <w:r>
        <w:rPr>
          <w:b w:val="false"/>
          <w:bCs w:val="false"/>
          <w:sz w:val="18"/>
          <w:szCs w:val="18"/>
        </w:rPr>
        <w:t>Spoločnosť má zriadený  účt vo Fio banke, a.s., pobočka zahraničnej banky, Nám.</w:t>
      </w:r>
    </w:p>
    <w:p>
      <w:pPr>
        <w:pStyle w:val="style49"/>
        <w:rPr>
          <w:b w:val="false"/>
          <w:bCs w:val="false"/>
          <w:sz w:val="18"/>
          <w:szCs w:val="18"/>
        </w:rPr>
      </w:pPr>
      <w:r>
        <w:rPr>
          <w:b w:val="false"/>
          <w:bCs w:val="false"/>
          <w:sz w:val="18"/>
          <w:szCs w:val="18"/>
        </w:rPr>
        <w:t>SNP 21, Bratislava.</w:t>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4.  Informácie o rozdelení účtovného zisku alebo vysporiadanie účtovnej straty.</w:t>
      </w:r>
    </w:p>
    <w:p>
      <w:pPr>
        <w:pStyle w:val="style4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31"/>
        <w:gridCol w:w="3049"/>
      </w:tblGrid>
      <w:tr>
        <w:trPr>
          <w:trHeight w:hRule="atLeast" w:val="315"/>
          <w:cantSplit w:val="false"/>
        </w:trPr>
        <w:tc>
          <w:tcPr>
            <w:tcW w:type="dxa" w:w="4131"/>
            <w:tcBorders>
              <w:top w:val="nil"/>
              <w:left w:val="nil"/>
              <w:bottom w:val="nil"/>
              <w:right w:val="nil"/>
            </w:tcBorders>
            <w:shd w:fill="FFFFFF" w:val="clear"/>
            <w:vAlign w:val="center"/>
          </w:tcPr>
          <w:p>
            <w:pPr>
              <w:pStyle w:val="style64"/>
              <w:rPr/>
            </w:pPr>
            <w:r>
              <w:rPr/>
              <w:t>tabuľka č. 1</w:t>
            </w:r>
          </w:p>
        </w:tc>
        <w:tc>
          <w:tcPr>
            <w:tcW w:type="dxa" w:w="3049"/>
            <w:tcBorders>
              <w:top w:val="nil"/>
              <w:left w:val="nil"/>
              <w:bottom w:val="nil"/>
              <w:right w:val="nil"/>
            </w:tcBorders>
            <w:shd w:fill="FFFFFF" w:val="clear"/>
            <w:vAlign w:val="center"/>
          </w:tcPr>
          <w:p>
            <w:pPr>
              <w:pStyle w:val="style64"/>
              <w:rPr>
                <w:sz w:val="4"/>
                <w:szCs w:val="4"/>
              </w:rPr>
            </w:pPr>
            <w:r>
              <w:rPr>
                <w:sz w:val="4"/>
                <w:szCs w:val="4"/>
              </w:rPr>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b/>
                <w:bCs/>
              </w:rPr>
            </w:pPr>
            <w:r>
              <w:rPr/>
              <w:t>N</w:t>
            </w:r>
            <w:r>
              <w:rPr>
                <w:b/>
                <w:bCs/>
              </w:rPr>
              <w:t>ázov položky</w:t>
            </w:r>
          </w:p>
        </w:tc>
        <w:tc>
          <w:tcPr>
            <w:tcW w:type="dxa" w:w="3049"/>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15"/>
          <w:cantSplit w:val="false"/>
        </w:trPr>
        <w:tc>
          <w:tcPr>
            <w:tcW w:type="dxa" w:w="4131"/>
            <w:tcBorders>
              <w:top w:val="nil"/>
              <w:left w:val="nil"/>
              <w:bottom w:val="nil"/>
              <w:right w:val="nil"/>
            </w:tcBorders>
            <w:shd w:fill="FFFFFF" w:val="clear"/>
            <w:vAlign w:val="center"/>
          </w:tcPr>
          <w:p>
            <w:pPr>
              <w:pStyle w:val="style64"/>
              <w:rPr/>
            </w:pPr>
            <w:r>
              <w:rPr/>
              <w:t> </w:t>
            </w:r>
          </w:p>
        </w:tc>
        <w:tc>
          <w:tcPr>
            <w:tcW w:type="dxa" w:w="3049"/>
            <w:tcBorders>
              <w:top w:val="nil"/>
              <w:left w:val="nil"/>
              <w:bottom w:val="nil"/>
              <w:right w:val="nil"/>
            </w:tcBorders>
            <w:shd w:fill="FFFFFF" w:val="clear"/>
            <w:vAlign w:val="center"/>
          </w:tcPr>
          <w:p>
            <w:pPr>
              <w:pStyle w:val="style64"/>
              <w:jc w:val="center"/>
              <w:rPr>
                <w:b/>
                <w:bCs/>
              </w:rPr>
            </w:pPr>
            <w:r>
              <w:rPr>
                <w:b/>
                <w:bCs/>
              </w:rPr>
              <w:t>účtovné obdobie</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b/>
                <w:bCs/>
              </w:rPr>
            </w:pPr>
            <w:r>
              <w:rPr>
                <w:b/>
                <w:bCs/>
              </w:rPr>
              <w:t>Účtovný zisk</w:t>
            </w:r>
          </w:p>
        </w:tc>
        <w:tc>
          <w:tcPr>
            <w:tcW w:type="dxa" w:w="3049"/>
            <w:tcBorders>
              <w:top w:val="nil"/>
              <w:left w:val="nil"/>
              <w:bottom w:val="nil"/>
              <w:right w:val="nil"/>
            </w:tcBorders>
            <w:shd w:fill="FFFFFF" w:val="clear"/>
            <w:vAlign w:val="center"/>
          </w:tcPr>
          <w:p>
            <w:pPr>
              <w:pStyle w:val="style64"/>
              <w:rPr/>
            </w:pPr>
            <w:r>
              <w:rPr/>
              <w:t xml:space="preserve">                      </w:t>
            </w:r>
            <w:r>
              <w:rPr/>
              <w:t>0</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 </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Rozdelenie účtovného zisku</w:t>
            </w:r>
          </w:p>
        </w:tc>
        <w:tc>
          <w:tcPr>
            <w:tcW w:type="dxa" w:w="3049"/>
            <w:tcBorders>
              <w:top w:val="nil"/>
              <w:left w:val="nil"/>
              <w:bottom w:val="nil"/>
              <w:right w:val="nil"/>
            </w:tcBorders>
            <w:shd w:fill="FFFFFF" w:val="clear"/>
            <w:vAlign w:val="center"/>
          </w:tcPr>
          <w:p>
            <w:pPr>
              <w:pStyle w:val="style64"/>
              <w:jc w:val="center"/>
              <w:rPr>
                <w:b/>
                <w:bCs/>
              </w:rPr>
            </w:pPr>
            <w:r>
              <w:rPr>
                <w:b/>
                <w:bCs/>
              </w:rPr>
              <w:t>Bežné účtovné obdobie</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do zákonného rezervného fondu</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do štatutárnych a ostatných fondov</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do sociálneho fondu</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na zvýšenie základného imania</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Úhrada straty minulých období</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Prevod do nerozdeleného zisku minulých rokov</w:t>
            </w:r>
          </w:p>
        </w:tc>
        <w:tc>
          <w:tcPr>
            <w:tcW w:type="dxa" w:w="3049"/>
            <w:tcBorders>
              <w:top w:val="nil"/>
              <w:left w:val="nil"/>
              <w:bottom w:val="nil"/>
              <w:right w:val="nil"/>
            </w:tcBorders>
            <w:shd w:fill="FFFFFF" w:val="clear"/>
            <w:vAlign w:val="center"/>
          </w:tcPr>
          <w:p>
            <w:pPr>
              <w:pStyle w:val="style64"/>
              <w:rPr/>
            </w:pPr>
            <w:r>
              <w:rPr/>
              <w:t xml:space="preserve">                     </w:t>
            </w:r>
            <w:r>
              <w:rPr/>
              <w:t>0</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Rozdelenie podielu na zisku spoločníkom</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r>
          </w:p>
        </w:tc>
        <w:tc>
          <w:tcPr>
            <w:tcW w:type="dxa" w:w="3049"/>
            <w:tcBorders>
              <w:top w:val="nil"/>
              <w:left w:val="nil"/>
              <w:bottom w:val="nil"/>
              <w:right w:val="nil"/>
            </w:tcBorders>
            <w:shd w:fill="FFFFFF" w:val="clear"/>
            <w:vAlign w:val="center"/>
          </w:tcPr>
          <w:p>
            <w:pPr>
              <w:pStyle w:val="style64"/>
              <w:rPr/>
            </w:pPr>
            <w:r>
              <w:rPr/>
              <w:t xml:space="preserve">                      </w:t>
            </w:r>
          </w:p>
        </w:tc>
      </w:tr>
      <w:tr>
        <w:trPr>
          <w:trHeight w:hRule="atLeast" w:val="315"/>
          <w:cantSplit w:val="false"/>
        </w:trPr>
        <w:tc>
          <w:tcPr>
            <w:tcW w:type="dxa" w:w="4131"/>
            <w:tcBorders>
              <w:top w:val="nil"/>
              <w:left w:val="nil"/>
              <w:bottom w:val="nil"/>
              <w:right w:val="nil"/>
            </w:tcBorders>
            <w:shd w:fill="FFFFFF" w:val="clear"/>
            <w:vAlign w:val="center"/>
          </w:tcPr>
          <w:p>
            <w:pPr>
              <w:pStyle w:val="style64"/>
              <w:rPr/>
            </w:pPr>
            <w:r>
              <w:rPr/>
              <w:t>iné</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15"/>
          <w:cantSplit w:val="false"/>
        </w:trPr>
        <w:tc>
          <w:tcPr>
            <w:tcW w:type="dxa" w:w="4131"/>
            <w:tcBorders>
              <w:top w:val="nil"/>
              <w:left w:val="nil"/>
              <w:bottom w:val="nil"/>
              <w:right w:val="nil"/>
            </w:tcBorders>
            <w:shd w:fill="FFFFFF" w:val="clear"/>
            <w:vAlign w:val="center"/>
          </w:tcPr>
          <w:p>
            <w:pPr>
              <w:pStyle w:val="style64"/>
              <w:rPr>
                <w:b/>
                <w:bCs/>
              </w:rPr>
            </w:pPr>
            <w:r>
              <w:rPr>
                <w:b/>
                <w:bCs/>
              </w:rPr>
              <w:t>Spolu:</w:t>
            </w:r>
          </w:p>
        </w:tc>
        <w:tc>
          <w:tcPr>
            <w:tcW w:type="dxa" w:w="3049"/>
            <w:tcBorders>
              <w:top w:val="nil"/>
              <w:left w:val="nil"/>
              <w:bottom w:val="nil"/>
              <w:right w:val="nil"/>
            </w:tcBorders>
            <w:shd w:fill="FFFFFF" w:val="clear"/>
            <w:vAlign w:val="center"/>
          </w:tcPr>
          <w:p>
            <w:pPr>
              <w:pStyle w:val="style64"/>
              <w:rPr>
                <w:b/>
                <w:bCs/>
              </w:rPr>
            </w:pPr>
            <w:r>
              <w:rPr/>
              <w:t xml:space="preserve">              </w:t>
            </w:r>
            <w:r>
              <w:rPr>
                <w:b/>
                <w:bCs/>
              </w:rPr>
              <w:t xml:space="preserve">        </w:t>
            </w:r>
            <w:r>
              <w:rPr>
                <w:b/>
                <w:bCs/>
              </w:rPr>
              <w:t>0</w:t>
            </w:r>
          </w:p>
        </w:tc>
      </w:tr>
    </w:tbl>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t>Spoločnosť v účtovnom období nevykázala zisk, účtovala iba o odloženej dani.</w:t>
      </w:r>
    </w:p>
    <w:p>
      <w:pPr>
        <w:pStyle w:val="style49"/>
        <w:rPr>
          <w:b w:val="false"/>
          <w:bCs w:val="false"/>
          <w:sz w:val="18"/>
          <w:szCs w:val="18"/>
        </w:rPr>
      </w:pPr>
      <w:r>
        <w:rPr>
          <w:b w:val="false"/>
          <w:bCs w:val="false"/>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65"/>
        <w:gridCol w:w="3015"/>
      </w:tblGrid>
      <w:tr>
        <w:trPr>
          <w:trHeight w:hRule="atLeast" w:val="315"/>
          <w:cantSplit w:val="false"/>
        </w:trPr>
        <w:tc>
          <w:tcPr>
            <w:tcW w:type="dxa" w:w="4165"/>
            <w:tcBorders>
              <w:top w:val="nil"/>
              <w:left w:val="nil"/>
              <w:bottom w:val="nil"/>
              <w:right w:val="nil"/>
            </w:tcBorders>
            <w:shd w:fill="FFFFFF" w:val="clear"/>
            <w:vAlign w:val="center"/>
          </w:tcPr>
          <w:p>
            <w:pPr>
              <w:pStyle w:val="style64"/>
              <w:rPr/>
            </w:pPr>
            <w:r>
              <w:rPr/>
              <w:t>tabuľka č. 2</w:t>
            </w:r>
          </w:p>
        </w:tc>
        <w:tc>
          <w:tcPr>
            <w:tcW w:type="dxa" w:w="3015"/>
            <w:tcBorders>
              <w:top w:val="nil"/>
              <w:left w:val="nil"/>
              <w:bottom w:val="nil"/>
              <w:right w:val="nil"/>
            </w:tcBorders>
            <w:shd w:fill="FFFFFF" w:val="clear"/>
            <w:vAlign w:val="center"/>
          </w:tcPr>
          <w:p>
            <w:pPr>
              <w:pStyle w:val="style64"/>
              <w:rPr>
                <w:sz w:val="4"/>
                <w:szCs w:val="4"/>
              </w:rPr>
            </w:pPr>
            <w:r>
              <w:rPr>
                <w:sz w:val="4"/>
                <w:szCs w:val="4"/>
              </w:rPr>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b/>
                <w:bCs/>
              </w:rPr>
            </w:pPr>
            <w:r>
              <w:rPr>
                <w:b/>
                <w:bCs/>
              </w:rPr>
              <w:t>Názov položky</w:t>
            </w:r>
          </w:p>
        </w:tc>
        <w:tc>
          <w:tcPr>
            <w:tcW w:type="dxa" w:w="3015"/>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15"/>
          <w:cantSplit w:val="false"/>
        </w:trPr>
        <w:tc>
          <w:tcPr>
            <w:tcW w:type="dxa" w:w="4165"/>
            <w:tcBorders>
              <w:top w:val="nil"/>
              <w:left w:val="nil"/>
              <w:bottom w:val="nil"/>
              <w:right w:val="nil"/>
            </w:tcBorders>
            <w:shd w:fill="FFFFFF" w:val="clear"/>
            <w:vAlign w:val="center"/>
          </w:tcPr>
          <w:p>
            <w:pPr>
              <w:pStyle w:val="style64"/>
              <w:rPr/>
            </w:pPr>
            <w:r>
              <w:rPr/>
              <w:t> </w:t>
            </w:r>
          </w:p>
        </w:tc>
        <w:tc>
          <w:tcPr>
            <w:tcW w:type="dxa" w:w="3015"/>
            <w:tcBorders>
              <w:top w:val="nil"/>
              <w:left w:val="nil"/>
              <w:bottom w:val="nil"/>
              <w:right w:val="nil"/>
            </w:tcBorders>
            <w:shd w:fill="FFFFFF" w:val="clear"/>
            <w:vAlign w:val="center"/>
          </w:tcPr>
          <w:p>
            <w:pPr>
              <w:pStyle w:val="style64"/>
              <w:jc w:val="center"/>
              <w:rPr>
                <w:b/>
                <w:bCs/>
              </w:rPr>
            </w:pPr>
            <w:r>
              <w:rPr>
                <w:b/>
                <w:bCs/>
              </w:rPr>
              <w:t>účtovné obdobie</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b/>
                <w:bCs/>
              </w:rPr>
            </w:pPr>
            <w:r>
              <w:rPr>
                <w:b/>
                <w:bCs/>
              </w:rPr>
              <w:t>Účtovná strata</w:t>
            </w:r>
          </w:p>
        </w:tc>
        <w:tc>
          <w:tcPr>
            <w:tcW w:type="dxa" w:w="3015"/>
            <w:tcBorders>
              <w:top w:val="nil"/>
              <w:left w:val="nil"/>
              <w:bottom w:val="nil"/>
              <w:right w:val="nil"/>
            </w:tcBorders>
            <w:shd w:fill="FFFFFF" w:val="clear"/>
            <w:vAlign w:val="center"/>
          </w:tcPr>
          <w:p>
            <w:pPr>
              <w:pStyle w:val="style64"/>
              <w:jc w:val="center"/>
              <w:rPr/>
            </w:pPr>
            <w:r>
              <w:rPr/>
              <w:t> </w:t>
            </w:r>
            <w:r>
              <w:rPr/>
              <w:t>519</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 </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vysporiadanie účtovnej straty</w:t>
            </w:r>
          </w:p>
        </w:tc>
        <w:tc>
          <w:tcPr>
            <w:tcW w:type="dxa" w:w="3015"/>
            <w:tcBorders>
              <w:top w:val="nil"/>
              <w:left w:val="nil"/>
              <w:bottom w:val="nil"/>
              <w:right w:val="nil"/>
            </w:tcBorders>
            <w:shd w:fill="FFFFFF" w:val="clear"/>
            <w:vAlign w:val="center"/>
          </w:tcPr>
          <w:p>
            <w:pPr>
              <w:pStyle w:val="style64"/>
              <w:jc w:val="center"/>
              <w:rPr>
                <w:b/>
                <w:bCs/>
              </w:rPr>
            </w:pPr>
            <w:r>
              <w:rPr>
                <w:b/>
                <w:bCs/>
              </w:rPr>
              <w:t>Bežné účtovné obdobie</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do zákonného rezervného fondu</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do štatutárnych a ostatných fondov</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do sociálneho fondu</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na zvýšenie základného imania</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Úhrada straty minulých období</w:t>
            </w:r>
          </w:p>
        </w:tc>
        <w:tc>
          <w:tcPr>
            <w:tcW w:type="dxa" w:w="3015"/>
            <w:tcBorders>
              <w:top w:val="nil"/>
              <w:left w:val="nil"/>
              <w:bottom w:val="nil"/>
              <w:right w:val="nil"/>
            </w:tcBorders>
            <w:shd w:fill="FFFFFF" w:val="clear"/>
            <w:vAlign w:val="center"/>
          </w:tcPr>
          <w:p>
            <w:pPr>
              <w:pStyle w:val="style64"/>
              <w:jc w:val="center"/>
              <w:rPr/>
            </w:pPr>
            <w:r>
              <w:rPr/>
              <w:t> </w:t>
            </w:r>
            <w:r>
              <w:rPr/>
              <w:t>519</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Prevod do nerozdeleného zisku minulých rokov</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Rozdelenie podielu na zisku spoločníkom</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15"/>
          <w:cantSplit w:val="false"/>
        </w:trPr>
        <w:tc>
          <w:tcPr>
            <w:tcW w:type="dxa" w:w="4165"/>
            <w:tcBorders>
              <w:top w:val="nil"/>
              <w:left w:val="nil"/>
              <w:bottom w:val="nil"/>
              <w:right w:val="nil"/>
            </w:tcBorders>
            <w:shd w:fill="FFFFFF" w:val="clear"/>
            <w:vAlign w:val="center"/>
          </w:tcPr>
          <w:p>
            <w:pPr>
              <w:pStyle w:val="style64"/>
              <w:rPr/>
            </w:pPr>
            <w:r>
              <w:rPr/>
              <w:t>Daňová licencia</w:t>
            </w:r>
          </w:p>
        </w:tc>
        <w:tc>
          <w:tcPr>
            <w:tcW w:type="dxa" w:w="3015"/>
            <w:tcBorders>
              <w:top w:val="nil"/>
              <w:left w:val="nil"/>
              <w:bottom w:val="nil"/>
              <w:right w:val="nil"/>
            </w:tcBorders>
            <w:shd w:fill="FFFFFF" w:val="clear"/>
            <w:vAlign w:val="center"/>
          </w:tcPr>
          <w:p>
            <w:pPr>
              <w:pStyle w:val="style64"/>
              <w:jc w:val="center"/>
              <w:rPr/>
            </w:pPr>
            <w:r>
              <w:rPr/>
              <w:t>200</w:t>
            </w:r>
          </w:p>
        </w:tc>
      </w:tr>
      <w:tr>
        <w:trPr>
          <w:trHeight w:hRule="atLeast" w:val="315"/>
          <w:cantSplit w:val="false"/>
        </w:trPr>
        <w:tc>
          <w:tcPr>
            <w:tcW w:type="dxa" w:w="4165"/>
            <w:tcBorders>
              <w:top w:val="nil"/>
              <w:left w:val="nil"/>
              <w:bottom w:val="nil"/>
              <w:right w:val="nil"/>
            </w:tcBorders>
            <w:shd w:fill="FFFFFF" w:val="clear"/>
            <w:vAlign w:val="center"/>
          </w:tcPr>
          <w:p>
            <w:pPr>
              <w:pStyle w:val="style64"/>
              <w:rPr>
                <w:b/>
                <w:bCs/>
              </w:rPr>
            </w:pPr>
            <w:r>
              <w:rPr>
                <w:b/>
                <w:bCs/>
              </w:rPr>
              <w:t>Spolu:</w:t>
            </w:r>
          </w:p>
        </w:tc>
        <w:tc>
          <w:tcPr>
            <w:tcW w:type="dxa" w:w="3015"/>
            <w:tcBorders>
              <w:top w:val="nil"/>
              <w:left w:val="nil"/>
              <w:bottom w:val="nil"/>
              <w:right w:val="nil"/>
            </w:tcBorders>
            <w:shd w:fill="FFFFFF" w:val="clear"/>
            <w:vAlign w:val="center"/>
          </w:tcPr>
          <w:p>
            <w:pPr>
              <w:pStyle w:val="style64"/>
              <w:jc w:val="center"/>
              <w:rPr/>
            </w:pPr>
            <w:r>
              <w:rPr/>
              <w:t>719</w:t>
            </w:r>
          </w:p>
        </w:tc>
      </w:tr>
    </w:tbl>
    <w:p>
      <w:pPr>
        <w:pStyle w:val="style49"/>
        <w:rPr>
          <w:b w:val="false"/>
          <w:bCs w:val="false"/>
          <w:sz w:val="18"/>
          <w:szCs w:val="18"/>
        </w:rPr>
      </w:pPr>
      <w:r>
        <w:rPr>
          <w:b w:val="false"/>
          <w:bCs w:val="false"/>
          <w:sz w:val="18"/>
          <w:szCs w:val="18"/>
        </w:rPr>
      </w:r>
    </w:p>
    <w:p>
      <w:pPr>
        <w:pStyle w:val="style49"/>
        <w:rPr/>
      </w:pPr>
      <w:r>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5.  Informácie o rezervách</w:t>
      </w:r>
    </w:p>
    <w:p>
      <w:pPr>
        <w:pStyle w:val="style49"/>
        <w:rPr>
          <w:b w:val="false"/>
          <w:bCs w:val="false"/>
          <w:sz w:val="18"/>
          <w:szCs w:val="18"/>
        </w:rPr>
      </w:pPr>
      <w:r>
        <w:rPr>
          <w:b w:val="false"/>
          <w:bCs w:val="false"/>
          <w:sz w:val="18"/>
          <w:szCs w:val="18"/>
        </w:rPr>
        <w:t>Spoločnosť v bežnom účtovnom období nemala povinnosť tvoriť rezervy.</w:t>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6.  Informácie o záväzkoch</w:t>
      </w:r>
    </w:p>
    <w:p>
      <w:pPr>
        <w:pStyle w:val="style49"/>
        <w:rPr>
          <w:b w:val="false"/>
          <w:bCs w:val="false"/>
          <w:sz w:val="18"/>
          <w:szCs w:val="18"/>
        </w:rPr>
      </w:pPr>
      <w:r>
        <w:rPr>
          <w:b w:val="false"/>
          <w:bCs w:val="false"/>
          <w:sz w:val="18"/>
          <w:szCs w:val="18"/>
        </w:rPr>
      </w:r>
    </w:p>
    <w:tbl>
      <w:tblPr>
        <w:jc w:val="left"/>
        <w:tblInd w:type="dxa" w:w="7"/>
        <w:tblBorders>
          <w:top w:val="nil"/>
          <w:left w:val="nil"/>
          <w:bottom w:val="nil"/>
          <w:insideH w:val="nil"/>
          <w:right w:val="nil"/>
          <w:insideV w:val="nil"/>
        </w:tblBorders>
        <w:tblCellMar>
          <w:top w:type="dxa" w:w="0"/>
          <w:left w:type="dxa" w:w="0"/>
          <w:bottom w:type="dxa" w:w="0"/>
          <w:right w:type="dxa" w:w="0"/>
        </w:tblCellMar>
      </w:tblPr>
      <w:tblGrid>
        <w:gridCol w:w="2899"/>
        <w:gridCol w:w="2484"/>
        <w:gridCol w:w="2492"/>
      </w:tblGrid>
      <w:tr>
        <w:trPr>
          <w:trHeight w:hRule="atLeast" w:val="300"/>
          <w:cantSplit w:val="false"/>
        </w:trPr>
        <w:tc>
          <w:tcPr>
            <w:tcW w:type="dxa" w:w="2899"/>
            <w:tcBorders>
              <w:top w:val="nil"/>
              <w:left w:val="nil"/>
              <w:bottom w:val="nil"/>
              <w:right w:val="nil"/>
            </w:tcBorders>
            <w:shd w:fill="FFFFFF" w:val="clear"/>
            <w:vAlign w:val="center"/>
          </w:tcPr>
          <w:p>
            <w:pPr>
              <w:pStyle w:val="style64"/>
              <w:rPr>
                <w:b/>
                <w:bCs/>
              </w:rPr>
            </w:pPr>
            <w:r>
              <w:rPr>
                <w:b/>
                <w:bCs/>
              </w:rPr>
              <w:t>Názov položky</w:t>
            </w:r>
          </w:p>
        </w:tc>
        <w:tc>
          <w:tcPr>
            <w:tcW w:type="dxa" w:w="2484"/>
            <w:tcBorders>
              <w:top w:val="nil"/>
              <w:left w:val="nil"/>
              <w:bottom w:val="nil"/>
              <w:right w:val="nil"/>
            </w:tcBorders>
            <w:shd w:fill="FFFFFF" w:val="clear"/>
            <w:vAlign w:val="center"/>
          </w:tcPr>
          <w:p>
            <w:pPr>
              <w:pStyle w:val="style64"/>
              <w:jc w:val="center"/>
              <w:rPr>
                <w:b/>
                <w:bCs/>
              </w:rPr>
            </w:pPr>
            <w:r>
              <w:rPr>
                <w:b/>
                <w:bCs/>
              </w:rPr>
              <w:t>Bežné účtovné obdobie</w:t>
            </w:r>
          </w:p>
        </w:tc>
        <w:tc>
          <w:tcPr>
            <w:tcW w:type="dxa" w:w="2492"/>
            <w:tcBorders>
              <w:top w:val="nil"/>
              <w:left w:val="nil"/>
              <w:bottom w:val="nil"/>
              <w:right w:val="nil"/>
            </w:tcBorders>
            <w:shd w:fill="FFFFFF" w:val="clear"/>
            <w:vAlign w:val="center"/>
          </w:tcPr>
          <w:p>
            <w:pPr>
              <w:pStyle w:val="style64"/>
              <w:jc w:val="center"/>
              <w:rPr>
                <w:b/>
                <w:bCs/>
              </w:rPr>
            </w:pPr>
            <w:r>
              <w:rPr>
                <w:b/>
                <w:bCs/>
              </w:rPr>
              <w:t>Bezprostredne predchádzajúce</w:t>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pPr>
            <w:r>
              <w:rPr/>
              <w:t> </w:t>
            </w:r>
          </w:p>
        </w:tc>
        <w:tc>
          <w:tcPr>
            <w:tcW w:type="dxa" w:w="2484"/>
            <w:tcBorders>
              <w:top w:val="nil"/>
              <w:left w:val="nil"/>
              <w:bottom w:val="nil"/>
              <w:right w:val="nil"/>
            </w:tcBorders>
            <w:shd w:fill="FFFFFF" w:val="clear"/>
            <w:vAlign w:val="center"/>
          </w:tcPr>
          <w:p>
            <w:pPr>
              <w:pStyle w:val="style64"/>
              <w:jc w:val="center"/>
              <w:rPr>
                <w:b/>
                <w:bCs/>
              </w:rPr>
            </w:pPr>
            <w:r>
              <w:rPr>
                <w:b/>
                <w:bCs/>
              </w:rPr>
              <w:t>účtovné obdobie</w:t>
            </w:r>
          </w:p>
        </w:tc>
        <w:tc>
          <w:tcPr>
            <w:tcW w:type="dxa" w:w="2492"/>
            <w:tcBorders>
              <w:top w:val="nil"/>
              <w:left w:val="nil"/>
              <w:bottom w:val="nil"/>
              <w:right w:val="nil"/>
            </w:tcBorders>
            <w:shd w:fill="FFFFFF" w:val="clear"/>
            <w:vAlign w:val="center"/>
          </w:tcPr>
          <w:p>
            <w:pPr>
              <w:pStyle w:val="style64"/>
              <w:jc w:val="center"/>
              <w:rPr>
                <w:b/>
                <w:bCs/>
              </w:rPr>
            </w:pPr>
            <w:r>
              <w:rPr>
                <w:b/>
                <w:bCs/>
              </w:rPr>
              <w:t>účtovné obdobie</w:t>
            </w:r>
          </w:p>
        </w:tc>
      </w:tr>
      <w:tr>
        <w:trPr>
          <w:trHeight w:hRule="atLeast" w:val="300"/>
          <w:cantSplit w:val="false"/>
        </w:trPr>
        <w:tc>
          <w:tcPr>
            <w:tcW w:type="dxa" w:w="2899"/>
            <w:tcBorders>
              <w:top w:val="nil"/>
              <w:left w:val="nil"/>
              <w:bottom w:val="nil"/>
              <w:right w:val="nil"/>
            </w:tcBorders>
            <w:shd w:fill="FFFFFF" w:val="clear"/>
            <w:vAlign w:val="center"/>
          </w:tcPr>
          <w:p>
            <w:pPr>
              <w:pStyle w:val="style64"/>
              <w:rPr/>
            </w:pPr>
            <w:r>
              <w:rPr/>
              <w:t>Záväzky z obchodného styku</w:t>
            </w:r>
          </w:p>
        </w:tc>
        <w:tc>
          <w:tcPr>
            <w:tcW w:type="dxa" w:w="2484"/>
            <w:tcBorders>
              <w:top w:val="nil"/>
              <w:left w:val="nil"/>
              <w:bottom w:val="nil"/>
              <w:right w:val="nil"/>
            </w:tcBorders>
            <w:shd w:fill="FFFFFF" w:val="clear"/>
            <w:vAlign w:val="center"/>
          </w:tcPr>
          <w:p>
            <w:pPr>
              <w:pStyle w:val="style64"/>
              <w:rPr/>
            </w:pPr>
            <w:r>
              <w:rPr/>
              <w:t xml:space="preserve">                    </w:t>
            </w:r>
            <w:r>
              <w:rPr/>
              <w:t>0</w:t>
            </w:r>
          </w:p>
        </w:tc>
        <w:tc>
          <w:tcPr>
            <w:tcW w:type="dxa" w:w="2492"/>
            <w:tcBorders>
              <w:top w:val="nil"/>
              <w:left w:val="nil"/>
              <w:bottom w:val="nil"/>
              <w:right w:val="nil"/>
            </w:tcBorders>
            <w:shd w:fill="FFFFFF" w:val="clear"/>
            <w:vAlign w:val="center"/>
          </w:tcPr>
          <w:p>
            <w:pPr>
              <w:pStyle w:val="style64"/>
              <w:rPr/>
            </w:pPr>
            <w:r>
              <w:rPr/>
              <w:t xml:space="preserve">                  </w:t>
            </w:r>
          </w:p>
        </w:tc>
      </w:tr>
      <w:tr>
        <w:trPr>
          <w:trHeight w:hRule="atLeast" w:val="300"/>
          <w:cantSplit w:val="false"/>
        </w:trPr>
        <w:tc>
          <w:tcPr>
            <w:tcW w:type="dxa" w:w="2899"/>
            <w:tcBorders>
              <w:top w:val="nil"/>
              <w:left w:val="nil"/>
              <w:bottom w:val="nil"/>
              <w:right w:val="nil"/>
            </w:tcBorders>
            <w:shd w:fill="FFFFFF" w:val="clear"/>
            <w:vAlign w:val="center"/>
          </w:tcPr>
          <w:p>
            <w:pPr>
              <w:pStyle w:val="style64"/>
              <w:rPr/>
            </w:pPr>
            <w:r>
              <w:rPr/>
              <w:t>Záväzky voči daňovému úradu</w:t>
            </w:r>
          </w:p>
        </w:tc>
        <w:tc>
          <w:tcPr>
            <w:tcW w:type="dxa" w:w="2484"/>
            <w:tcBorders>
              <w:top w:val="nil"/>
              <w:left w:val="nil"/>
              <w:bottom w:val="nil"/>
              <w:right w:val="nil"/>
            </w:tcBorders>
            <w:shd w:fill="FFFFFF" w:val="clear"/>
            <w:vAlign w:val="center"/>
          </w:tcPr>
          <w:p>
            <w:pPr>
              <w:pStyle w:val="style64"/>
              <w:jc w:val="center"/>
              <w:rPr>
                <w:sz w:val="16"/>
                <w:szCs w:val="16"/>
              </w:rPr>
            </w:pPr>
            <w:r>
              <w:rPr>
                <w:sz w:val="16"/>
                <w:szCs w:val="16"/>
              </w:rPr>
              <w:t>460</w:t>
            </w:r>
          </w:p>
        </w:tc>
        <w:tc>
          <w:tcPr>
            <w:tcW w:type="dxa" w:w="2492"/>
            <w:tcBorders>
              <w:top w:val="nil"/>
              <w:left w:val="nil"/>
              <w:bottom w:val="nil"/>
              <w:right w:val="nil"/>
            </w:tcBorders>
            <w:shd w:fill="FFFFFF" w:val="clear"/>
            <w:vAlign w:val="center"/>
          </w:tcPr>
          <w:p>
            <w:pPr>
              <w:pStyle w:val="style64"/>
              <w:jc w:val="center"/>
              <w:rPr/>
            </w:pPr>
            <w:r>
              <w:rPr/>
              <w:t>200</w:t>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pPr>
            <w:r>
              <w:rPr/>
              <w:t>Iné záväzky</w:t>
            </w:r>
          </w:p>
        </w:tc>
        <w:tc>
          <w:tcPr>
            <w:tcW w:type="dxa" w:w="2484"/>
            <w:tcBorders>
              <w:top w:val="nil"/>
              <w:left w:val="nil"/>
              <w:bottom w:val="nil"/>
              <w:right w:val="nil"/>
            </w:tcBorders>
            <w:shd w:fill="FFFFFF" w:val="clear"/>
            <w:vAlign w:val="center"/>
          </w:tcPr>
          <w:p>
            <w:pPr>
              <w:pStyle w:val="style64"/>
              <w:rPr/>
            </w:pPr>
            <w:r>
              <w:rPr/>
              <w:t> </w:t>
            </w:r>
          </w:p>
        </w:tc>
        <w:tc>
          <w:tcPr>
            <w:tcW w:type="dxa" w:w="2492"/>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b/>
                <w:bCs/>
              </w:rPr>
            </w:pPr>
            <w:r>
              <w:rPr>
                <w:b/>
                <w:bCs/>
              </w:rPr>
              <w:t>Krátkodobé záväzky spolu:</w:t>
            </w:r>
          </w:p>
        </w:tc>
        <w:tc>
          <w:tcPr>
            <w:tcW w:type="dxa" w:w="2484"/>
            <w:tcBorders>
              <w:top w:val="nil"/>
              <w:left w:val="nil"/>
              <w:bottom w:val="nil"/>
              <w:right w:val="nil"/>
            </w:tcBorders>
            <w:shd w:fill="FFFFFF" w:val="clear"/>
            <w:vAlign w:val="center"/>
          </w:tcPr>
          <w:p>
            <w:pPr>
              <w:pStyle w:val="style64"/>
              <w:rPr>
                <w:b/>
                <w:bCs/>
                <w:sz w:val="16"/>
                <w:szCs w:val="16"/>
              </w:rPr>
            </w:pPr>
            <w:r>
              <w:rPr>
                <w:b/>
                <w:bCs/>
                <w:sz w:val="16"/>
                <w:szCs w:val="16"/>
              </w:rPr>
              <w:t xml:space="preserve">                    </w:t>
            </w:r>
            <w:r>
              <w:rPr>
                <w:b/>
                <w:bCs/>
                <w:sz w:val="16"/>
                <w:szCs w:val="16"/>
              </w:rPr>
              <w:t>200</w:t>
            </w:r>
          </w:p>
        </w:tc>
        <w:tc>
          <w:tcPr>
            <w:tcW w:type="dxa" w:w="2492"/>
            <w:tcBorders>
              <w:top w:val="nil"/>
              <w:left w:val="nil"/>
              <w:bottom w:val="nil"/>
              <w:right w:val="nil"/>
            </w:tcBorders>
            <w:shd w:fill="FFFFFF" w:val="clear"/>
            <w:vAlign w:val="center"/>
          </w:tcPr>
          <w:p>
            <w:pPr>
              <w:pStyle w:val="style64"/>
              <w:jc w:val="center"/>
              <w:rPr>
                <w:b/>
                <w:bCs/>
                <w:sz w:val="16"/>
                <w:szCs w:val="16"/>
              </w:rPr>
            </w:pPr>
            <w:r>
              <w:rPr>
                <w:b/>
                <w:bCs/>
                <w:sz w:val="16"/>
                <w:szCs w:val="16"/>
              </w:rPr>
              <w:t xml:space="preserve"> </w:t>
            </w:r>
            <w:r>
              <w:rPr>
                <w:b/>
                <w:bCs/>
                <w:sz w:val="16"/>
                <w:szCs w:val="16"/>
              </w:rPr>
              <w:t>0</w:t>
            </w:r>
          </w:p>
        </w:tc>
      </w:tr>
      <w:tr>
        <w:trPr>
          <w:trHeight w:hRule="atLeast" w:val="300"/>
          <w:cantSplit w:val="false"/>
        </w:trPr>
        <w:tc>
          <w:tcPr>
            <w:tcW w:type="dxa" w:w="2899"/>
            <w:tcBorders>
              <w:top w:val="nil"/>
              <w:left w:val="nil"/>
              <w:bottom w:val="nil"/>
              <w:right w:val="nil"/>
            </w:tcBorders>
            <w:shd w:fill="FFFFFF" w:val="clear"/>
            <w:vAlign w:val="center"/>
          </w:tcPr>
          <w:p>
            <w:pPr>
              <w:pStyle w:val="style64"/>
              <w:rPr/>
            </w:pPr>
            <w:r>
              <w:rPr/>
              <w:t>Záväzky s dobou splatnosti 1-5</w:t>
            </w:r>
          </w:p>
        </w:tc>
        <w:tc>
          <w:tcPr>
            <w:tcW w:type="dxa" w:w="2484"/>
            <w:tcBorders>
              <w:top w:val="nil"/>
              <w:left w:val="nil"/>
              <w:bottom w:val="nil"/>
              <w:right w:val="nil"/>
            </w:tcBorders>
            <w:shd w:fill="FFFFFF" w:val="clear"/>
            <w:vAlign w:val="center"/>
          </w:tcPr>
          <w:p>
            <w:pPr>
              <w:pStyle w:val="style64"/>
              <w:rPr/>
            </w:pPr>
            <w:r>
              <w:rPr/>
            </w:r>
          </w:p>
        </w:tc>
        <w:tc>
          <w:tcPr>
            <w:tcW w:type="dxa" w:w="2492"/>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pPr>
            <w:r>
              <w:rPr/>
              <w:t>Záväzky s dobou splatnosti nad 5</w:t>
            </w:r>
          </w:p>
        </w:tc>
        <w:tc>
          <w:tcPr>
            <w:tcW w:type="dxa" w:w="2484"/>
            <w:tcBorders>
              <w:top w:val="nil"/>
              <w:left w:val="nil"/>
              <w:bottom w:val="nil"/>
              <w:right w:val="nil"/>
            </w:tcBorders>
            <w:shd w:fill="FFFFFF" w:val="clear"/>
            <w:vAlign w:val="center"/>
          </w:tcPr>
          <w:p>
            <w:pPr>
              <w:pStyle w:val="style64"/>
              <w:rPr/>
            </w:pPr>
            <w:r>
              <w:rPr/>
            </w:r>
          </w:p>
        </w:tc>
        <w:tc>
          <w:tcPr>
            <w:tcW w:type="dxa" w:w="2492"/>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b/>
                <w:bCs/>
              </w:rPr>
            </w:pPr>
            <w:r>
              <w:rPr>
                <w:b/>
                <w:bCs/>
              </w:rPr>
              <w:t>Záväzky spolu:</w:t>
            </w:r>
          </w:p>
        </w:tc>
        <w:tc>
          <w:tcPr>
            <w:tcW w:type="dxa" w:w="2484"/>
            <w:tcBorders>
              <w:top w:val="nil"/>
              <w:left w:val="nil"/>
              <w:bottom w:val="nil"/>
              <w:right w:val="nil"/>
            </w:tcBorders>
            <w:shd w:fill="FFFFFF" w:val="clear"/>
            <w:vAlign w:val="center"/>
          </w:tcPr>
          <w:p>
            <w:pPr>
              <w:pStyle w:val="style64"/>
              <w:jc w:val="center"/>
              <w:rPr>
                <w:b/>
                <w:bCs/>
                <w:sz w:val="16"/>
                <w:szCs w:val="16"/>
              </w:rPr>
            </w:pPr>
            <w:r>
              <w:rPr>
                <w:b/>
                <w:bCs/>
                <w:sz w:val="16"/>
                <w:szCs w:val="16"/>
              </w:rPr>
              <w:t>660</w:t>
            </w:r>
            <w:r>
              <w:rPr>
                <w:b/>
                <w:bCs/>
                <w:sz w:val="16"/>
                <w:szCs w:val="16"/>
              </w:rPr>
              <w:t xml:space="preserve"> </w:t>
            </w:r>
          </w:p>
        </w:tc>
        <w:tc>
          <w:tcPr>
            <w:tcW w:type="dxa" w:w="2492"/>
            <w:tcBorders>
              <w:top w:val="nil"/>
              <w:left w:val="nil"/>
              <w:bottom w:val="nil"/>
              <w:right w:val="nil"/>
            </w:tcBorders>
            <w:shd w:fill="FFFFFF" w:val="clear"/>
            <w:vAlign w:val="center"/>
          </w:tcPr>
          <w:p>
            <w:pPr>
              <w:pStyle w:val="style64"/>
              <w:jc w:val="center"/>
              <w:rPr>
                <w:b/>
                <w:bCs/>
                <w:sz w:val="16"/>
                <w:szCs w:val="16"/>
              </w:rPr>
            </w:pPr>
            <w:r>
              <w:rPr>
                <w:b/>
                <w:bCs/>
                <w:sz w:val="16"/>
                <w:szCs w:val="16"/>
              </w:rPr>
              <w:t>0</w:t>
            </w:r>
          </w:p>
        </w:tc>
      </w:tr>
    </w:tbl>
    <w:p>
      <w:pPr>
        <w:pStyle w:val="style49"/>
        <w:rPr>
          <w:b w:val="false"/>
          <w:bCs w:val="false"/>
          <w:sz w:val="18"/>
          <w:szCs w:val="18"/>
        </w:rPr>
      </w:pPr>
      <w:r>
        <w:rPr>
          <w:b w:val="false"/>
          <w:bCs w:val="false"/>
          <w:sz w:val="18"/>
          <w:szCs w:val="18"/>
        </w:rPr>
      </w:r>
    </w:p>
    <w:p>
      <w:pPr>
        <w:pStyle w:val="style49"/>
        <w:rPr>
          <w:b w:val="false"/>
          <w:bCs w:val="false"/>
          <w:sz w:val="16"/>
          <w:szCs w:val="16"/>
        </w:rPr>
      </w:pPr>
      <w:r>
        <w:rPr>
          <w:b w:val="false"/>
          <w:bCs w:val="false"/>
          <w:sz w:val="16"/>
          <w:szCs w:val="16"/>
        </w:rPr>
        <w:t>Spoločnosť vykazuje za hodnotiace obdobie iba krátkodobé záväzky v lehote splatnosti</w:t>
      </w:r>
    </w:p>
    <w:p>
      <w:pPr>
        <w:pStyle w:val="style49"/>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905"/>
        <w:gridCol w:w="2487"/>
        <w:gridCol w:w="2497"/>
      </w:tblGrid>
      <w:tr>
        <w:trPr>
          <w:trHeight w:hRule="atLeast" w:val="300"/>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Názov položky</w:t>
            </w:r>
          </w:p>
        </w:tc>
        <w:tc>
          <w:tcPr>
            <w:tcW w:type="dxa" w:w="2487"/>
            <w:tcBorders>
              <w:top w:val="nil"/>
              <w:left w:val="nil"/>
              <w:bottom w:val="nil"/>
              <w:right w:val="nil"/>
            </w:tcBorders>
            <w:shd w:fill="FFFFFF" w:val="clear"/>
            <w:vAlign w:val="center"/>
          </w:tcPr>
          <w:p>
            <w:pPr>
              <w:pStyle w:val="style64"/>
              <w:jc w:val="center"/>
              <w:rPr>
                <w:b/>
                <w:bCs/>
                <w:sz w:val="16"/>
                <w:szCs w:val="16"/>
              </w:rPr>
            </w:pPr>
            <w:r>
              <w:rPr>
                <w:b/>
                <w:bCs/>
                <w:sz w:val="16"/>
                <w:szCs w:val="16"/>
              </w:rPr>
              <w:t>Bežné účtovné obdobie</w:t>
            </w:r>
          </w:p>
        </w:tc>
        <w:tc>
          <w:tcPr>
            <w:tcW w:type="dxa" w:w="2497"/>
            <w:tcBorders>
              <w:top w:val="nil"/>
              <w:left w:val="nil"/>
              <w:bottom w:val="nil"/>
              <w:right w:val="nil"/>
            </w:tcBorders>
            <w:shd w:fill="FFFFFF" w:val="clear"/>
            <w:vAlign w:val="center"/>
          </w:tcPr>
          <w:p>
            <w:pPr>
              <w:pStyle w:val="style64"/>
              <w:jc w:val="center"/>
              <w:rPr>
                <w:b/>
                <w:bCs/>
                <w:sz w:val="16"/>
                <w:szCs w:val="16"/>
              </w:rPr>
            </w:pPr>
            <w:r>
              <w:rPr>
                <w:b/>
                <w:bCs/>
                <w:sz w:val="16"/>
                <w:szCs w:val="16"/>
              </w:rPr>
              <w:t>Bezprostredne predchádzajúce</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jc w:val="center"/>
              <w:rPr>
                <w:b/>
                <w:bCs/>
                <w:sz w:val="16"/>
                <w:szCs w:val="16"/>
              </w:rPr>
            </w:pPr>
            <w:r>
              <w:rPr>
                <w:b/>
                <w:bCs/>
                <w:sz w:val="16"/>
                <w:szCs w:val="16"/>
              </w:rPr>
              <w:t>účtovné obdobie</w:t>
            </w:r>
          </w:p>
        </w:tc>
        <w:tc>
          <w:tcPr>
            <w:tcW w:type="dxa" w:w="2497"/>
            <w:tcBorders>
              <w:top w:val="nil"/>
              <w:left w:val="nil"/>
              <w:bottom w:val="nil"/>
              <w:right w:val="nil"/>
            </w:tcBorders>
            <w:shd w:fill="FFFFFF" w:val="clear"/>
            <w:vAlign w:val="center"/>
          </w:tcPr>
          <w:p>
            <w:pPr>
              <w:pStyle w:val="style64"/>
              <w:jc w:val="center"/>
              <w:rPr>
                <w:b/>
                <w:bCs/>
                <w:sz w:val="16"/>
                <w:szCs w:val="16"/>
              </w:rPr>
            </w:pPr>
            <w:r>
              <w:rPr>
                <w:b/>
                <w:bCs/>
                <w:sz w:val="16"/>
                <w:szCs w:val="16"/>
              </w:rPr>
              <w:t>účtovné obdobie</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Krátkodobé pôžičky</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Úroky z pôžičiek</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Krátkodobé pôžičky spolu:</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Krátkodobé finančné výpomoci</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Úroky z finančných výpomocí</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Krátkodobé výpomoci spolu:</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bl>
    <w:p>
      <w:pPr>
        <w:pStyle w:val="style49"/>
        <w:rPr>
          <w:b w:val="false"/>
          <w:bCs w:val="false"/>
          <w:sz w:val="18"/>
          <w:szCs w:val="18"/>
        </w:rPr>
      </w:pPr>
      <w:r>
        <w:rPr>
          <w:b w:val="false"/>
          <w:bCs w:val="false"/>
          <w:sz w:val="18"/>
          <w:szCs w:val="18"/>
        </w:rPr>
      </w:r>
    </w:p>
    <w:p>
      <w:pPr>
        <w:pStyle w:val="style49"/>
        <w:rPr>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style49"/>
        <w:rPr>
          <w:b w:val="false"/>
          <w:bCs w:val="false"/>
          <w:sz w:val="16"/>
          <w:szCs w:val="16"/>
        </w:rPr>
      </w:pPr>
      <w:r>
        <w:rPr>
          <w:b w:val="false"/>
          <w:bCs w:val="false"/>
          <w:sz w:val="16"/>
          <w:szCs w:val="16"/>
        </w:rPr>
        <w:t>ani finančné výpomoci.</w:t>
      </w:r>
    </w:p>
    <w:p>
      <w:pPr>
        <w:pStyle w:val="style2"/>
        <w:pageBreakBefore/>
        <w:rPr/>
      </w:pPr>
      <w:r>
        <w:rPr/>
      </w:r>
    </w:p>
    <w:p>
      <w:pPr>
        <w:pStyle w:val="style2"/>
        <w:rPr/>
      </w:pPr>
      <w:r>
        <w:rPr/>
      </w:r>
    </w:p>
    <w:p>
      <w:pPr>
        <w:pStyle w:val="style2"/>
        <w:rPr/>
      </w:pPr>
      <w:r>
        <w:rPr/>
      </w:r>
    </w:p>
    <w:p>
      <w:pPr>
        <w:pStyle w:val="style2"/>
        <w:rPr>
          <w:rFonts w:cs="Arial"/>
          <w:b/>
          <w:bCs/>
          <w:caps/>
          <w:sz w:val="18"/>
          <w:szCs w:val="32"/>
          <w:u w:val="none"/>
        </w:rPr>
      </w:pPr>
      <w:r>
        <w:rPr>
          <w:rFonts w:cs="Arial"/>
          <w:b/>
          <w:bCs/>
          <w:caps/>
          <w:sz w:val="18"/>
          <w:szCs w:val="32"/>
          <w:u w:val="none"/>
        </w:rPr>
        <w:t>V.  Informácie o výnosoch</w:t>
      </w:r>
    </w:p>
    <w:p>
      <w:pPr>
        <w:pStyle w:val="style2"/>
        <w:rPr/>
      </w:pPr>
      <w:r>
        <w:rPr/>
      </w:r>
    </w:p>
    <w:p>
      <w:pPr>
        <w:pStyle w:val="style0"/>
        <w:rPr>
          <w:b/>
          <w:bCs/>
          <w:sz w:val="16"/>
          <w:szCs w:val="16"/>
        </w:rPr>
      </w:pPr>
      <w:r>
        <w:rPr>
          <w:sz w:val="16"/>
          <w:szCs w:val="16"/>
        </w:rPr>
        <w:t>Za rok 201</w:t>
      </w:r>
      <w:r>
        <w:rPr>
          <w:sz w:val="16"/>
          <w:szCs w:val="16"/>
        </w:rPr>
        <w:t>8</w:t>
      </w:r>
      <w:r>
        <w:rPr>
          <w:sz w:val="16"/>
          <w:szCs w:val="16"/>
        </w:rPr>
        <w:t xml:space="preserve"> spoločnosť dosiahla celkové výnosy vo výške   </w:t>
      </w:r>
      <w:r>
        <w:rPr>
          <w:b/>
          <w:bCs/>
          <w:sz w:val="16"/>
          <w:szCs w:val="16"/>
        </w:rPr>
        <w:t>10124</w:t>
      </w:r>
      <w:r>
        <w:rPr>
          <w:sz w:val="16"/>
          <w:szCs w:val="16"/>
        </w:rPr>
        <w:t xml:space="preserve"> </w:t>
      </w:r>
      <w:r>
        <w:rPr>
          <w:b/>
          <w:bCs/>
          <w:sz w:val="16"/>
          <w:szCs w:val="16"/>
        </w:rPr>
        <w:t>€</w:t>
      </w:r>
    </w:p>
    <w:p>
      <w:pPr>
        <w:pStyle w:val="style0"/>
        <w:rPr>
          <w:sz w:val="16"/>
          <w:szCs w:val="16"/>
        </w:rPr>
      </w:pPr>
      <w:r>
        <w:rPr>
          <w:sz w:val="16"/>
          <w:szCs w:val="16"/>
        </w:rPr>
      </w:r>
    </w:p>
    <w:p>
      <w:pPr>
        <w:pStyle w:val="style0"/>
        <w:rPr>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3310"/>
        <w:gridCol w:w="2488"/>
        <w:gridCol w:w="2497"/>
      </w:tblGrid>
      <w:tr>
        <w:trPr>
          <w:trHeight w:hRule="atLeast" w:val="300"/>
          <w:cantSplit w:val="false"/>
        </w:trPr>
        <w:tc>
          <w:tcPr>
            <w:tcW w:type="dxa" w:w="3310"/>
            <w:tcBorders>
              <w:top w:val="nil"/>
              <w:left w:val="nil"/>
              <w:bottom w:val="nil"/>
              <w:right w:val="nil"/>
            </w:tcBorders>
            <w:shd w:fill="FFFFFF" w:val="clear"/>
            <w:vAlign w:val="center"/>
          </w:tcPr>
          <w:p>
            <w:pPr>
              <w:pStyle w:val="style64"/>
              <w:rPr>
                <w:b/>
                <w:bCs/>
              </w:rPr>
            </w:pPr>
            <w:r>
              <w:rPr>
                <w:b/>
                <w:bCs/>
              </w:rPr>
              <w:t>Oblasť odbytu</w:t>
            </w:r>
          </w:p>
        </w:tc>
        <w:tc>
          <w:tcPr>
            <w:tcW w:type="dxa" w:w="2488"/>
            <w:tcBorders>
              <w:top w:val="nil"/>
              <w:left w:val="nil"/>
              <w:bottom w:val="nil"/>
              <w:right w:val="nil"/>
            </w:tcBorders>
            <w:shd w:fill="FFFFFF" w:val="clear"/>
            <w:vAlign w:val="center"/>
          </w:tcPr>
          <w:p>
            <w:pPr>
              <w:pStyle w:val="style64"/>
              <w:rPr>
                <w:b/>
                <w:bCs/>
              </w:rPr>
            </w:pPr>
            <w:r>
              <w:rPr>
                <w:b/>
                <w:bCs/>
              </w:rPr>
              <w:t>Bežné účtovné obdobie</w:t>
            </w:r>
          </w:p>
        </w:tc>
        <w:tc>
          <w:tcPr>
            <w:tcW w:type="dxa" w:w="2497"/>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b/>
                <w:bCs/>
              </w:rPr>
            </w:pPr>
            <w:r>
              <w:rPr>
                <w:b/>
                <w:bCs/>
              </w:rPr>
              <w:t> </w:t>
            </w:r>
          </w:p>
        </w:tc>
        <w:tc>
          <w:tcPr>
            <w:tcW w:type="dxa" w:w="2488"/>
            <w:tcBorders>
              <w:top w:val="nil"/>
              <w:left w:val="nil"/>
              <w:bottom w:val="nil"/>
              <w:right w:val="nil"/>
            </w:tcBorders>
            <w:shd w:fill="FFFFFF" w:val="clear"/>
            <w:vAlign w:val="center"/>
          </w:tcPr>
          <w:p>
            <w:pPr>
              <w:pStyle w:val="style64"/>
              <w:rPr>
                <w:b/>
                <w:bCs/>
              </w:rPr>
            </w:pPr>
            <w:r>
              <w:rPr>
                <w:b/>
                <w:bCs/>
              </w:rPr>
              <w:t>účtovné obdobie</w:t>
            </w:r>
          </w:p>
        </w:tc>
        <w:tc>
          <w:tcPr>
            <w:tcW w:type="dxa" w:w="2497"/>
            <w:tcBorders>
              <w:top w:val="nil"/>
              <w:left w:val="nil"/>
              <w:bottom w:val="nil"/>
              <w:right w:val="nil"/>
            </w:tcBorders>
            <w:shd w:fill="FFFFFF" w:val="clear"/>
            <w:vAlign w:val="center"/>
          </w:tcPr>
          <w:p>
            <w:pPr>
              <w:pStyle w:val="style64"/>
              <w:rPr>
                <w:b/>
                <w:bCs/>
              </w:rPr>
            </w:pPr>
            <w:r>
              <w:rPr>
                <w:b/>
                <w:bCs/>
              </w:rPr>
              <w:t>účtovné obdobie</w:t>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pPr>
            <w:r>
              <w:rPr/>
              <w:t>Predaj služieb:</w:t>
            </w:r>
          </w:p>
        </w:tc>
        <w:tc>
          <w:tcPr>
            <w:tcW w:type="dxa" w:w="2488"/>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Predaj služieb – z toho:</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 Obchodné zastúpenie</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 Hostingové služby</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 xml:space="preserve">Tržby z predaja </w:t>
            </w:r>
            <w:r>
              <w:rPr/>
              <w:t>tovaru</w:t>
            </w:r>
          </w:p>
        </w:tc>
        <w:tc>
          <w:tcPr>
            <w:tcW w:type="dxa" w:w="2488"/>
            <w:tcBorders>
              <w:top w:val="nil"/>
              <w:left w:val="nil"/>
              <w:bottom w:val="nil"/>
              <w:right w:val="nil"/>
            </w:tcBorders>
            <w:shd w:fill="FFFFFF" w:val="clear"/>
            <w:vAlign w:val="center"/>
          </w:tcPr>
          <w:p>
            <w:pPr>
              <w:pStyle w:val="style64"/>
              <w:jc w:val="center"/>
              <w:rPr/>
            </w:pPr>
            <w:r>
              <w:rPr/>
              <w:t>10124</w:t>
            </w:r>
          </w:p>
        </w:tc>
        <w:tc>
          <w:tcPr>
            <w:tcW w:type="dxa" w:w="2497"/>
            <w:tcBorders>
              <w:top w:val="nil"/>
              <w:left w:val="nil"/>
              <w:bottom w:val="nil"/>
              <w:right w:val="nil"/>
            </w:tcBorders>
            <w:shd w:fill="FFFFFF" w:val="clear"/>
            <w:vAlign w:val="center"/>
          </w:tcPr>
          <w:p>
            <w:pPr>
              <w:pStyle w:val="style64"/>
              <w:jc w:val="center"/>
              <w:rPr/>
            </w:pPr>
            <w:r>
              <w:rPr/>
              <w:t>0</w:t>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Bankové úrokx</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Úroky z omeškania</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pPr>
            <w:r>
              <w:rPr/>
              <w:t> </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b/>
                <w:bCs/>
                <w:sz w:val="16"/>
                <w:szCs w:val="16"/>
              </w:rPr>
            </w:pPr>
            <w:r>
              <w:rPr>
                <w:b/>
                <w:bCs/>
                <w:sz w:val="16"/>
                <w:szCs w:val="16"/>
              </w:rPr>
              <w:t>Výnosy spolu:</w:t>
            </w:r>
          </w:p>
        </w:tc>
        <w:tc>
          <w:tcPr>
            <w:tcW w:type="dxa" w:w="2488"/>
            <w:tcBorders>
              <w:top w:val="nil"/>
              <w:left w:val="nil"/>
              <w:bottom w:val="nil"/>
              <w:right w:val="nil"/>
            </w:tcBorders>
            <w:shd w:fill="FFFFFF" w:val="clear"/>
            <w:vAlign w:val="center"/>
          </w:tcPr>
          <w:p>
            <w:pPr>
              <w:pStyle w:val="style64"/>
              <w:jc w:val="center"/>
              <w:rPr>
                <w:b/>
                <w:bCs/>
                <w:sz w:val="18"/>
                <w:szCs w:val="18"/>
              </w:rPr>
            </w:pPr>
            <w:r>
              <w:rPr>
                <w:b/>
                <w:bCs/>
                <w:sz w:val="18"/>
                <w:szCs w:val="18"/>
              </w:rPr>
              <w:t>10124</w:t>
            </w:r>
          </w:p>
        </w:tc>
        <w:tc>
          <w:tcPr>
            <w:tcW w:type="dxa" w:w="2497"/>
            <w:tcBorders>
              <w:top w:val="nil"/>
              <w:left w:val="nil"/>
              <w:bottom w:val="nil"/>
              <w:right w:val="nil"/>
            </w:tcBorders>
            <w:shd w:fill="FFFFFF" w:val="clear"/>
            <w:vAlign w:val="center"/>
          </w:tcPr>
          <w:p>
            <w:pPr>
              <w:pStyle w:val="style64"/>
              <w:jc w:val="center"/>
              <w:rPr>
                <w:b/>
                <w:bCs/>
                <w:sz w:val="18"/>
                <w:szCs w:val="18"/>
              </w:rPr>
            </w:pPr>
            <w:r>
              <w:rPr>
                <w:b/>
                <w:bCs/>
                <w:sz w:val="18"/>
                <w:szCs w:val="18"/>
              </w:rPr>
              <w:t>0</w:t>
            </w:r>
          </w:p>
        </w:tc>
      </w:tr>
    </w:tbl>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pPr>
      <w:r>
        <w:rPr/>
      </w:r>
    </w:p>
    <w:p>
      <w:pPr>
        <w:pStyle w:val="style0"/>
        <w:rPr>
          <w:b/>
          <w:bCs/>
        </w:rPr>
      </w:pPr>
      <w:r>
        <w:rPr>
          <w:b/>
          <w:bCs/>
        </w:rPr>
        <w:t>VI.  INFORMÁCIE O NÁKLADOCH</w:t>
      </w:r>
    </w:p>
    <w:p>
      <w:pPr>
        <w:pStyle w:val="style0"/>
        <w:rPr>
          <w:b/>
          <w:bCs/>
        </w:rPr>
      </w:pPr>
      <w:r>
        <w:rPr>
          <w:b/>
          <w:bCs/>
        </w:rPr>
      </w:r>
    </w:p>
    <w:p>
      <w:pPr>
        <w:pStyle w:val="style0"/>
        <w:rPr>
          <w:b/>
          <w:bCs/>
          <w:sz w:val="16"/>
          <w:szCs w:val="16"/>
        </w:rPr>
      </w:pPr>
      <w:r>
        <w:rPr>
          <w:b w:val="false"/>
          <w:bCs w:val="false"/>
          <w:sz w:val="16"/>
          <w:szCs w:val="16"/>
        </w:rPr>
        <w:t>Za rok 201</w:t>
      </w:r>
      <w:r>
        <w:rPr>
          <w:b w:val="false"/>
          <w:bCs w:val="false"/>
          <w:sz w:val="16"/>
          <w:szCs w:val="16"/>
        </w:rPr>
        <w:t>8</w:t>
      </w:r>
      <w:r>
        <w:rPr>
          <w:b w:val="false"/>
          <w:bCs w:val="false"/>
          <w:sz w:val="16"/>
          <w:szCs w:val="16"/>
        </w:rPr>
        <w:t xml:space="preserve"> spoločnosť dosiahla celkové náklady vo výške   </w:t>
      </w:r>
      <w:r>
        <w:rPr>
          <w:b/>
          <w:bCs/>
          <w:sz w:val="16"/>
          <w:szCs w:val="16"/>
        </w:rPr>
        <w:t>7934</w:t>
      </w:r>
      <w:r>
        <w:rPr>
          <w:b/>
          <w:bCs/>
          <w:sz w:val="16"/>
          <w:szCs w:val="16"/>
        </w:rPr>
        <w:t xml:space="preserve"> €</w:t>
      </w:r>
    </w:p>
    <w:p>
      <w:pPr>
        <w:pStyle w:val="style0"/>
        <w:rPr>
          <w:b w:val="false"/>
          <w:bCs w:val="false"/>
          <w:sz w:val="16"/>
          <w:szCs w:val="16"/>
        </w:rPr>
      </w:pPr>
      <w:r>
        <w:rPr>
          <w:b w:val="false"/>
          <w:bCs w:val="false"/>
          <w:sz w:val="16"/>
          <w:szCs w:val="16"/>
        </w:rPr>
      </w:r>
    </w:p>
    <w:tbl>
      <w:tblPr>
        <w:jc w:val="left"/>
        <w:tblInd w:type="dxa" w:w="-14"/>
        <w:tblBorders>
          <w:top w:val="nil"/>
          <w:left w:val="nil"/>
          <w:bottom w:val="nil"/>
          <w:insideH w:val="nil"/>
          <w:right w:val="nil"/>
          <w:insideV w:val="nil"/>
        </w:tblBorders>
        <w:tblCellMar>
          <w:top w:type="dxa" w:w="0"/>
          <w:left w:type="dxa" w:w="0"/>
          <w:bottom w:type="dxa" w:w="0"/>
          <w:right w:type="dxa" w:w="0"/>
        </w:tblCellMar>
      </w:tblPr>
      <w:tblGrid>
        <w:gridCol w:w="3316"/>
        <w:gridCol w:w="2496"/>
        <w:gridCol w:w="2497"/>
      </w:tblGrid>
      <w:tr>
        <w:trPr>
          <w:trHeight w:hRule="atLeast" w:val="300"/>
          <w:cantSplit w:val="false"/>
        </w:trPr>
        <w:tc>
          <w:tcPr>
            <w:tcW w:type="dxa" w:w="3316"/>
            <w:tcBorders>
              <w:top w:val="nil"/>
              <w:left w:val="nil"/>
              <w:bottom w:val="nil"/>
              <w:right w:val="nil"/>
            </w:tcBorders>
            <w:shd w:fill="FFFFFF" w:val="clear"/>
            <w:vAlign w:val="center"/>
          </w:tcPr>
          <w:p>
            <w:pPr>
              <w:pStyle w:val="style64"/>
              <w:rPr>
                <w:b/>
                <w:bCs/>
                <w:sz w:val="16"/>
                <w:szCs w:val="16"/>
              </w:rPr>
            </w:pPr>
            <w:r>
              <w:rPr>
                <w:b/>
                <w:bCs/>
                <w:sz w:val="16"/>
                <w:szCs w:val="16"/>
              </w:rPr>
              <w:t>Názov položky</w:t>
            </w:r>
          </w:p>
        </w:tc>
        <w:tc>
          <w:tcPr>
            <w:tcW w:type="dxa" w:w="2496"/>
            <w:tcBorders>
              <w:top w:val="nil"/>
              <w:left w:val="nil"/>
              <w:bottom w:val="nil"/>
              <w:right w:val="nil"/>
            </w:tcBorders>
            <w:shd w:fill="FFFFFF" w:val="clear"/>
            <w:vAlign w:val="center"/>
          </w:tcPr>
          <w:p>
            <w:pPr>
              <w:pStyle w:val="style64"/>
              <w:rPr>
                <w:b/>
                <w:bCs/>
                <w:sz w:val="16"/>
                <w:szCs w:val="16"/>
              </w:rPr>
            </w:pPr>
            <w:r>
              <w:rPr>
                <w:b/>
                <w:bCs/>
                <w:sz w:val="16"/>
                <w:szCs w:val="16"/>
              </w:rPr>
              <w:t>Bežné účtovné obdobie</w:t>
            </w:r>
          </w:p>
        </w:tc>
        <w:tc>
          <w:tcPr>
            <w:tcW w:type="dxa" w:w="2497"/>
            <w:tcBorders>
              <w:top w:val="nil"/>
              <w:left w:val="nil"/>
              <w:bottom w:val="nil"/>
              <w:right w:val="nil"/>
            </w:tcBorders>
            <w:shd w:fill="FFFFFF" w:val="clear"/>
            <w:vAlign w:val="center"/>
          </w:tcPr>
          <w:p>
            <w:pPr>
              <w:pStyle w:val="style64"/>
              <w:rPr>
                <w:b/>
                <w:bCs/>
                <w:sz w:val="16"/>
                <w:szCs w:val="16"/>
              </w:rPr>
            </w:pPr>
            <w:r>
              <w:rPr>
                <w:b/>
                <w:bCs/>
                <w:sz w:val="16"/>
                <w:szCs w:val="16"/>
              </w:rPr>
              <w:t>Bezprostredne predchádzajúce</w:t>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b/>
                <w:bCs/>
                <w:sz w:val="16"/>
                <w:szCs w:val="16"/>
              </w:rPr>
            </w:pPr>
            <w:r>
              <w:rPr>
                <w:b/>
                <w:bCs/>
                <w:sz w:val="16"/>
                <w:szCs w:val="16"/>
              </w:rPr>
              <w:t> </w:t>
            </w:r>
          </w:p>
        </w:tc>
        <w:tc>
          <w:tcPr>
            <w:tcW w:type="dxa" w:w="2496"/>
            <w:tcBorders>
              <w:top w:val="nil"/>
              <w:left w:val="nil"/>
              <w:bottom w:val="nil"/>
              <w:right w:val="nil"/>
            </w:tcBorders>
            <w:shd w:fill="FFFFFF" w:val="clear"/>
            <w:vAlign w:val="center"/>
          </w:tcPr>
          <w:p>
            <w:pPr>
              <w:pStyle w:val="style64"/>
              <w:rPr>
                <w:b/>
                <w:bCs/>
                <w:sz w:val="16"/>
                <w:szCs w:val="16"/>
              </w:rPr>
            </w:pPr>
            <w:r>
              <w:rPr>
                <w:b/>
                <w:bCs/>
                <w:sz w:val="16"/>
                <w:szCs w:val="16"/>
              </w:rPr>
              <w:t>účtovné obdobie</w:t>
            </w:r>
          </w:p>
        </w:tc>
        <w:tc>
          <w:tcPr>
            <w:tcW w:type="dxa" w:w="2497"/>
            <w:tcBorders>
              <w:top w:val="nil"/>
              <w:left w:val="nil"/>
              <w:bottom w:val="nil"/>
              <w:right w:val="nil"/>
            </w:tcBorders>
            <w:shd w:fill="FFFFFF" w:val="clear"/>
            <w:vAlign w:val="center"/>
          </w:tcPr>
          <w:p>
            <w:pPr>
              <w:pStyle w:val="style64"/>
              <w:rPr>
                <w:b/>
                <w:bCs/>
                <w:sz w:val="16"/>
                <w:szCs w:val="16"/>
              </w:rPr>
            </w:pPr>
            <w:r>
              <w:rPr>
                <w:b/>
                <w:bCs/>
                <w:sz w:val="16"/>
                <w:szCs w:val="16"/>
              </w:rPr>
              <w:t>účtovné obdobie</w:t>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Spotreba materiálu</w:t>
            </w:r>
          </w:p>
        </w:tc>
        <w:tc>
          <w:tcPr>
            <w:tcW w:type="dxa" w:w="2496"/>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Spotreba PHM</w:t>
            </w:r>
          </w:p>
        </w:tc>
        <w:tc>
          <w:tcPr>
            <w:tcW w:type="dxa" w:w="2496"/>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Spotreba energií</w:t>
            </w:r>
          </w:p>
        </w:tc>
        <w:tc>
          <w:tcPr>
            <w:tcW w:type="dxa" w:w="2496"/>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Predaný tovar</w:t>
            </w:r>
          </w:p>
        </w:tc>
        <w:tc>
          <w:tcPr>
            <w:tcW w:type="dxa" w:w="2496"/>
            <w:tcBorders>
              <w:top w:val="nil"/>
              <w:left w:val="nil"/>
              <w:bottom w:val="nil"/>
              <w:right w:val="nil"/>
            </w:tcBorders>
            <w:shd w:fill="FFFFFF" w:val="clear"/>
            <w:vAlign w:val="center"/>
          </w:tcPr>
          <w:p>
            <w:pPr>
              <w:pStyle w:val="style64"/>
              <w:jc w:val="center"/>
              <w:rPr/>
            </w:pPr>
            <w:r>
              <w:rPr/>
              <w:t>7887</w:t>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Ostatné služby</w:t>
            </w:r>
          </w:p>
        </w:tc>
        <w:tc>
          <w:tcPr>
            <w:tcW w:type="dxa" w:w="2496"/>
            <w:tcBorders>
              <w:top w:val="nil"/>
              <w:left w:val="nil"/>
              <w:bottom w:val="nil"/>
              <w:right w:val="nil"/>
            </w:tcBorders>
            <w:shd w:fill="FFFFFF" w:val="clear"/>
            <w:vAlign w:val="center"/>
          </w:tcPr>
          <w:p>
            <w:pPr>
              <w:pStyle w:val="style64"/>
              <w:jc w:val="center"/>
              <w:rPr/>
            </w:pPr>
            <w:r>
              <w:rPr/>
              <w:t>47</w:t>
            </w:r>
          </w:p>
        </w:tc>
        <w:tc>
          <w:tcPr>
            <w:tcW w:type="dxa" w:w="2497"/>
            <w:tcBorders>
              <w:top w:val="nil"/>
              <w:left w:val="nil"/>
              <w:bottom w:val="nil"/>
              <w:right w:val="nil"/>
            </w:tcBorders>
            <w:shd w:fill="FFFFFF" w:val="clear"/>
            <w:vAlign w:val="center"/>
          </w:tcPr>
          <w:p>
            <w:pPr>
              <w:pStyle w:val="style64"/>
              <w:jc w:val="center"/>
              <w:rPr/>
            </w:pPr>
            <w:r>
              <w:rPr/>
              <w:t>319</w:t>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Prevádzkové náklady</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Zostatková cena predaného IM</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Odpisy IM</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Bankové poplatky</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Daň z bežnej činnosti splatná</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pPr>
            <w:r>
              <w:rPr/>
              <w:t> </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b/>
                <w:bCs/>
                <w:sz w:val="16"/>
                <w:szCs w:val="16"/>
              </w:rPr>
            </w:pPr>
            <w:r>
              <w:rPr>
                <w:b/>
                <w:bCs/>
                <w:sz w:val="16"/>
                <w:szCs w:val="16"/>
              </w:rPr>
              <w:t>Náklady spolu:</w:t>
            </w:r>
          </w:p>
        </w:tc>
        <w:tc>
          <w:tcPr>
            <w:tcW w:type="dxa" w:w="2496"/>
            <w:tcBorders>
              <w:top w:val="nil"/>
              <w:left w:val="nil"/>
              <w:bottom w:val="nil"/>
              <w:right w:val="nil"/>
            </w:tcBorders>
            <w:shd w:fill="FFFFFF" w:val="clear"/>
            <w:vAlign w:val="center"/>
          </w:tcPr>
          <w:p>
            <w:pPr>
              <w:pStyle w:val="style64"/>
              <w:jc w:val="center"/>
              <w:rPr>
                <w:b/>
                <w:bCs/>
                <w:sz w:val="18"/>
                <w:szCs w:val="18"/>
              </w:rPr>
            </w:pPr>
            <w:r>
              <w:rPr>
                <w:b/>
                <w:bCs/>
                <w:sz w:val="18"/>
                <w:szCs w:val="18"/>
              </w:rPr>
              <w:t>7934</w:t>
            </w:r>
          </w:p>
        </w:tc>
        <w:tc>
          <w:tcPr>
            <w:tcW w:type="dxa" w:w="2497"/>
            <w:tcBorders>
              <w:top w:val="nil"/>
              <w:left w:val="nil"/>
              <w:bottom w:val="nil"/>
              <w:right w:val="nil"/>
            </w:tcBorders>
            <w:shd w:fill="FFFFFF" w:val="clear"/>
            <w:vAlign w:val="center"/>
          </w:tcPr>
          <w:p>
            <w:pPr>
              <w:pStyle w:val="style64"/>
              <w:jc w:val="center"/>
              <w:rPr>
                <w:b/>
                <w:bCs/>
                <w:sz w:val="18"/>
                <w:szCs w:val="18"/>
              </w:rPr>
            </w:pPr>
            <w:r>
              <w:rPr>
                <w:b/>
                <w:bCs/>
                <w:sz w:val="18"/>
                <w:szCs w:val="18"/>
              </w:rPr>
              <w:t>319</w:t>
            </w:r>
          </w:p>
        </w:tc>
      </w:tr>
    </w:tbl>
    <w:p>
      <w:pPr>
        <w:pStyle w:val="style0"/>
        <w:rPr>
          <w:b w:val="false"/>
          <w:bCs w:val="false"/>
          <w:sz w:val="16"/>
          <w:szCs w:val="16"/>
        </w:rPr>
      </w:pPr>
      <w:r>
        <w:rPr>
          <w:b w:val="false"/>
          <w:bCs w:val="false"/>
          <w:sz w:val="16"/>
          <w:szCs w:val="16"/>
        </w:rPr>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pPr>
      <w:r>
        <w:rPr/>
      </w:r>
    </w:p>
    <w:p>
      <w:pPr>
        <w:pStyle w:val="style0"/>
        <w:pageBreakBefore/>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t>VII. INFORMÁCIE O DANIACH Z PRÍJMOV</w:t>
      </w:r>
    </w:p>
    <w:p>
      <w:pPr>
        <w:pStyle w:val="style0"/>
        <w:jc w:val="left"/>
        <w:rPr>
          <w:rFonts w:cs="Arial"/>
          <w:b/>
          <w:bCs/>
          <w:iCs/>
          <w:sz w:val="20"/>
          <w:szCs w:val="20"/>
        </w:rPr>
      </w:pPr>
      <w:r>
        <w:rPr>
          <w:rFonts w:cs="Arial"/>
          <w:b/>
          <w:bCs/>
          <w:iCs/>
          <w:sz w:val="20"/>
          <w:szCs w:val="20"/>
        </w:rPr>
      </w:r>
    </w:p>
    <w:p>
      <w:pPr>
        <w:pStyle w:val="style0"/>
        <w:jc w:val="left"/>
        <w:rPr>
          <w:rFonts w:ascii="Calibri" w:cs="Arial" w:eastAsia="Times New Roman" w:hAnsi="Calibri"/>
          <w:b w:val="false"/>
          <w:bCs w:val="false"/>
          <w:iCs/>
          <w:color w:val="000000"/>
          <w:sz w:val="20"/>
          <w:szCs w:val="20"/>
        </w:rPr>
      </w:pPr>
      <w:r>
        <w:rPr>
          <w:rFonts w:cs="Arial"/>
          <w:b w:val="false"/>
          <w:bCs w:val="false"/>
          <w:iCs/>
          <w:sz w:val="20"/>
          <w:szCs w:val="20"/>
        </w:rPr>
        <w:t xml:space="preserve">Spoločnosť v bežnom účtovnom období vykázala </w:t>
      </w:r>
      <w:r>
        <w:rPr>
          <w:rFonts w:ascii="Calibri" w:cs="Arial" w:eastAsia="Times New Roman" w:hAnsi="Calibri"/>
          <w:b w:val="false"/>
          <w:bCs w:val="false"/>
          <w:iCs/>
          <w:color w:val="000000"/>
          <w:sz w:val="20"/>
          <w:szCs w:val="20"/>
        </w:rPr>
        <w:t xml:space="preserve">účtovný zisk </w:t>
      </w:r>
      <w:r>
        <w:rPr>
          <w:rFonts w:ascii="Calibri" w:cs="Arial" w:eastAsia="Times New Roman" w:hAnsi="Calibri"/>
          <w:b/>
          <w:bCs/>
          <w:iCs/>
          <w:color w:val="000000"/>
          <w:sz w:val="20"/>
          <w:szCs w:val="20"/>
        </w:rPr>
        <w:t>2190</w:t>
      </w:r>
      <w:r>
        <w:rPr>
          <w:rFonts w:ascii="Calibri" w:cs="Arial" w:eastAsia="Times New Roman" w:hAnsi="Calibri"/>
          <w:b/>
          <w:bCs/>
          <w:iCs/>
          <w:color w:val="000000"/>
          <w:sz w:val="20"/>
          <w:szCs w:val="20"/>
        </w:rPr>
        <w:t xml:space="preserve"> €</w:t>
      </w:r>
      <w:r>
        <w:rPr>
          <w:rFonts w:ascii="Calibri" w:cs="Arial" w:eastAsia="Times New Roman" w:hAnsi="Calibri"/>
          <w:b w:val="false"/>
          <w:bCs w:val="false"/>
          <w:iCs/>
          <w:color w:val="000000"/>
          <w:sz w:val="20"/>
          <w:szCs w:val="20"/>
        </w:rPr>
        <w:t xml:space="preserve">. </w:t>
      </w:r>
    </w:p>
    <w:p>
      <w:pPr>
        <w:pStyle w:val="style0"/>
        <w:jc w:val="left"/>
        <w:rPr>
          <w:rFonts w:ascii="Calibri" w:cs="Arial" w:eastAsia="Times New Roman" w:hAnsi="Calibri"/>
          <w:b w:val="false"/>
          <w:bCs w:val="false"/>
          <w:iCs/>
          <w:color w:val="000000"/>
          <w:sz w:val="20"/>
          <w:szCs w:val="20"/>
        </w:rPr>
      </w:pPr>
      <w:r>
        <w:rPr>
          <w:rFonts w:ascii="Calibri" w:cs="Arial" w:eastAsia="Times New Roman" w:hAnsi="Calibri"/>
          <w:b w:val="false"/>
          <w:bCs w:val="false"/>
          <w:iCs/>
          <w:color w:val="000000"/>
          <w:sz w:val="20"/>
          <w:szCs w:val="20"/>
        </w:rPr>
        <w:t xml:space="preserve">Do nákladov spoločnosti bola za rok </w:t>
      </w:r>
      <w:r>
        <w:rPr>
          <w:rFonts w:ascii="Calibri" w:cs="Arial" w:eastAsia="Times New Roman" w:hAnsi="Calibri"/>
          <w:b w:val="false"/>
          <w:bCs w:val="false"/>
          <w:iCs/>
          <w:color w:val="000000"/>
          <w:sz w:val="20"/>
          <w:szCs w:val="20"/>
        </w:rPr>
        <w:t>2018</w:t>
      </w:r>
      <w:r>
        <w:rPr>
          <w:rFonts w:ascii="Calibri" w:cs="Arial" w:eastAsia="Times New Roman" w:hAnsi="Calibri"/>
          <w:b w:val="false"/>
          <w:bCs w:val="false"/>
          <w:iCs/>
          <w:color w:val="000000"/>
          <w:sz w:val="20"/>
          <w:szCs w:val="20"/>
        </w:rPr>
        <w:t xml:space="preserve"> účtovaná </w:t>
      </w:r>
      <w:r>
        <w:rPr>
          <w:rFonts w:ascii="Calibri" w:cs="Arial" w:eastAsia="Times New Roman" w:hAnsi="Calibri"/>
          <w:b w:val="false"/>
          <w:bCs w:val="false"/>
          <w:iCs/>
          <w:color w:val="000000"/>
          <w:sz w:val="20"/>
          <w:szCs w:val="20"/>
        </w:rPr>
        <w:t>obstaranie tovarua doména.</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eastAsia="Times New Roman" w:hAnsi="Calibri"/>
          <w:b/>
          <w:bCs/>
          <w:iCs/>
          <w:color w:val="000000"/>
          <w:sz w:val="22"/>
          <w:szCs w:val="22"/>
        </w:rPr>
      </w:pPr>
      <w:r>
        <w:rPr>
          <w:rFonts w:ascii="Calibri" w:cs="Arial" w:eastAsia="Times New Roman" w:hAnsi="Calibri"/>
          <w:b/>
          <w:bCs/>
          <w:iCs/>
          <w:color w:val="000000"/>
          <w:sz w:val="22"/>
          <w:szCs w:val="22"/>
        </w:rPr>
        <w:t>VIII. INFORMÁCIE O PREH2ADE ZMIEN VLASTNÉHO IMANIA</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hAnsi="Calibri"/>
          <w:b w:val="false"/>
          <w:bCs w:val="false"/>
          <w:iCs/>
          <w:color w:val="000000"/>
          <w:sz w:val="22"/>
          <w:szCs w:val="16"/>
        </w:rPr>
      </w:pPr>
      <w:r>
        <w:rPr>
          <w:rFonts w:ascii="Calibri" w:cs="Arial" w:hAnsi="Calibri"/>
          <w:b w:val="false"/>
          <w:bCs w:val="false"/>
          <w:iCs/>
          <w:color w:val="000000"/>
          <w:sz w:val="22"/>
          <w:szCs w:val="16"/>
        </w:rPr>
      </w:r>
    </w:p>
    <w:tbl>
      <w:tblPr>
        <w:jc w:val="left"/>
        <w:tblInd w:type="dxa" w:w="-105"/>
        <w:tblBorders>
          <w:top w:color="00000A" w:space="0" w:sz="8" w:val="single"/>
          <w:left w:val="nil"/>
          <w:bottom w:val="nil"/>
          <w:insideH w:val="nil"/>
          <w:right w:val="nil"/>
          <w:insideV w:val="nil"/>
        </w:tblBorders>
        <w:tblCellMar>
          <w:top w:type="dxa" w:w="0"/>
          <w:left w:type="dxa" w:w="0"/>
          <w:bottom w:type="dxa" w:w="0"/>
          <w:right w:type="dxa" w:w="0"/>
        </w:tblCellMar>
      </w:tblPr>
      <w:tblGrid>
        <w:gridCol w:w="4294"/>
        <w:gridCol w:w="884"/>
        <w:gridCol w:w="1033"/>
        <w:gridCol w:w="796"/>
        <w:gridCol w:w="924"/>
        <w:gridCol w:w="1141"/>
      </w:tblGrid>
      <w:tr>
        <w:trPr>
          <w:cantSplit w:val="false"/>
        </w:trPr>
        <w:tc>
          <w:tcPr>
            <w:tcW w:type="dxa" w:w="4294"/>
            <w:vMerge w:val="restart"/>
            <w:tcBorders>
              <w:top w:color="00000A" w:space="0" w:sz="8"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Položka</w:t>
            </w:r>
          </w:p>
        </w:tc>
        <w:tc>
          <w:tcPr>
            <w:tcW w:type="dxa" w:w="884"/>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c>
          <w:tcPr>
            <w:tcW w:type="dxa" w:w="1033"/>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Prírastky</w:t>
            </w:r>
          </w:p>
        </w:tc>
        <w:tc>
          <w:tcPr>
            <w:tcW w:type="dxa" w:w="796"/>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Úbytky</w:t>
            </w:r>
          </w:p>
        </w:tc>
        <w:tc>
          <w:tcPr>
            <w:tcW w:type="dxa" w:w="924"/>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Presuny</w:t>
            </w:r>
          </w:p>
        </w:tc>
        <w:tc>
          <w:tcPr>
            <w:tcW w:type="dxa" w:w="1141"/>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r>
      <w:tr>
        <w:trPr>
          <w:cantSplit w:val="false"/>
        </w:trPr>
        <w:tc>
          <w:tcPr>
            <w:tcW w:type="dxa" w:w="4294"/>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884"/>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1. januáru 201</w:t>
            </w:r>
            <w:r>
              <w:rPr>
                <w:rFonts w:cs="Times New Roman" w:eastAsia="Times New Roman"/>
                <w:b/>
                <w:bCs/>
                <w:i/>
                <w:iCs/>
                <w:color w:val="00000A"/>
                <w:sz w:val="20"/>
                <w:szCs w:val="20"/>
                <w:lang w:eastAsia="sk-SK"/>
              </w:rPr>
              <w:t>7</w:t>
            </w:r>
          </w:p>
        </w:tc>
        <w:tc>
          <w:tcPr>
            <w:tcW w:type="dxa" w:w="1033"/>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796"/>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924"/>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1141"/>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31. decembru 201</w:t>
            </w:r>
            <w:r>
              <w:rPr>
                <w:rFonts w:cs="Times New Roman" w:eastAsia="Times New Roman"/>
                <w:b/>
                <w:bCs/>
                <w:i/>
                <w:iCs/>
                <w:color w:val="00000A"/>
                <w:sz w:val="20"/>
                <w:szCs w:val="20"/>
                <w:lang w:eastAsia="sk-SK"/>
              </w:rPr>
              <w:t>8</w:t>
            </w:r>
          </w:p>
        </w:tc>
      </w:tr>
      <w:tr>
        <w:trPr>
          <w:cantSplit w:val="false"/>
        </w:trPr>
        <w:tc>
          <w:tcPr>
            <w:tcW w:type="dxa" w:w="4294"/>
            <w:tcBorders>
              <w:top w:color="00000A" w:space="0" w:sz="6"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Základné imanie</w:t>
            </w:r>
          </w:p>
        </w:tc>
        <w:tc>
          <w:tcPr>
            <w:tcW w:type="dxa" w:w="88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- 5000</w:t>
            </w:r>
          </w:p>
        </w:tc>
        <w:tc>
          <w:tcPr>
            <w:tcW w:type="dxa" w:w="796"/>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b/>
                <w:bCs/>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b/>
                <w:bCs/>
                <w:color w:val="00000A"/>
                <w:sz w:val="20"/>
                <w:szCs w:val="20"/>
                <w:lang w:eastAsia="sk-SK"/>
              </w:rPr>
              <w:t xml:space="preserve"> 5000</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Vlastné akcie a vlastné obchodné podiely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Zmena základného imania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Pohľadávky za upísané vlastné imanie</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Emisné ážio</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kapitálové fondy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Zákonný rezervný fond (nedeliteľný fond) z kapitálových vkladov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majetku a záväzkov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kapitálových účastín</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pri zlúčení, splynutí a rozdelení</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Zákonný rezervný fond </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Nedeliteľný fond</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Štatutárne fondy a ostatné fondy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Nerozdelený zisk minulých rokov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Neuhradená strata minulých rokov</w:t>
            </w:r>
          </w:p>
        </w:tc>
        <w:tc>
          <w:tcPr>
            <w:tcW w:type="dxa" w:w="884"/>
            <w:tcBorders>
              <w:top w:val="nil"/>
              <w:left w:val="nil"/>
              <w:bottom w:val="nil"/>
              <w:right w:val="nil"/>
            </w:tcBorders>
            <w:shd w:fill="FFFFFF" w:val="clear"/>
            <w:vAlign w:val="bottom"/>
          </w:tcPr>
          <w:p>
            <w:pPr>
              <w:pStyle w:val="style0"/>
              <w:spacing w:after="119" w:before="28"/>
              <w:contextualSpacing w:val="false"/>
              <w:jc w:val="center"/>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center"/>
              <w:rPr/>
            </w:pPr>
            <w:r>
              <w:rPr/>
              <w:t>319</w:t>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t>319</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Výsledok hospodárenia bežného účtovného obdobia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Vyplatené dividendy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položky vlastného imania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val="nil"/>
              <w:right w:val="nil"/>
            </w:tcBorders>
            <w:shd w:fill="FFFFFF" w:val="clear"/>
            <w:vAlign w:val="bottom"/>
          </w:tcPr>
          <w:p>
            <w:pPr>
              <w:pStyle w:val="style0"/>
              <w:spacing w:after="119" w:before="28"/>
              <w:contextualSpacing w:val="false"/>
              <w:jc w:val="both"/>
              <w:rPr/>
            </w:pPr>
            <w:r>
              <w:rPr/>
            </w:r>
          </w:p>
        </w:tc>
      </w:tr>
      <w:tr>
        <w:trPr>
          <w:cantSplit w:val="false"/>
        </w:trPr>
        <w:tc>
          <w:tcPr>
            <w:tcW w:type="dxa" w:w="4294"/>
            <w:tcBorders>
              <w:top w:val="nil"/>
              <w:left w:val="nil"/>
              <w:bottom w:color="00000A" w:space="0" w:sz="8" w:val="single"/>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Účet 491 – Vlastné imanie fyzickej osoby – podnikateľa </w:t>
            </w:r>
          </w:p>
        </w:tc>
        <w:tc>
          <w:tcPr>
            <w:tcW w:type="dxa" w:w="884"/>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033"/>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796"/>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c>
          <w:tcPr>
            <w:tcW w:type="dxa" w:w="1141"/>
            <w:tcBorders>
              <w:top w:val="nil"/>
              <w:left w:val="nil"/>
              <w:bottom w:color="00000A" w:space="0" w:sz="8" w:val="single"/>
              <w:right w:val="nil"/>
            </w:tcBorders>
            <w:shd w:fill="FFFFFF" w:val="clear"/>
            <w:vAlign w:val="bottom"/>
          </w:tcPr>
          <w:p>
            <w:pPr>
              <w:pStyle w:val="style0"/>
              <w:spacing w:after="119" w:before="28"/>
              <w:contextualSpacing w:val="false"/>
              <w:jc w:val="both"/>
              <w:rPr/>
            </w:pPr>
            <w:r>
              <w:rPr/>
            </w:r>
          </w:p>
        </w:tc>
      </w:tr>
    </w:tbl>
    <w:p>
      <w:pPr>
        <w:pStyle w:val="style0"/>
        <w:keepNext/>
        <w:widowControl/>
        <w:suppressAutoHyphens w:val="true"/>
        <w:ind w:hanging="0" w:left="11" w:right="0"/>
        <w:jc w:val="both"/>
        <w:rPr/>
      </w:pPr>
      <w:r>
        <w:rPr/>
      </w:r>
    </w:p>
    <w:p>
      <w:pPr>
        <w:pStyle w:val="style0"/>
        <w:rPr>
          <w:rFonts w:cs="Arial"/>
          <w:bCs/>
          <w:szCs w:val="26"/>
          <w:u w:val="single"/>
        </w:rPr>
      </w:pPr>
      <w:r>
        <w:rPr>
          <w:rFonts w:cs="Arial"/>
          <w:bCs/>
          <w:szCs w:val="26"/>
          <w:u w:val="single"/>
        </w:rPr>
      </w:r>
    </w:p>
    <w:p>
      <w:pPr>
        <w:pStyle w:val="style0"/>
        <w:rPr>
          <w:rFonts w:cs="Arial"/>
          <w:bCs/>
          <w:sz w:val="20"/>
          <w:szCs w:val="20"/>
          <w:u w:val="none"/>
        </w:rPr>
      </w:pPr>
      <w:r>
        <w:rPr>
          <w:rFonts w:cs="Arial"/>
          <w:bCs/>
          <w:sz w:val="20"/>
          <w:szCs w:val="20"/>
          <w:u w:val="none"/>
        </w:rPr>
        <w:t>V Nižnej, dňa 25.0</w:t>
      </w:r>
      <w:r>
        <w:rPr>
          <w:rFonts w:cs="Arial"/>
          <w:bCs/>
          <w:sz w:val="20"/>
          <w:szCs w:val="20"/>
          <w:u w:val="none"/>
        </w:rPr>
        <w:t>3</w:t>
      </w:r>
      <w:r>
        <w:rPr>
          <w:rFonts w:cs="Arial"/>
          <w:bCs/>
          <w:sz w:val="20"/>
          <w:szCs w:val="20"/>
          <w:u w:val="none"/>
        </w:rPr>
        <w:t>.201</w:t>
      </w:r>
      <w:r>
        <w:rPr>
          <w:rFonts w:cs="Arial"/>
          <w:bCs/>
          <w:sz w:val="20"/>
          <w:szCs w:val="20"/>
          <w:u w:val="none"/>
        </w:rPr>
        <w:t>9</w:t>
      </w:r>
    </w:p>
    <w:p>
      <w:pPr>
        <w:pStyle w:val="style0"/>
        <w:rPr>
          <w:rFonts w:cs="Arial"/>
          <w:bCs/>
          <w:sz w:val="20"/>
          <w:szCs w:val="20"/>
          <w:u w:val="none"/>
        </w:rPr>
      </w:pPr>
      <w:r>
        <w:rPr>
          <w:rFonts w:cs="Arial"/>
          <w:bCs/>
          <w:sz w:val="20"/>
          <w:szCs w:val="20"/>
          <w:u w:val="none"/>
        </w:rPr>
        <w:t>Jozef Kubica</w:t>
      </w:r>
    </w:p>
    <w:p>
      <w:pPr>
        <w:pStyle w:val="style3"/>
        <w:keepNext/>
        <w:pageBreakBefore/>
        <w:widowControl/>
        <w:suppressAutoHyphens w:val="true"/>
        <w:ind w:hanging="0" w:left="0" w:right="0"/>
        <w:jc w:val="both"/>
        <w:rPr>
          <w:color w:val="000000"/>
          <w:lang w:eastAsia="sk-SK"/>
        </w:rPr>
      </w:pPr>
      <w:r>
        <w:rPr>
          <w:color w:val="000000"/>
          <w:lang w:eastAsia="sk-SK"/>
        </w:rPr>
      </w:r>
    </w:p>
    <w:p>
      <w:pPr>
        <w:pStyle w:val="style2"/>
        <w:rPr/>
      </w:pPr>
      <w:r>
        <w:rPr/>
      </w:r>
    </w:p>
    <w:p>
      <w:pPr>
        <w:pStyle w:val="style0"/>
        <w:rPr>
          <w:lang w:eastAsia="sk-SK"/>
        </w:rPr>
      </w:pPr>
      <w:r>
        <w:rPr>
          <w:lang w:eastAsia="sk-SK"/>
        </w:rPr>
      </w:r>
    </w:p>
    <w:p>
      <w:pPr>
        <w:pStyle w:val="style3"/>
        <w:keepNext/>
        <w:widowControl/>
        <w:suppressAutoHyphens w:val="true"/>
        <w:ind w:hanging="0" w:left="-107" w:right="0"/>
        <w:jc w:val="both"/>
        <w:rPr>
          <w:i/>
          <w:color w:val="FF0000"/>
        </w:rPr>
      </w:pPr>
      <w:r>
        <w:rPr>
          <w:i/>
          <w:color w:val="FF0000"/>
        </w:rPr>
      </w:r>
    </w:p>
    <w:p>
      <w:pPr>
        <w:pStyle w:val="style0"/>
        <w:rPr>
          <w:i/>
          <w:color w:val="FF0000"/>
        </w:rPr>
      </w:pPr>
      <w:r>
        <w:rPr>
          <w:i/>
          <w:color w:val="FF0000"/>
        </w:rPr>
      </w:r>
    </w:p>
    <w:p>
      <w:pPr>
        <w:pStyle w:val="style0"/>
        <w:jc w:val="left"/>
        <w:rPr>
          <w:rFonts w:cs="Arial"/>
          <w:b/>
          <w:bCs/>
          <w:iCs/>
          <w:szCs w:val="28"/>
          <w:lang w:eastAsia="sk-SK"/>
        </w:rPr>
      </w:pPr>
      <w:bookmarkStart w:id="4" w:name="T_accrued_expense_deferred_income"/>
      <w:bookmarkStart w:id="5" w:name="T_accrued_expense_deferred_income"/>
      <w:bookmarkEnd w:id="5"/>
      <w:r>
        <w:rPr>
          <w:rFonts w:cs="Arial"/>
          <w:b/>
          <w:bCs/>
          <w:iCs/>
          <w:szCs w:val="28"/>
          <w:lang w:eastAsia="sk-SK"/>
        </w:rPr>
      </w:r>
    </w:p>
    <w:p>
      <w:pPr>
        <w:pStyle w:val="style2"/>
        <w:pageBreakBefore/>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sectPr>
      <w:headerReference r:id="rId2" w:type="default"/>
      <w:footerReference r:id="rId3" w:type="default"/>
      <w:type w:val="nextPage"/>
      <w:pgSz w:h="16838" w:w="11906"/>
      <w:pgMar w:bottom="992" w:footer="680" w:gutter="0" w:header="567" w:left="1418" w:right="1418" w:top="1418"/>
      <w:pgNumType w:fmt="decimal"/>
      <w:formProt w:val="false"/>
      <w:textDirection w:val="lrTb"/>
      <w:docGrid w:charSpace="99532" w:linePitch="656"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Verdana">
    <w:charset w:val="ee"/>
    <w:family w:val="roman"/>
    <w:pitch w:val="variable"/>
  </w:font>
  <w:font w:name="Arial">
    <w:charset w:val="ee"/>
    <w:family w:val="swiss"/>
    <w:pitch w:val="variable"/>
  </w:font>
  <w:font w:name="Tahoma">
    <w:charset w:val="ee"/>
    <w:family w:val="roman"/>
    <w:pitch w:val="variable"/>
  </w:font>
  <w:font w:name="Times New Roman Bold">
    <w:charset w:val="ee"/>
    <w:family w:val="roman"/>
    <w:pitch w:val="variable"/>
  </w:font>
  <w:font w:name="Calibri">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p>
    <w:pPr>
      <w:pStyle w:val="style53"/>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2">
    <w:lvl w:ilvl="0">
      <w:start w:val="1"/>
      <w:numFmt w:val="bullet"/>
      <w:lvlText w:val=""/>
      <w:lvlJc w:val="left"/>
      <w:pPr>
        <w:tabs>
          <w:tab w:pos="720" w:val="num"/>
        </w:tabs>
        <w:ind w:hanging="360" w:left="720"/>
      </w:pPr>
      <w:rPr>
        <w:rFonts w:ascii="Symbol" w:cs="Symbol" w:hAnsi="Symbol" w:hint="default"/>
        <w:color w:val="00000A"/>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3">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settings>
</file>

<file path=word/styles.xml><?xml version="1.0" encoding="utf-8"?>
<w:styles xmlns:w="http://schemas.openxmlformats.org/wordprocessingml/2006/main">
  <w:style w:styleId="style0" w:type="paragraph">
    <w:name w:val="Normal"/>
    <w:next w:val="style0"/>
    <w:pPr>
      <w:widowControl/>
      <w:suppressAutoHyphens w:val="true"/>
      <w:jc w:val="both"/>
    </w:pPr>
    <w:rPr>
      <w:rFonts w:ascii="Verdana" w:cs="Times New Roman" w:eastAsia="Times New Roman" w:hAnsi="Verdana"/>
      <w:color w:val="00000A"/>
      <w:sz w:val="17"/>
      <w:szCs w:val="20"/>
      <w:lang w:bidi="ar-SA" w:eastAsia="en-US" w:val="sk-SK"/>
    </w:rPr>
  </w:style>
  <w:style w:styleId="style1" w:type="paragraph">
    <w:name w:val="Nadpis 1"/>
    <w:basedOn w:val="style0"/>
    <w:next w:val="style1"/>
    <w:pPr>
      <w:keepNext/>
    </w:pPr>
    <w:rPr>
      <w:rFonts w:cs="Arial"/>
      <w:b/>
      <w:bCs/>
      <w:caps/>
      <w:sz w:val="18"/>
      <w:szCs w:val="32"/>
      <w:u w:val="single"/>
    </w:rPr>
  </w:style>
  <w:style w:styleId="style2" w:type="paragraph">
    <w:name w:val="Nadpis 2"/>
    <w:basedOn w:val="style0"/>
    <w:next w:val="style2"/>
    <w:pPr>
      <w:keepNext/>
    </w:pPr>
    <w:rPr>
      <w:rFonts w:cs="Arial"/>
      <w:b/>
      <w:bCs/>
      <w:iCs/>
      <w:szCs w:val="28"/>
    </w:rPr>
  </w:style>
  <w:style w:styleId="style3" w:type="paragraph">
    <w:name w:val="Nadpis 3"/>
    <w:basedOn w:val="style0"/>
    <w:next w:val="style3"/>
    <w:pPr>
      <w:keepNext/>
    </w:pPr>
    <w:rPr>
      <w:rFonts w:cs="Arial"/>
      <w:bCs/>
      <w:szCs w:val="26"/>
      <w:u w:val="single"/>
    </w:rPr>
  </w:style>
  <w:style w:styleId="style4" w:type="paragraph">
    <w:name w:val="Nadpis 4"/>
    <w:basedOn w:val="style0"/>
    <w:next w:val="style4"/>
    <w:pPr>
      <w:keepNext/>
    </w:pPr>
    <w:rPr>
      <w:bCs/>
      <w:i/>
      <w:szCs w:val="28"/>
    </w:rPr>
  </w:style>
  <w:style w:styleId="style5" w:type="paragraph">
    <w:name w:val="Nadpis 5"/>
    <w:basedOn w:val="style0"/>
    <w:next w:val="style5"/>
    <w:pPr>
      <w:spacing w:after="60" w:before="240"/>
      <w:contextualSpacing w:val="false"/>
    </w:pPr>
    <w:rPr>
      <w:b/>
      <w:bCs/>
      <w:i/>
      <w:iCs/>
      <w:szCs w:val="26"/>
    </w:rPr>
  </w:style>
  <w:style w:styleId="style6" w:type="paragraph">
    <w:name w:val="Nadpis 6"/>
    <w:basedOn w:val="style0"/>
    <w:next w:val="style6"/>
    <w:pPr>
      <w:spacing w:after="60" w:before="240"/>
      <w:contextualSpacing w:val="false"/>
    </w:pPr>
    <w:rPr>
      <w:b/>
      <w:bCs/>
      <w:szCs w:val="22"/>
    </w:rPr>
  </w:style>
  <w:style w:styleId="style7" w:type="paragraph">
    <w:name w:val="Nadpis 7"/>
    <w:basedOn w:val="style0"/>
    <w:next w:val="style7"/>
    <w:pPr>
      <w:spacing w:after="60" w:before="240"/>
      <w:contextualSpacing w:val="false"/>
    </w:pPr>
    <w:rPr>
      <w:szCs w:val="24"/>
    </w:rPr>
  </w:style>
  <w:style w:styleId="style8" w:type="paragraph">
    <w:name w:val="Nadpis 8"/>
    <w:basedOn w:val="style0"/>
    <w:next w:val="style8"/>
    <w:pPr>
      <w:spacing w:after="60" w:before="240"/>
      <w:contextualSpacing w:val="false"/>
    </w:pPr>
    <w:rPr>
      <w:i/>
      <w:iCs/>
      <w:szCs w:val="24"/>
    </w:rPr>
  </w:style>
  <w:style w:styleId="style9" w:type="paragraph">
    <w:name w:val="Nadpis 9"/>
    <w:basedOn w:val="style0"/>
    <w:next w:val="style9"/>
    <w:pPr>
      <w:spacing w:after="60" w:before="240"/>
      <w:contextualSpacing w:val="false"/>
    </w:pPr>
    <w:rPr>
      <w:rFonts w:cs="Arial"/>
      <w:szCs w:val="22"/>
    </w:rPr>
  </w:style>
  <w:style w:styleId="style15" w:type="character">
    <w:name w:val="Default Paragraph Font"/>
    <w:next w:val="style15"/>
    <w:rPr/>
  </w:style>
  <w:style w:styleId="style16" w:type="character">
    <w:name w:val="page number"/>
    <w:basedOn w:val="style15"/>
    <w:next w:val="style16"/>
    <w:rPr/>
  </w:style>
  <w:style w:styleId="style17" w:type="character">
    <w:name w:val="annotation reference"/>
    <w:next w:val="style17"/>
    <w:rPr>
      <w:sz w:val="16"/>
      <w:szCs w:val="16"/>
    </w:rPr>
  </w:style>
  <w:style w:styleId="style18" w:type="character">
    <w:name w:val="Header Char"/>
    <w:basedOn w:val="style15"/>
    <w:next w:val="style18"/>
    <w:rPr>
      <w:rFonts w:ascii="Verdana" w:hAnsi="Verdana"/>
      <w:b/>
      <w:sz w:val="17"/>
      <w:lang w:eastAsia="en-US"/>
    </w:rPr>
  </w:style>
  <w:style w:styleId="style19" w:type="character">
    <w:name w:val="Heading 2 Char"/>
    <w:basedOn w:val="style15"/>
    <w:next w:val="style19"/>
    <w:rPr>
      <w:rFonts w:ascii="Verdana" w:cs="Arial" w:hAnsi="Verdana"/>
      <w:b/>
      <w:bCs/>
      <w:iCs/>
      <w:sz w:val="17"/>
      <w:szCs w:val="28"/>
      <w:lang w:eastAsia="en-US"/>
    </w:rPr>
  </w:style>
  <w:style w:styleId="style20" w:type="character">
    <w:name w:val="Footer Char"/>
    <w:basedOn w:val="style15"/>
    <w:next w:val="style20"/>
    <w:rPr>
      <w:rFonts w:ascii="Verdana" w:hAnsi="Verdana"/>
      <w:sz w:val="17"/>
      <w:lang w:eastAsia="en-US"/>
    </w:rPr>
  </w:style>
  <w:style w:styleId="style21" w:type="character">
    <w:name w:val="ListLabel 1"/>
    <w:next w:val="style21"/>
    <w:rPr>
      <w:rFonts w:cs="Courier New"/>
    </w:rPr>
  </w:style>
  <w:style w:styleId="style22" w:type="character">
    <w:name w:val="ListLabel 2"/>
    <w:next w:val="style22"/>
    <w:rPr>
      <w:color w:val="00000A"/>
    </w:rPr>
  </w:style>
  <w:style w:styleId="style23" w:type="character">
    <w:name w:val="ListLabel 3"/>
    <w:next w:val="style23"/>
    <w:rPr>
      <w:rFonts w:cs="Times New Roman" w:eastAsia="Times New Roman"/>
    </w:rPr>
  </w:style>
  <w:style w:styleId="style24" w:type="character">
    <w:name w:val="ListLabel 4"/>
    <w:next w:val="style24"/>
    <w:rPr>
      <w:rFonts w:cs="Symbol"/>
      <w:color w:val="00000A"/>
    </w:rPr>
  </w:style>
  <w:style w:styleId="style25" w:type="character">
    <w:name w:val="ListLabel 5"/>
    <w:next w:val="style25"/>
    <w:rPr>
      <w:rFonts w:cs="Courier New"/>
    </w:rPr>
  </w:style>
  <w:style w:styleId="style26" w:type="character">
    <w:name w:val="ListLabel 6"/>
    <w:next w:val="style26"/>
    <w:rPr>
      <w:rFonts w:cs="Wingdings"/>
    </w:rPr>
  </w:style>
  <w:style w:styleId="style27" w:type="character">
    <w:name w:val="ListLabel 7"/>
    <w:next w:val="style27"/>
    <w:rPr>
      <w:rFonts w:cs="Symbol"/>
    </w:rPr>
  </w:style>
  <w:style w:styleId="style28" w:type="character">
    <w:name w:val="ListLabel 8"/>
    <w:next w:val="style28"/>
    <w:rPr>
      <w:rFonts w:cs="Symbol"/>
      <w:color w:val="00000A"/>
    </w:rPr>
  </w:style>
  <w:style w:styleId="style29" w:type="character">
    <w:name w:val="ListLabel 9"/>
    <w:next w:val="style29"/>
    <w:rPr>
      <w:rFonts w:cs="Courier New"/>
    </w:rPr>
  </w:style>
  <w:style w:styleId="style30" w:type="character">
    <w:name w:val="ListLabel 10"/>
    <w:next w:val="style30"/>
    <w:rPr>
      <w:rFonts w:cs="Wingdings"/>
    </w:rPr>
  </w:style>
  <w:style w:styleId="style31" w:type="character">
    <w:name w:val="ListLabel 11"/>
    <w:next w:val="style31"/>
    <w:rPr>
      <w:rFonts w:cs="Symbol"/>
    </w:rPr>
  </w:style>
  <w:style w:styleId="style32" w:type="character">
    <w:name w:val="ListLabel 12"/>
    <w:next w:val="style32"/>
    <w:rPr>
      <w:rFonts w:cs="Symbol"/>
      <w:color w:val="00000A"/>
    </w:rPr>
  </w:style>
  <w:style w:styleId="style33" w:type="character">
    <w:name w:val="ListLabel 13"/>
    <w:next w:val="style33"/>
    <w:rPr>
      <w:rFonts w:cs="Courier New"/>
    </w:rPr>
  </w:style>
  <w:style w:styleId="style34" w:type="character">
    <w:name w:val="ListLabel 14"/>
    <w:next w:val="style34"/>
    <w:rPr>
      <w:rFonts w:cs="Wingdings"/>
    </w:rPr>
  </w:style>
  <w:style w:styleId="style35" w:type="character">
    <w:name w:val="ListLabel 15"/>
    <w:next w:val="style35"/>
    <w:rPr>
      <w:rFonts w:cs="Symbol"/>
    </w:rPr>
  </w:style>
  <w:style w:styleId="style36" w:type="character">
    <w:name w:val="ListLabel 16"/>
    <w:next w:val="style36"/>
    <w:rPr>
      <w:rFonts w:cs="Symbol"/>
      <w:color w:val="00000A"/>
    </w:rPr>
  </w:style>
  <w:style w:styleId="style37" w:type="character">
    <w:name w:val="ListLabel 17"/>
    <w:next w:val="style37"/>
    <w:rPr>
      <w:rFonts w:cs="Courier New"/>
    </w:rPr>
  </w:style>
  <w:style w:styleId="style38" w:type="character">
    <w:name w:val="ListLabel 18"/>
    <w:next w:val="style38"/>
    <w:rPr>
      <w:rFonts w:cs="Wingdings"/>
    </w:rPr>
  </w:style>
  <w:style w:styleId="style39" w:type="character">
    <w:name w:val="ListLabel 19"/>
    <w:next w:val="style39"/>
    <w:rPr>
      <w:rFonts w:cs="Symbol"/>
    </w:rPr>
  </w:style>
  <w:style w:styleId="style40" w:type="character">
    <w:name w:val="ListLabel 20"/>
    <w:next w:val="style40"/>
    <w:rPr>
      <w:rFonts w:cs="Symbol"/>
      <w:color w:val="00000A"/>
    </w:rPr>
  </w:style>
  <w:style w:styleId="style41" w:type="character">
    <w:name w:val="ListLabel 21"/>
    <w:next w:val="style41"/>
    <w:rPr>
      <w:rFonts w:cs="Courier New"/>
    </w:rPr>
  </w:style>
  <w:style w:styleId="style42" w:type="character">
    <w:name w:val="ListLabel 22"/>
    <w:next w:val="style42"/>
    <w:rPr>
      <w:rFonts w:cs="Wingdings"/>
    </w:rPr>
  </w:style>
  <w:style w:styleId="style43" w:type="character">
    <w:name w:val="ListLabel 23"/>
    <w:next w:val="style43"/>
    <w:rPr>
      <w:rFonts w:cs="Symbol"/>
    </w:rPr>
  </w:style>
  <w:style w:styleId="style44" w:type="character">
    <w:name w:val="ListLabel 24"/>
    <w:next w:val="style44"/>
    <w:rPr>
      <w:rFonts w:cs="Symbol"/>
      <w:color w:val="00000A"/>
    </w:rPr>
  </w:style>
  <w:style w:styleId="style45" w:type="character">
    <w:name w:val="ListLabel 25"/>
    <w:next w:val="style45"/>
    <w:rPr>
      <w:rFonts w:cs="Courier New"/>
    </w:rPr>
  </w:style>
  <w:style w:styleId="style46" w:type="character">
    <w:name w:val="ListLabel 26"/>
    <w:next w:val="style46"/>
    <w:rPr>
      <w:rFonts w:cs="Wingdings"/>
    </w:rPr>
  </w:style>
  <w:style w:styleId="style47" w:type="character">
    <w:name w:val="ListLabel 27"/>
    <w:next w:val="style47"/>
    <w:rPr>
      <w:rFonts w:cs="Symbol"/>
    </w:rPr>
  </w:style>
  <w:style w:styleId="style48" w:type="paragraph">
    <w:name w:val="Nadpis"/>
    <w:basedOn w:val="style0"/>
    <w:next w:val="style49"/>
    <w:pPr>
      <w:keepNext/>
      <w:spacing w:after="120" w:before="240"/>
      <w:contextualSpacing w:val="false"/>
    </w:pPr>
    <w:rPr>
      <w:rFonts w:ascii="Arial" w:cs="Mangal" w:eastAsia="Microsoft YaHei" w:hAnsi="Arial"/>
      <w:sz w:val="28"/>
      <w:szCs w:val="28"/>
    </w:rPr>
  </w:style>
  <w:style w:styleId="style49" w:type="paragraph">
    <w:name w:val="Telo textu"/>
    <w:basedOn w:val="style0"/>
    <w:next w:val="style49"/>
    <w:pPr>
      <w:spacing w:after="120" w:before="0"/>
      <w:contextualSpacing w:val="false"/>
    </w:pPr>
    <w:rPr>
      <w:sz w:val="24"/>
      <w:lang w:eastAsia="sk-SK" w:val="cs-CZ"/>
    </w:rPr>
  </w:style>
  <w:style w:styleId="style50" w:type="paragraph">
    <w:name w:val="Zoznam"/>
    <w:basedOn w:val="style49"/>
    <w:next w:val="style50"/>
    <w:pPr/>
    <w:rPr>
      <w:rFonts w:cs="Mangal"/>
    </w:rPr>
  </w:style>
  <w:style w:styleId="style51" w:type="paragraph">
    <w:name w:val="Popis"/>
    <w:basedOn w:val="style0"/>
    <w:next w:val="style51"/>
    <w:pPr>
      <w:suppressLineNumbers/>
      <w:spacing w:after="120" w:before="120"/>
      <w:contextualSpacing w:val="false"/>
    </w:pPr>
    <w:rPr>
      <w:rFonts w:cs="Mangal"/>
      <w:i/>
      <w:iCs/>
      <w:sz w:val="24"/>
      <w:szCs w:val="24"/>
    </w:rPr>
  </w:style>
  <w:style w:styleId="style52" w:type="paragraph">
    <w:name w:val="Index"/>
    <w:basedOn w:val="style0"/>
    <w:next w:val="style52"/>
    <w:pPr>
      <w:suppressLineNumbers/>
    </w:pPr>
    <w:rPr>
      <w:rFonts w:cs="Mangal"/>
    </w:rPr>
  </w:style>
  <w:style w:styleId="style53" w:type="paragraph">
    <w:name w:val="Hlavička"/>
    <w:basedOn w:val="style0"/>
    <w:next w:val="style53"/>
    <w:pPr>
      <w:tabs>
        <w:tab w:leader="none" w:pos="4536" w:val="center"/>
        <w:tab w:leader="none" w:pos="9072" w:val="right"/>
      </w:tabs>
    </w:pPr>
    <w:rPr>
      <w:b/>
    </w:rPr>
  </w:style>
  <w:style w:styleId="style54" w:type="paragraph">
    <w:name w:val="Päta"/>
    <w:basedOn w:val="style0"/>
    <w:next w:val="style54"/>
    <w:pPr>
      <w:tabs>
        <w:tab w:leader="none" w:pos="4703" w:val="center"/>
        <w:tab w:leader="none" w:pos="9406" w:val="right"/>
      </w:tabs>
    </w:pPr>
    <w:rPr/>
  </w:style>
  <w:style w:styleId="style55" w:type="paragraph">
    <w:name w:val="Balloon Text"/>
    <w:basedOn w:val="style0"/>
    <w:next w:val="style55"/>
    <w:pPr/>
    <w:rPr>
      <w:rFonts w:ascii="Tahoma" w:cs="Tahoma" w:hAnsi="Tahoma"/>
      <w:sz w:val="16"/>
      <w:szCs w:val="16"/>
    </w:rPr>
  </w:style>
  <w:style w:styleId="style56" w:type="paragraph">
    <w:name w:val="annotation text"/>
    <w:basedOn w:val="style0"/>
    <w:next w:val="style56"/>
    <w:pPr/>
    <w:rPr>
      <w:sz w:val="20"/>
    </w:rPr>
  </w:style>
  <w:style w:styleId="style57" w:type="paragraph">
    <w:name w:val="annotation subject"/>
    <w:basedOn w:val="style56"/>
    <w:next w:val="style57"/>
    <w:pPr/>
    <w:rPr>
      <w:b/>
      <w:bCs/>
    </w:rPr>
  </w:style>
  <w:style w:styleId="style58" w:type="paragraph">
    <w:name w:val="table header"/>
    <w:basedOn w:val="style0"/>
    <w:next w:val="style58"/>
    <w:pPr>
      <w:jc w:val="center"/>
    </w:pPr>
    <w:rPr>
      <w:rFonts w:ascii="Times New Roman Bold" w:hAnsi="Times New Roman Bold"/>
      <w:b/>
      <w:i/>
      <w:sz w:val="20"/>
      <w:lang w:eastAsia="sk-SK"/>
    </w:rPr>
  </w:style>
  <w:style w:styleId="style59" w:type="paragraph">
    <w:name w:val="Revision"/>
    <w:next w:val="style59"/>
    <w:pPr>
      <w:widowControl/>
      <w:suppressAutoHyphens w:val="true"/>
    </w:pPr>
    <w:rPr>
      <w:rFonts w:ascii="Verdana" w:cs="Times New Roman" w:eastAsia="Times New Roman" w:hAnsi="Verdana"/>
      <w:color w:val="00000A"/>
      <w:sz w:val="17"/>
      <w:szCs w:val="20"/>
      <w:lang w:bidi="ar-SA" w:eastAsia="en-US" w:val="sk-SK"/>
    </w:rPr>
  </w:style>
  <w:style w:styleId="style60" w:type="paragraph">
    <w:name w:val="List Paragraph"/>
    <w:basedOn w:val="style0"/>
    <w:next w:val="style60"/>
    <w:pPr>
      <w:ind w:hanging="0" w:left="708" w:right="0"/>
    </w:pPr>
    <w:rPr/>
  </w:style>
  <w:style w:styleId="style61" w:type="paragraph">
    <w:name w:val="Citácie"/>
    <w:basedOn w:val="style0"/>
    <w:next w:val="style61"/>
    <w:pPr/>
    <w:rPr/>
  </w:style>
  <w:style w:styleId="style62" w:type="paragraph">
    <w:name w:val="Názov"/>
    <w:basedOn w:val="style48"/>
    <w:next w:val="style62"/>
    <w:pPr/>
    <w:rPr/>
  </w:style>
  <w:style w:styleId="style63" w:type="paragraph">
    <w:name w:val="Podnázov"/>
    <w:basedOn w:val="style48"/>
    <w:next w:val="style63"/>
    <w:pPr/>
    <w:rPr/>
  </w:style>
  <w:style w:styleId="style64" w:type="paragraph">
    <w:name w:val="Obsah tabuľky"/>
    <w:basedOn w:val="style0"/>
    <w:next w:val="style64"/>
    <w:pPr/>
    <w:rPr/>
  </w:style>
  <w:style w:styleId="style65" w:type="paragraph">
    <w:name w:val="Nadpis tabuľky"/>
    <w:basedOn w:val="style64"/>
    <w:next w:val="style65"/>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17</TotalTime>
  <Application>LibreOffice/4.1.1.2$Windows_x86 LibreOffice_project/7e4286b58adc75a14f6d83f53a03b6c11fa2903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2015-12-14T14:56:00Z</dcterms:created>
  <dc:creator>Alena Durkova</dc:creator>
  <cp:lastModifiedBy>Ondrackova, Jana (SK - Bratislava)</cp:lastModifiedBy>
  <cp:lastPrinted>2017-03-17T14:38:02Z</cp:lastPrinted>
  <dcterms:modified xsi:type="dcterms:W3CDTF">2016-01-20T15:48:00Z</dcterms:modified>
  <cp:revision>13</cp:revision>
  <dc:title>Návod na použitie:</dc:title>
</cp:coreProperties>
</file>