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00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033"/>
        <w:gridCol w:w="2635"/>
        <w:gridCol w:w="336"/>
        <w:gridCol w:w="339"/>
        <w:gridCol w:w="339"/>
        <w:gridCol w:w="339"/>
        <w:gridCol w:w="339"/>
        <w:gridCol w:w="339"/>
        <w:gridCol w:w="339"/>
        <w:gridCol w:w="338"/>
        <w:gridCol w:w="566"/>
        <w:gridCol w:w="338"/>
        <w:gridCol w:w="338"/>
        <w:gridCol w:w="337"/>
        <w:gridCol w:w="345"/>
      </w:tblGrid>
      <w:tr>
        <w:trPr/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left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left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20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Všeobecné údaje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zakladateľovi alebo zriaďovateľovi účtovnej jednotky:</w:t>
      </w:r>
    </w:p>
    <w:tbl>
      <w:tblPr>
        <w:tblW w:w="9834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866"/>
        <w:gridCol w:w="6967"/>
      </w:tblGrid>
      <w:tr>
        <w:trPr>
          <w:trHeight w:val="284" w:hRule="atLeast"/>
        </w:trPr>
        <w:tc>
          <w:tcPr>
            <w:tcW w:w="2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>
        <w:trPr>
          <w:trHeight w:val="284" w:hRule="atLeast"/>
        </w:trPr>
        <w:tc>
          <w:tcPr>
            <w:tcW w:w="28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Ing. Mária Smolárová</w:t>
            </w:r>
          </w:p>
        </w:tc>
      </w:tr>
      <w:tr>
        <w:trPr>
          <w:trHeight w:val="284" w:hRule="atLeast"/>
        </w:trPr>
        <w:tc>
          <w:tcPr>
            <w:tcW w:w="28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16"/>
                <w:szCs w:val="16"/>
              </w:rPr>
              <w:t>Kutlíkova 15,  851 02 Bratislava</w:t>
            </w:r>
          </w:p>
        </w:tc>
      </w:tr>
      <w:tr>
        <w:trPr>
          <w:trHeight w:val="284" w:hRule="atLeast"/>
        </w:trPr>
        <w:tc>
          <w:tcPr>
            <w:tcW w:w="28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178" w:hRule="atLeast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Dátum</w:t>
            </w:r>
            <w:r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20. 3. 2015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2834"/>
        <w:gridCol w:w="6967"/>
      </w:tblGrid>
      <w:tr>
        <w:trPr>
          <w:trHeight w:val="284" w:hRule="atLeast"/>
        </w:trPr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Štatutárne orgány: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Stanislav Hodek - riaditeľ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Ing. Vladimír Horváth,  predseda správnej rady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Ing. Dagmar Svrbická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Jana Hodeková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Ing. Milena Makovická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Valéria Janočková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Mgr. Vladimíra Porgesová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Ondrej Smolár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Dozorný orgán: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Ivan Kočan, predseda dozornej rady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Soňa Böhmová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Iveta Horváthová</w:t>
            </w:r>
          </w:p>
        </w:tc>
      </w:tr>
      <w:tr>
        <w:trPr>
          <w:trHeight w:val="28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Hodek</w:t>
            </w:r>
          </w:p>
        </w:tc>
      </w:tr>
      <w:tr>
        <w:trPr>
          <w:trHeight w:val="28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Mária Smolárová</w:t>
            </w:r>
          </w:p>
        </w:tc>
      </w:tr>
      <w:tr>
        <w:trPr>
          <w:trHeight w:val="28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Opis činnosti, na účel ktorej bola účtovná jednotka zriadená a opis druhu podnikateľskej činnosti, ak ju účtovná jednotka vykonáva.</w:t>
      </w:r>
    </w:p>
    <w:tbl>
      <w:tblPr>
        <w:tblW w:w="9802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2834"/>
        <w:gridCol w:w="6967"/>
      </w:tblGrid>
      <w:tr>
        <w:trPr>
          <w:trHeight w:val="284" w:hRule="atLeast"/>
        </w:trPr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Hlavná činnosť: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Všeobecne prospešné služby: Tvorba, rozvoj, ochrana, obnova a prezentácia duchovných a kultúrnych hodnôt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Tvorba, rozvoj, ochrana, obnova a prezentácia duchovných a kultúrnych hodnôt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Poskytovanie sociálnej pomoci a humanitárnej starostlivosti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Poskytovanie zdravotnej starostlivosti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Domov sociálnych služieb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Špecializované zariadenie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Denný stacionár</w:t>
            </w:r>
          </w:p>
        </w:tc>
      </w:tr>
      <w:tr>
        <w:trPr>
          <w:trHeight w:val="284" w:hRule="atLeast"/>
        </w:trPr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Podnikateľská činnosť: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Priemerný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tbl>
      <w:tblPr>
        <w:tblW w:w="4700" w:type="pct"/>
        <w:jc w:val="left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690"/>
        <w:gridCol w:w="2208"/>
        <w:gridCol w:w="2481"/>
      </w:tblGrid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/>
            </w:pPr>
            <w:r>
              <w:rPr>
                <w:sz w:val="16"/>
                <w:szCs w:val="16"/>
              </w:rPr>
              <w:t>Stav pracovníkov k 31.12.2018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66</w:t>
            </w:r>
          </w:p>
        </w:tc>
      </w:tr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56</w:t>
            </w:r>
          </w:p>
        </w:tc>
      </w:tr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 o organizáciách v zriaďovateľskej pôsobnosti účtovnej jednotky.</w:t>
      </w:r>
    </w:p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</w:rPr>
        <w:t>Nezisková organizácia nemá vo svojej zriaďovateľskej pôsobnosti žiadne organizácie.</w:t>
      </w:r>
    </w:p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Údaje podľa čl. I, III a IV  sa uvádzajú v textovej podobe a tabuľkovej podobe. </w:t>
      </w:r>
    </w:p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20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Informácie o účtovných zásadách a účtovných metódach</w:t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Informácia, či je účtovná závierka zostavená za splnenia predpokladu, že účtovná jednotka bude nepretržite pokračovať vo svojej činnosti.</w:t>
      </w:r>
    </w:p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  <w:bdr w:val="single" w:sz="4" w:space="0" w:color="00000A"/>
        </w:rPr>
        <w:t>ÁNO</w:t>
        <w:tab/>
      </w:r>
      <w:r>
        <w:rPr>
          <w:sz w:val="18"/>
          <w:szCs w:val="18"/>
        </w:rPr>
        <w:tab/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tbl>
      <w:tblPr>
        <w:tblW w:w="4750" w:type="pct"/>
        <w:jc w:val="left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791"/>
        <w:gridCol w:w="3344"/>
        <w:gridCol w:w="3344"/>
      </w:tblGrid>
      <w:tr>
        <w:trPr>
          <w:trHeight w:val="284" w:hRule="atLeast"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>
        <w:trPr>
          <w:trHeight w:val="284" w:hRule="atLeast"/>
        </w:trPr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Nenastali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Spôsob oceňovania jednotlivých položiek majetku a záväzkov v členení na</w:t>
      </w:r>
    </w:p>
    <w:tbl>
      <w:tblPr>
        <w:tblW w:w="9802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6294"/>
        <w:gridCol w:w="3507"/>
      </w:tblGrid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Majetok a záväzky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Spôsob oceňovania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vytvorené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obstarané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deriváty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>
        <w:trPr>
          <w:trHeight w:val="284" w:hRule="atLeast"/>
        </w:trPr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tbl>
      <w:tblPr>
        <w:tblW w:w="4800" w:type="pct"/>
        <w:jc w:val="left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359"/>
        <w:gridCol w:w="1973"/>
        <w:gridCol w:w="2372"/>
        <w:gridCol w:w="2873"/>
      </w:tblGrid>
      <w:tr>
        <w:trPr>
          <w:trHeight w:val="284" w:hRule="atLeast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Odpisová metóda</w:t>
            </w:r>
          </w:p>
        </w:tc>
      </w:tr>
      <w:tr>
        <w:trPr>
          <w:trHeight w:val="284" w:hRule="atLeast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Samostatné hnuteľné veci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1/6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Rovnomerne</w:t>
            </w:r>
          </w:p>
        </w:tc>
      </w:tr>
      <w:tr>
        <w:trPr>
          <w:trHeight w:val="284" w:hRule="atLeast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Drobný dlhodobý hmotný majetok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1/2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Rovnomerne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Zásady pre zohľadnenie zníženia hodnoty majetku – účtovná jednotka uplatňuje: </w:t>
      </w:r>
    </w:p>
    <w:tbl>
      <w:tblPr>
        <w:tblW w:w="9781" w:type="dxa"/>
        <w:jc w:val="left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365"/>
        <w:gridCol w:w="5415"/>
      </w:tblGrid>
      <w:tr>
        <w:trPr>
          <w:trHeight w:val="284" w:hRule="atLeast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Rezervy</w:t>
            </w:r>
          </w:p>
        </w:tc>
      </w:tr>
      <w:tr>
        <w:trPr>
          <w:trHeight w:val="284" w:hRule="atLeast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</w:tr>
    </w:tbl>
    <w:p>
      <w:pPr>
        <w:pStyle w:val="Normal"/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Informácie, ktoré dopĺňajú a vysvetľujú údaje v súvahe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dlhodobom nehmotnom majetku a dlhodobom hmotnom majetku za bežné účtovné obdobie: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  o stave a pohybe dlhodobého nehmotného majetku a dlhodobého hmotného majetku: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1</w:t>
      </w:r>
    </w:p>
    <w:tbl>
      <w:tblPr>
        <w:tblW w:w="5000" w:type="pct"/>
        <w:jc w:val="left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a0"/>
      </w:tblPr>
      <w:tblGrid>
        <w:gridCol w:w="2289"/>
        <w:gridCol w:w="1115"/>
        <w:gridCol w:w="1040"/>
        <w:gridCol w:w="1090"/>
        <w:gridCol w:w="1069"/>
        <w:gridCol w:w="1231"/>
        <w:gridCol w:w="1125"/>
        <w:gridCol w:w="1017"/>
      </w:tblGrid>
      <w:tr>
        <w:trPr>
          <w:trHeight w:val="1224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>
        <w:trPr>
          <w:trHeight w:val="612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Prvotné ocenenie</w:t>
            </w:r>
            <w:r>
              <w:rPr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 xml:space="preserve">Oprávky – </w:t>
            </w:r>
            <w:r>
              <w:rPr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612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Opravné položky</w:t>
            </w:r>
            <w:r>
              <w:rPr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8" w:hRule="atLeast"/>
        </w:trPr>
        <w:tc>
          <w:tcPr>
            <w:tcW w:w="99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Zostatková hodnota</w:t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408" w:hRule="atLeast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2</w:t>
      </w:r>
    </w:p>
    <w:tbl>
      <w:tblPr>
        <w:tblW w:w="10445" w:type="dxa"/>
        <w:jc w:val="left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a0"/>
      </w:tblPr>
      <w:tblGrid>
        <w:gridCol w:w="1488"/>
        <w:gridCol w:w="709"/>
        <w:gridCol w:w="850"/>
        <w:gridCol w:w="854"/>
        <w:gridCol w:w="850"/>
        <w:gridCol w:w="992"/>
        <w:gridCol w:w="709"/>
        <w:gridCol w:w="854"/>
        <w:gridCol w:w="850"/>
        <w:gridCol w:w="709"/>
        <w:gridCol w:w="142"/>
        <w:gridCol w:w="565"/>
        <w:gridCol w:w="2"/>
        <w:gridCol w:w="870"/>
      </w:tblGrid>
      <w:tr>
        <w:trPr>
          <w:trHeight w:val="1020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Samost. hnuteľné veci a súbory hnut. vecí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Dopravné prostriedky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Pestova-teľské celky trvalých porastov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Obst.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dlhodob. hmot. majetku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Poskyt predd. na dlho-dobý hmotný majetok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Prvotné ocenenie</w:t>
            </w:r>
            <w:r>
              <w:rPr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11610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47245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58855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15633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6509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22142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44284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22142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22142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27243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53754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80997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 xml:space="preserve">Oprávky – </w:t>
            </w:r>
            <w:r>
              <w:rPr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1855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22208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24063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2985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19738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22723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4840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41946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46786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Opravné položky</w:t>
            </w:r>
            <w:r>
              <w:rPr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044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Zostatková hodnota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9755 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25037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34792</w:t>
            </w:r>
          </w:p>
        </w:tc>
      </w:tr>
      <w:tr>
        <w:trPr>
          <w:trHeight w:val="40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22403 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11808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  <w:lang w:eastAsia="sk-SK"/>
              </w:rPr>
              <w:t>34211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sz w:val="22"/>
                <w:szCs w:val="22"/>
                <w:lang w:eastAsia="sk-SK"/>
              </w:rPr>
            </w:r>
          </w:p>
        </w:tc>
      </w:tr>
    </w:tbl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dlhodobého majetku, na ktorý je zriadené záložné právo a dlhodobého majetku, pri ktorom má účtovná jednotka obmedzené právo s ním nakladať:</w:t>
      </w:r>
    </w:p>
    <w:tbl>
      <w:tblPr>
        <w:tblW w:w="10300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035"/>
        <w:gridCol w:w="4264"/>
      </w:tblGrid>
      <w:tr>
        <w:trPr>
          <w:trHeight w:val="284" w:hRule="atLeast"/>
        </w:trPr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Prehľad dlhodobého majetku</w:t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majetku</w:t>
            </w:r>
          </w:p>
        </w:tc>
      </w:tr>
      <w:tr>
        <w:trPr>
          <w:trHeight w:val="284" w:hRule="atLeast"/>
        </w:trPr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spôsobe a výške poistenia dlhodobého nehmotného majetku a dlhodobého hmotného majetku.</w:t>
      </w:r>
    </w:p>
    <w:tbl>
      <w:tblPr>
        <w:tblW w:w="10300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342"/>
        <w:gridCol w:w="2978"/>
        <w:gridCol w:w="2980"/>
      </w:tblGrid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Dlhodobý majetok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Poistná suma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poistenia</w:t>
            </w:r>
          </w:p>
        </w:tc>
      </w:tr>
      <w:tr>
        <w:trPr>
          <w:trHeight w:val="284" w:hRule="atLeast"/>
        </w:trPr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Allianz - Slovenská poisťovňa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156 000 €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280,04 €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4  o zmenách jednotlivých položiek dlhodobého finančného majetku:</w:t>
      </w:r>
    </w:p>
    <w:tbl>
      <w:tblPr>
        <w:tblW w:w="5000" w:type="pct"/>
        <w:jc w:val="left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a0"/>
      </w:tblPr>
      <w:tblGrid>
        <w:gridCol w:w="2207"/>
        <w:gridCol w:w="966"/>
        <w:gridCol w:w="1005"/>
        <w:gridCol w:w="966"/>
        <w:gridCol w:w="966"/>
        <w:gridCol w:w="966"/>
        <w:gridCol w:w="967"/>
        <w:gridCol w:w="967"/>
        <w:gridCol w:w="967"/>
      </w:tblGrid>
      <w:tr>
        <w:trPr>
          <w:trHeight w:val="1632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>
        <w:trPr>
          <w:trHeight w:val="288" w:hRule="atLeast"/>
        </w:trPr>
        <w:tc>
          <w:tcPr>
            <w:tcW w:w="99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Prvotné ocenenie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9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Opravné položky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9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Zostatková hodnota 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k čl. III ods. 4  o štruktúre dlhodobého finančného majetku </w:t>
      </w:r>
    </w:p>
    <w:tbl>
      <w:tblPr>
        <w:tblW w:w="5000" w:type="pct"/>
        <w:jc w:val="left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a0"/>
      </w:tblPr>
      <w:tblGrid>
        <w:gridCol w:w="1841"/>
        <w:gridCol w:w="956"/>
        <w:gridCol w:w="1095"/>
        <w:gridCol w:w="1504"/>
        <w:gridCol w:w="1488"/>
        <w:gridCol w:w="2"/>
        <w:gridCol w:w="1520"/>
        <w:gridCol w:w="1571"/>
      </w:tblGrid>
      <w:tr>
        <w:trPr>
          <w:trHeight w:val="922" w:hRule="atLeast"/>
        </w:trPr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3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Účtovná hodnota ku koncu</w:t>
            </w:r>
          </w:p>
        </w:tc>
      </w:tr>
      <w:tr>
        <w:trPr>
          <w:trHeight w:val="694" w:hRule="atLeast"/>
        </w:trPr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8" w:hRule="atLeast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 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 o výške tvorby, zníženia a zúčtovania opravných položiek k dlhodobému finančnému majetku a opis dôvodu ich tvorby, zníženia a zúčtovania.</w:t>
      </w:r>
    </w:p>
    <w:tbl>
      <w:tblPr>
        <w:tblW w:w="10299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599"/>
        <w:gridCol w:w="1361"/>
        <w:gridCol w:w="1362"/>
        <w:gridCol w:w="1358"/>
        <w:gridCol w:w="1366"/>
        <w:gridCol w:w="1366"/>
        <w:gridCol w:w="1886"/>
      </w:tblGrid>
      <w:tr>
        <w:trPr>
          <w:trHeight w:val="284" w:hRule="atLeast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dôvodu ich tvorby, zníženia a zúčtovania</w:t>
            </w:r>
          </w:p>
        </w:tc>
      </w:tr>
      <w:tr>
        <w:trPr>
          <w:trHeight w:val="284" w:hRule="atLeast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6  o položkách krátkodobého finančného majetku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1</w:t>
      </w:r>
    </w:p>
    <w:tbl>
      <w:tblPr>
        <w:tblW w:w="10300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299"/>
        <w:gridCol w:w="3494"/>
        <w:gridCol w:w="3507"/>
      </w:tblGrid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konci 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Pokladnica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1577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556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Ceniny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126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Bežné bankové účty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102628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54178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Peniaze na ceste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104637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54860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2</w:t>
      </w:r>
    </w:p>
    <w:tbl>
      <w:tblPr>
        <w:tblW w:w="10156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242"/>
        <w:gridCol w:w="1731"/>
        <w:gridCol w:w="1725"/>
        <w:gridCol w:w="1722"/>
        <w:gridCol w:w="1736"/>
      </w:tblGrid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18"/>
          <w:szCs w:val="18"/>
        </w:rPr>
      </w:pPr>
      <w:r>
        <w:rPr>
          <w:iCs/>
          <w:sz w:val="18"/>
          <w:szCs w:val="18"/>
        </w:rPr>
        <w:t>Netýka sa</w:t>
      </w:r>
      <w:r>
        <w:rPr>
          <w:i/>
          <w:iCs/>
          <w:sz w:val="18"/>
          <w:szCs w:val="18"/>
        </w:rPr>
        <w:t>.</w:t>
      </w:r>
    </w:p>
    <w:p>
      <w:pPr>
        <w:pStyle w:val="Normal"/>
        <w:spacing w:lineRule="auto" w:line="240" w:before="0" w:after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3</w:t>
      </w:r>
    </w:p>
    <w:tbl>
      <w:tblPr>
        <w:tblW w:w="10301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299"/>
        <w:gridCol w:w="2327"/>
        <w:gridCol w:w="2340"/>
        <w:gridCol w:w="2334"/>
      </w:tblGrid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Zvýšenie/ zníženie hodnoty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 majetok spolu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k čl. III ods. 7  o vývoji opravných položiek k zásobám 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234"/>
        <w:gridCol w:w="1548"/>
        <w:gridCol w:w="1550"/>
        <w:gridCol w:w="1548"/>
        <w:gridCol w:w="1549"/>
        <w:gridCol w:w="1548"/>
      </w:tblGrid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zásob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Zvieratá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Tovar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Zásoby spolu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120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Netýka sa.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Opis významných pohľadávok v nadväznosti na položky súvahy a v členení na pohľadávky za hlavnú činnosť a podnikateľskú činnosť.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992"/>
        <w:gridCol w:w="4989"/>
        <w:gridCol w:w="1997"/>
      </w:tblGrid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Významné pohľadávky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za klientmi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6222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Poskytnuté preddavky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3891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9  o vývoji opravných položiek k pohľadávkam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412"/>
        <w:gridCol w:w="1515"/>
        <w:gridCol w:w="1514"/>
        <w:gridCol w:w="1512"/>
        <w:gridCol w:w="1515"/>
        <w:gridCol w:w="1509"/>
      </w:tblGrid>
      <w:tr>
        <w:trPr>
          <w:trHeight w:val="608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pohľadávok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pohľadávky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pohľadávky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 pohľadávok do lehoty splatnosti a po lehote splatnosti.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991"/>
        <w:gridCol w:w="2992"/>
        <w:gridCol w:w="2995"/>
      </w:tblGrid>
      <w:tr>
        <w:trPr>
          <w:trHeight w:val="284" w:hRule="atLeast"/>
        </w:trPr>
        <w:tc>
          <w:tcPr>
            <w:tcW w:w="3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3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32327,12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7742,19</w:t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32327,12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7742,19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významných položiek časového rozlíšenia nákladov budúcich období a príjmov budúcich období.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992"/>
        <w:gridCol w:w="4989"/>
        <w:gridCol w:w="1997"/>
      </w:tblGrid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časové rozlíšenie nákladov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Doména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198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časové rozlíšenie nákladov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Poistenie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706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príjmy budúcich období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Opis a výška zmien vlastných zdrojov krytia neobežného majetku a obežného majetku podľa položiek súvahy za bežné účtovné obdobie, a to </w:t>
      </w:r>
    </w:p>
    <w:p>
      <w:pPr>
        <w:pStyle w:val="Normal"/>
        <w:numPr>
          <w:ilvl w:val="0"/>
          <w:numId w:val="8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>
      <w:pPr>
        <w:pStyle w:val="Normal"/>
        <w:numPr>
          <w:ilvl w:val="0"/>
          <w:numId w:val="8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>
      <w:pPr>
        <w:pStyle w:val="Normal"/>
        <w:spacing w:lineRule="auto" w:line="240" w:before="0" w:after="0"/>
        <w:jc w:val="left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12 o zmenách vlastných zdrojov krytia neobežného majetku a obežného majetku</w:t>
      </w:r>
      <w:r>
        <w:rPr>
          <w:i/>
          <w:iCs/>
          <w:sz w:val="18"/>
          <w:szCs w:val="18"/>
        </w:rPr>
        <w:t xml:space="preserve">    </w:t>
      </w:r>
    </w:p>
    <w:tbl>
      <w:tblPr>
        <w:tblW w:w="445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550"/>
        <w:gridCol w:w="1063"/>
        <w:gridCol w:w="1062"/>
        <w:gridCol w:w="1065"/>
        <w:gridCol w:w="1066"/>
        <w:gridCol w:w="1073"/>
      </w:tblGrid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Prírastky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Úbytky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Presuny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(+, -)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8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</w:rPr>
              <w:t>Imanie a fondy</w:t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Základné imanie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toho: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vklady zakladateľov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prioritný majetok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reprodukcie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8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Fondy zo zisku</w:t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Rezervný fond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Fondy tvorené zo zisku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fondy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-74516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-237355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 xml:space="preserve">-311871 </w:t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-237355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-51846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237355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-51846</w:t>
            </w:r>
          </w:p>
        </w:tc>
      </w:tr>
      <w:tr>
        <w:trPr>
          <w:trHeight w:val="284" w:hRule="atLeast"/>
        </w:trPr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- 311871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- 289201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237355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- 363717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ind w:left="357" w:hanging="357"/>
        <w:rPr>
          <w:sz w:val="18"/>
          <w:szCs w:val="18"/>
        </w:rPr>
      </w:pPr>
      <w:r>
        <w:rPr>
          <w:sz w:val="18"/>
          <w:szCs w:val="18"/>
        </w:rPr>
        <w:t>Informácia o rozdelení účtovného zisku alebo vysporiadaní účtovnej straty vykázanej v minulých účtovných obdobiach.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13 o rozdelení účtovného zisku alebo vysporiadaní účtovnej straty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5653"/>
        <w:gridCol w:w="4324"/>
      </w:tblGrid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op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 položky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Top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Bezprostredne predchádzajúce účtovné obdobie</w:t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Účtovný zisk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9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Rozdelenie účtovného zisku</w:t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základného imania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fondu tvoreného podľa osobitného predpisu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fondu reprodukcie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rezervného fondu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fondu tvoreného zo zisku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Prídel do ostatných fondov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Úhrada straty minulých období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Prevod  do nevysporiadaného výsledku hospodárenia minulých rokov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Iné 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Účtovná strata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- 237355</w:t>
            </w:r>
          </w:p>
        </w:tc>
      </w:tr>
      <w:tr>
        <w:trPr>
          <w:trHeight w:val="284" w:hRule="atLeast"/>
        </w:trPr>
        <w:tc>
          <w:tcPr>
            <w:tcW w:w="9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Vysporiadanie účtovnej straty</w:t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 základného imania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rezervného fondu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fondu tvoreného zo zisku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ostatných fondov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 nerozdeleného zisku minulých rokov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Prevod do nevysporiadaného výsledku hospodárenia minulých rokov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- 237355</w:t>
            </w:r>
          </w:p>
        </w:tc>
      </w:tr>
      <w:tr>
        <w:trPr>
          <w:trHeight w:val="284" w:hRule="atLeast"/>
        </w:trPr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Iné 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Opis a výška cudzích zdrojov, a to</w:t>
      </w:r>
    </w:p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</w:t>
      </w:r>
    </w:p>
    <w:p>
      <w:pPr>
        <w:pStyle w:val="Normal"/>
        <w:spacing w:lineRule="auto" w:line="240" w:before="0" w:after="120"/>
        <w:ind w:left="360" w:hanging="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a) o  tvorbe a použití rezerv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928"/>
        <w:gridCol w:w="1412"/>
        <w:gridCol w:w="1411"/>
        <w:gridCol w:w="1411"/>
        <w:gridCol w:w="1410"/>
        <w:gridCol w:w="1405"/>
      </w:tblGrid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rezervy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Tvorba rezerv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Použitie rezerv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Zrušenie alebo zníženie rezerv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Zákonné rezervy spolu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dovolenku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22611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33336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22611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33336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audit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Ostatné rezervy spolu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23311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34036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23311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23 311</w:t>
            </w:r>
          </w:p>
        </w:tc>
      </w:tr>
      <w:tr>
        <w:trPr>
          <w:trHeight w:val="284" w:hRule="atLeast"/>
        </w:trPr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Rezervy spolu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22311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34036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23311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23 311</w:t>
            </w:r>
          </w:p>
        </w:tc>
      </w:tr>
    </w:tbl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 významných položkách na účtoch 325 - Ostatné záväzky a 379 – Iné záväzky; uvádza sa začiatočný stav, prírastky, úbytky a konečný zostatok podľa jednotlivých druhov záväzkov,</w:t>
      </w:r>
    </w:p>
    <w:tbl>
      <w:tblPr>
        <w:tblW w:w="10382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177"/>
        <w:gridCol w:w="1550"/>
        <w:gridCol w:w="1550"/>
        <w:gridCol w:w="1550"/>
        <w:gridCol w:w="1555"/>
      </w:tblGrid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Konečný zostatok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379 - Neuhradené exekúcie, vrátený príspevok na BSK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1030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3243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367</w:t>
            </w:r>
          </w:p>
        </w:tc>
      </w:tr>
    </w:tbl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991"/>
        <w:gridCol w:w="2992"/>
        <w:gridCol w:w="2995"/>
      </w:tblGrid>
      <w:tr>
        <w:trPr>
          <w:trHeight w:val="284" w:hRule="atLeast"/>
        </w:trPr>
        <w:tc>
          <w:tcPr>
            <w:tcW w:w="3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3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do lehoty splatnosti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454996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358374</w:t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Záväzky spolu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454966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358374</w:t>
            </w:r>
          </w:p>
        </w:tc>
      </w:tr>
    </w:tbl>
    <w:p>
      <w:pPr>
        <w:pStyle w:val="Normal"/>
        <w:spacing w:lineRule="auto" w:line="240" w:before="0" w:after="0"/>
        <w:ind w:left="36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 xml:space="preserve">prehľad o výške záväzkov podľa zostatkovej doby splatnosti v členení podľa položiek súvahy 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1080" w:hanging="357"/>
        <w:rPr>
          <w:sz w:val="18"/>
          <w:szCs w:val="18"/>
        </w:rPr>
      </w:pPr>
      <w:r>
        <w:rPr>
          <w:sz w:val="18"/>
          <w:szCs w:val="18"/>
        </w:rPr>
        <w:t>do jedného roka vrátane,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1080" w:hanging="357"/>
        <w:rPr>
          <w:sz w:val="18"/>
          <w:szCs w:val="18"/>
        </w:rPr>
      </w:pPr>
      <w:r>
        <w:rPr>
          <w:sz w:val="18"/>
          <w:szCs w:val="18"/>
        </w:rPr>
        <w:t>od jedného roka do piatich rokov vrátane,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1077" w:hanging="357"/>
        <w:rPr>
          <w:sz w:val="18"/>
          <w:szCs w:val="18"/>
        </w:rPr>
      </w:pPr>
      <w:r>
        <w:rPr>
          <w:sz w:val="18"/>
          <w:szCs w:val="18"/>
        </w:rPr>
        <w:t>viac ako päť rokov</w:t>
      </w:r>
    </w:p>
    <w:p>
      <w:pPr>
        <w:pStyle w:val="Normal"/>
        <w:spacing w:lineRule="auto" w:line="240" w:before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ind w:left="360" w:hanging="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c) a d) o záväzkoch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984"/>
        <w:gridCol w:w="2497"/>
        <w:gridCol w:w="2497"/>
      </w:tblGrid>
      <w:tr>
        <w:trPr>
          <w:trHeight w:val="284" w:hRule="atLeast"/>
        </w:trPr>
        <w:tc>
          <w:tcPr>
            <w:tcW w:w="4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záväzkov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4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341689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247076</w:t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341689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247076</w:t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113308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111298</w:t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113308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111298</w:t>
            </w:r>
          </w:p>
        </w:tc>
      </w:tr>
      <w:tr>
        <w:trPr>
          <w:trHeight w:val="284" w:hRule="atLeast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Krátkodobé a dlhodobé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454966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358374</w:t>
            </w:r>
          </w:p>
        </w:tc>
      </w:tr>
    </w:tbl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>
      <w:pPr>
        <w:pStyle w:val="Normal"/>
        <w:spacing w:lineRule="auto" w:line="240" w:before="0" w:after="120"/>
        <w:ind w:left="360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e) o vývoji sociálneho fondu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726"/>
        <w:gridCol w:w="3147"/>
        <w:gridCol w:w="3105"/>
      </w:tblGrid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Sociálny fond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k prvému dňu účtovného obdobia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1298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546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 na ťarchu nákladov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2554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 zo zisku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Čerpanie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1786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k poslednému dňu účtovného obdobia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3308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1298</w:t>
            </w:r>
          </w:p>
        </w:tc>
      </w:tr>
    </w:tbl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f) o bankových úveroch, pôžičkách a návratných finančných výpomociach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797"/>
        <w:gridCol w:w="596"/>
        <w:gridCol w:w="1310"/>
        <w:gridCol w:w="1310"/>
        <w:gridCol w:w="1312"/>
        <w:gridCol w:w="1312"/>
        <w:gridCol w:w="1340"/>
      </w:tblGrid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cudzieho zdroja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úroku v 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zabezpečenia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Pôžička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0,5 % p.a.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110 000</w:t>
            </w:r>
          </w:p>
        </w:tc>
      </w:tr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Dlhodobý bankový úver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110 000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110 000</w:t>
            </w:r>
          </w:p>
        </w:tc>
      </w:tr>
    </w:tbl>
    <w:p>
      <w:pPr>
        <w:pStyle w:val="Normal"/>
        <w:numPr>
          <w:ilvl w:val="0"/>
          <w:numId w:val="10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 významných položkách časového rozlíšenia výdavkov budúcich období.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992"/>
        <w:gridCol w:w="4989"/>
        <w:gridCol w:w="1997"/>
      </w:tblGrid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Významné položky časového rozlíšenia výdavkov budúcich období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3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o významných položkách výnosov budúcich období v členení najmä na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zostatkovú hodnotu bezodplatne nadobudnutého dlhodobého majetku,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zostatkovú hodnotu dlhodobého majetku obstaraného z dotácie,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zostatok nepoužitej dotácie alebo grantu,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zostatok nepoužitej časti podielu zaplatenej dane,</w:t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zostatkovú hodnotu dlhodobého majetku obstaraného z podielu zaplatenej dane.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15 o významných položkách výnosov budúcich období</w:t>
      </w:r>
    </w:p>
    <w:tbl>
      <w:tblPr>
        <w:tblW w:w="10382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177"/>
        <w:gridCol w:w="1550"/>
        <w:gridCol w:w="1550"/>
        <w:gridCol w:w="1550"/>
        <w:gridCol w:w="1555"/>
      </w:tblGrid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13729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9182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9547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14637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19452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14537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19452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 majetku prenajatom formou finančného prenájmu, a to</w:t>
      </w:r>
    </w:p>
    <w:p>
      <w:pPr>
        <w:pStyle w:val="Normal"/>
        <w:numPr>
          <w:ilvl w:val="0"/>
          <w:numId w:val="12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988"/>
        <w:gridCol w:w="4989"/>
      </w:tblGrid>
      <w:tr>
        <w:trPr>
          <w:trHeight w:val="284" w:hRule="atLeast"/>
        </w:trPr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istiny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Finančný náklad</w:t>
            </w:r>
          </w:p>
        </w:tc>
      </w:tr>
      <w:tr>
        <w:trPr>
          <w:trHeight w:val="284" w:hRule="atLeast"/>
        </w:trPr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 xml:space="preserve">suma istiny a finančného nákladu podľa doby splatnosti 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1068" w:hanging="357"/>
        <w:rPr>
          <w:sz w:val="18"/>
          <w:szCs w:val="18"/>
        </w:rPr>
      </w:pPr>
      <w:r>
        <w:rPr>
          <w:sz w:val="18"/>
          <w:szCs w:val="18"/>
        </w:rPr>
        <w:t>do jedného roka vrátane,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1068" w:hanging="357"/>
        <w:rPr>
          <w:sz w:val="18"/>
          <w:szCs w:val="18"/>
        </w:rPr>
      </w:pPr>
      <w:r>
        <w:rPr>
          <w:sz w:val="18"/>
          <w:szCs w:val="18"/>
        </w:rPr>
        <w:t>od jedného roka do piatich rokov vrátane,</w:t>
      </w:r>
    </w:p>
    <w:p>
      <w:pPr>
        <w:pStyle w:val="Normal"/>
        <w:numPr>
          <w:ilvl w:val="0"/>
          <w:numId w:val="1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viac ako päť rokov.</w:t>
      </w:r>
    </w:p>
    <w:p>
      <w:pPr>
        <w:pStyle w:val="Normal"/>
        <w:spacing w:lineRule="auto" w:line="240" w:before="0" w:after="0"/>
        <w:jc w:val="left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16 o majetku prenajatom formou finančného prenájmu</w:t>
      </w:r>
    </w:p>
    <w:tbl>
      <w:tblPr>
        <w:tblW w:w="10382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177"/>
        <w:gridCol w:w="1550"/>
        <w:gridCol w:w="1550"/>
        <w:gridCol w:w="1550"/>
        <w:gridCol w:w="1555"/>
      </w:tblGrid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Záväzok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Istina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Finančný náklad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jedného roka vrátane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Cs/>
        </w:rPr>
      </w:pPr>
      <w:r>
        <w:rPr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IV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Informácie, ktoré dopĺňajú a vysvetľujú údaje vo výkaze ziskov a strát</w:t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5000" w:type="pct"/>
        <w:jc w:val="righ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1" w:type="dxa"/>
          <w:bottom w:w="0" w:type="dxa"/>
          <w:right w:w="30" w:type="dxa"/>
        </w:tblCellMar>
        <w:tblLook w:val="0000"/>
      </w:tblPr>
      <w:tblGrid>
        <w:gridCol w:w="4026"/>
        <w:gridCol w:w="2974"/>
        <w:gridCol w:w="2978"/>
      </w:tblGrid>
      <w:tr>
        <w:trPr>
          <w:trHeight w:val="284" w:hRule="atLeast"/>
        </w:trPr>
        <w:tc>
          <w:tcPr>
            <w:tcW w:w="4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adpis3"/>
              <w:spacing w:before="0" w:after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Prehľad tržieb za vlastné výkony a tovar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Hlavná činnosť</w:t>
            </w:r>
          </w:p>
        </w:tc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Podnikateľská činnosť</w:t>
            </w:r>
          </w:p>
        </w:tc>
      </w:tr>
      <w:tr>
        <w:trPr>
          <w:trHeight w:val="284" w:hRule="atLeast"/>
        </w:trPr>
        <w:tc>
          <w:tcPr>
            <w:tcW w:w="4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1182692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1182692</w:t>
            </w:r>
          </w:p>
        </w:tc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 xml:space="preserve">Opis a vyčíslenie hodnoty významných položiek prijatých darov, osobitných výnosov, zákonných poplatkov a iných ostatných výnosov.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Prijaté dary od fyzických a právnických osôf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7884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Prijato príspevky od iných organizácií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16608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 dotácií a grantov, ktoré účtovná jednotka prijala v priebehu bežného účtovného obdobia.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Prehľad dotácií a grantov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BSK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90938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Ministerstvo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146507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 xml:space="preserve">Opis a vyčíslenie hodnoty významných položiek nákladov, nákladov na ostatné služby, osobitných nákladov a iných ostatných nákladov.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Mzdové náklady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750213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Zákonné poistenie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277866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Prijaté služby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345193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materiálu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78339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energie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31805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o účele a výške použitia podielu zaplatenej dane za bežné účtovné obdobie.</w:t>
      </w:r>
    </w:p>
    <w:p>
      <w:pPr>
        <w:pStyle w:val="Normal"/>
        <w:spacing w:lineRule="auto" w:line="240" w:before="0" w:after="12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Tabuľka k čl. IV  ods. 6 o účele a výške použitia podielu zaplatenej dane   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809"/>
        <w:gridCol w:w="2726"/>
        <w:gridCol w:w="2243"/>
      </w:tblGrid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Účel použitia podielu zaplatenej dane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Použitá suma bežného účtovného obdobia</w:t>
            </w:r>
          </w:p>
        </w:tc>
      </w:tr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a údržba hnuteľných veci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19452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6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6" w:hanging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V účtovnej jednotke, ktorá má povinnosť overenia účtovnej závierky audítorom, sa uvedie vymedzenie a suma nákladov za účtovné obdobie v členení na náklady za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overenie účtovnej závierky,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uisťovacie audítorské služby s výnimkou overenia účtovnej závierky,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súvisiace audítorské služby,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daňové poradenstvo,</w:t>
      </w:r>
    </w:p>
    <w:p>
      <w:pPr>
        <w:pStyle w:val="Normal"/>
        <w:numPr>
          <w:ilvl w:val="0"/>
          <w:numId w:val="15"/>
        </w:numPr>
        <w:spacing w:lineRule="auto" w:line="240" w:before="0" w:after="120"/>
        <w:ind w:left="720" w:hanging="357"/>
        <w:rPr>
          <w:sz w:val="18"/>
          <w:szCs w:val="18"/>
        </w:rPr>
      </w:pPr>
      <w:r>
        <w:rPr>
          <w:sz w:val="18"/>
          <w:szCs w:val="18"/>
        </w:rPr>
        <w:t>ostatné neaudítorské služby.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IV  ods. 8 o nákladoch vynaložených v súvislosti s auditom účtovnej závierky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609"/>
        <w:gridCol w:w="3168"/>
      </w:tblGrid>
      <w:tr>
        <w:trPr>
          <w:trHeight w:val="284" w:hRule="atLeast"/>
        </w:trPr>
        <w:tc>
          <w:tcPr>
            <w:tcW w:w="6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Jednotlivé druhy nákladov za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>
        <w:trPr>
          <w:trHeight w:val="284" w:hRule="atLeast"/>
        </w:trPr>
        <w:tc>
          <w:tcPr>
            <w:tcW w:w="6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V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Opis údajov na podsúvahových účtoch</w:t>
      </w:r>
    </w:p>
    <w:p>
      <w:pPr>
        <w:pStyle w:val="Normal"/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5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6677"/>
        <w:gridCol w:w="3200"/>
      </w:tblGrid>
      <w:tr>
        <w:trPr>
          <w:trHeight w:val="284" w:hRule="atLeast"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Významné položky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>
        <w:trPr>
          <w:trHeight w:val="284" w:hRule="atLeast"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Netýka sa.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VI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Ďalšie informácie</w:t>
      </w:r>
    </w:p>
    <w:p>
      <w:pPr>
        <w:pStyle w:val="Textopatrenia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6766"/>
        <w:gridCol w:w="3211"/>
      </w:tblGrid>
      <w:tr>
        <w:trPr>
          <w:trHeight w:val="284" w:hRule="atLeast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iných aktív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>
        <w:trPr>
          <w:trHeight w:val="284" w:hRule="atLeast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opatrenia"/>
        <w:numPr>
          <w:ilvl w:val="0"/>
          <w:numId w:val="17"/>
        </w:numPr>
        <w:spacing w:before="0" w:after="120"/>
        <w:ind w:left="357" w:hanging="357"/>
        <w:rPr>
          <w:sz w:val="16"/>
          <w:szCs w:val="16"/>
        </w:rPr>
      </w:pPr>
      <w:r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sú:</w:t>
      </w:r>
    </w:p>
    <w:p>
      <w:pPr>
        <w:pStyle w:val="Textopatrenia"/>
        <w:numPr>
          <w:ilvl w:val="0"/>
          <w:numId w:val="18"/>
        </w:numPr>
        <w:spacing w:before="0" w:after="120"/>
        <w:rPr>
          <w:sz w:val="16"/>
          <w:szCs w:val="16"/>
        </w:rPr>
      </w:pPr>
      <w:r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>
      <w:pPr>
        <w:pStyle w:val="Textopatrenia"/>
        <w:numPr>
          <w:ilvl w:val="0"/>
          <w:numId w:val="18"/>
        </w:numPr>
        <w:spacing w:before="0" w:after="120"/>
        <w:rPr>
          <w:sz w:val="16"/>
          <w:szCs w:val="16"/>
        </w:rPr>
      </w:pPr>
      <w:r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6766"/>
        <w:gridCol w:w="3211"/>
      </w:tblGrid>
      <w:tr>
        <w:trPr>
          <w:trHeight w:val="284" w:hRule="atLeast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iných pasív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>
        <w:trPr>
          <w:trHeight w:val="284" w:hRule="atLeast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opatrenia"/>
        <w:numPr>
          <w:ilvl w:val="0"/>
          <w:numId w:val="17"/>
        </w:numPr>
        <w:spacing w:before="0" w:after="120"/>
        <w:ind w:left="360" w:hanging="357"/>
        <w:rPr>
          <w:sz w:val="16"/>
          <w:szCs w:val="16"/>
        </w:rPr>
      </w:pPr>
      <w:r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>
      <w:pPr>
        <w:pStyle w:val="Textopatrenia"/>
        <w:numPr>
          <w:ilvl w:val="0"/>
          <w:numId w:val="19"/>
        </w:numPr>
        <w:spacing w:before="0" w:after="0"/>
        <w:ind w:left="720" w:hanging="357"/>
        <w:rPr>
          <w:sz w:val="16"/>
          <w:szCs w:val="16"/>
        </w:rPr>
      </w:pPr>
      <w:r>
        <w:rPr>
          <w:sz w:val="16"/>
          <w:szCs w:val="16"/>
        </w:rPr>
        <w:t>povinnosť z devízových termínovaných obchodov a iných finančných derivátov,</w:t>
      </w:r>
    </w:p>
    <w:p>
      <w:pPr>
        <w:pStyle w:val="Textopatrenia"/>
        <w:numPr>
          <w:ilvl w:val="0"/>
          <w:numId w:val="19"/>
        </w:numPr>
        <w:spacing w:before="0" w:after="0"/>
        <w:ind w:left="720" w:hanging="357"/>
        <w:rPr>
          <w:sz w:val="16"/>
          <w:szCs w:val="16"/>
        </w:rPr>
      </w:pPr>
      <w:r>
        <w:rPr>
          <w:sz w:val="16"/>
          <w:szCs w:val="16"/>
        </w:rPr>
        <w:t>povinnosť z opčných obchodov,</w:t>
      </w:r>
    </w:p>
    <w:p>
      <w:pPr>
        <w:pStyle w:val="Textopatrenia"/>
        <w:numPr>
          <w:ilvl w:val="0"/>
          <w:numId w:val="19"/>
        </w:numPr>
        <w:spacing w:before="0" w:after="0"/>
        <w:ind w:left="720" w:hanging="357"/>
        <w:rPr>
          <w:sz w:val="16"/>
          <w:szCs w:val="16"/>
        </w:rPr>
      </w:pPr>
      <w:r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>
      <w:pPr>
        <w:pStyle w:val="Textopatrenia"/>
        <w:numPr>
          <w:ilvl w:val="0"/>
          <w:numId w:val="19"/>
        </w:numPr>
        <w:spacing w:before="0" w:after="0"/>
        <w:ind w:left="720" w:hanging="357"/>
        <w:rPr>
          <w:sz w:val="16"/>
          <w:szCs w:val="16"/>
        </w:rPr>
      </w:pPr>
      <w:r>
        <w:rPr>
          <w:sz w:val="16"/>
          <w:szCs w:val="16"/>
        </w:rPr>
        <w:t>povinnosť z leasingových, nájomných, servisných, poistných, koncesionárskych, licenčných zmlúv a podobných zmlúv,</w:t>
      </w:r>
    </w:p>
    <w:p>
      <w:pPr>
        <w:pStyle w:val="Textopatrenia"/>
        <w:numPr>
          <w:ilvl w:val="0"/>
          <w:numId w:val="19"/>
        </w:numPr>
        <w:spacing w:before="0" w:after="120"/>
        <w:ind w:left="720" w:hanging="357"/>
        <w:rPr>
          <w:sz w:val="16"/>
          <w:szCs w:val="16"/>
        </w:rPr>
      </w:pPr>
      <w:r>
        <w:rPr>
          <w:sz w:val="16"/>
          <w:szCs w:val="16"/>
        </w:rPr>
        <w:t xml:space="preserve">iné povinnosti. 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305"/>
        <w:gridCol w:w="2347"/>
        <w:gridCol w:w="3326"/>
      </w:tblGrid>
      <w:tr>
        <w:trPr>
          <w:trHeight w:val="284" w:hRule="atLeast"/>
        </w:trPr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položiek ostatných finančných povinností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Spriaznené osoby</w:t>
            </w:r>
          </w:p>
        </w:tc>
      </w:tr>
      <w:tr>
        <w:trPr>
          <w:trHeight w:val="284" w:hRule="atLeast"/>
        </w:trPr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Prijatá pôžička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starostlivosti o ľudí, s.r.o.</w:t>
            </w:r>
          </w:p>
        </w:tc>
      </w:tr>
    </w:tbl>
    <w:p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7"/>
        </w:numPr>
        <w:spacing w:lineRule="auto" w:line="240" w:before="0" w:after="120"/>
        <w:ind w:left="360" w:hanging="357"/>
        <w:rPr>
          <w:sz w:val="16"/>
          <w:szCs w:val="16"/>
        </w:rPr>
      </w:pPr>
      <w:r>
        <w:rPr>
          <w:sz w:val="16"/>
          <w:szCs w:val="16"/>
        </w:rPr>
        <w:t>Prehľad nehnuteľných kultúrnych pamiatok, ktoré sú v správe alebo vo vlastníctve účtovnej jednotky.</w:t>
      </w:r>
    </w:p>
    <w:p>
      <w:pPr>
        <w:pStyle w:val="Normal"/>
        <w:numPr>
          <w:ilvl w:val="0"/>
          <w:numId w:val="17"/>
        </w:numPr>
        <w:spacing w:lineRule="auto" w:line="240" w:before="0" w:after="120"/>
        <w:ind w:left="360" w:hanging="357"/>
        <w:rPr/>
      </w:pPr>
      <w:r>
        <w:rPr>
          <w:sz w:val="16"/>
          <w:szCs w:val="16"/>
        </w:rPr>
        <w:t>Informácie o významných skutočnostiach, ktoré nastali medzi dňom, ku ktorému sa zostavuje účtovná závierka a d</w:t>
      </w:r>
      <w:bookmarkStart w:id="0" w:name="_GoBack"/>
      <w:bookmarkEnd w:id="0"/>
      <w:r>
        <w:rPr>
          <w:sz w:val="16"/>
          <w:szCs w:val="16"/>
        </w:rPr>
        <w:t>ňom jej zostavenia.</w:t>
      </w:r>
    </w:p>
    <w:sectPr>
      <w:footerReference w:type="default" r:id="rId2"/>
      <w:type w:val="nextPage"/>
      <w:pgSz w:w="11906" w:h="16838"/>
      <w:pgMar w:left="964" w:right="964" w:header="0" w:top="1304" w:footer="454" w:bottom="1021" w:gutter="0"/>
      <w:pgNumType w:start="7"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before="120" w:after="12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Pta"/>
      <w:tabs>
        <w:tab w:val="center" w:pos="4536" w:leader="none"/>
        <w:tab w:val="right" w:pos="9072" w:leader="none"/>
      </w:tabs>
      <w:spacing w:before="120" w:after="1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suff w:val="nothing"/>
      <w:lvlText w:val="Čl. %1."/>
      <w:lvlJc w:val="center"/>
      <w:pPr>
        <w:ind w:left="0" w:hanging="0"/>
      </w:pPr>
      <w:rPr>
        <w:sz w:val="24"/>
        <w:i w:val="false"/>
        <w:b/>
        <w:szCs w:val="24"/>
        <w:iCs w:val="false"/>
        <w:bCs/>
        <w:rFonts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  <w:iCs w:val="false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8"/>
        <w:i w:val="false"/>
        <w:b w:val="false"/>
        <w:iCs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dcc"/>
    <w:pPr>
      <w:widowControl/>
      <w:bidi w:val="0"/>
      <w:spacing w:lineRule="auto" w:line="360" w:before="120" w:after="120"/>
      <w:jc w:val="both"/>
    </w:pPr>
    <w:rPr>
      <w:rFonts w:ascii="Arial Narrow" w:hAnsi="Arial Narrow" w:eastAsia="Times New Roman" w:cs="Arial Narrow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d440d5"/>
    <w:pPr>
      <w:keepNext w:val="true"/>
      <w:numPr>
        <w:ilvl w:val="0"/>
        <w:numId w:val="1"/>
      </w:numPr>
      <w:spacing w:lineRule="auto" w:line="24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Normal"/>
    <w:link w:val="Nadpis2Char"/>
    <w:uiPriority w:val="99"/>
    <w:qFormat/>
    <w:rsid w:val="00d440d5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al"/>
    <w:link w:val="Nadpis3Char"/>
    <w:uiPriority w:val="99"/>
    <w:qFormat/>
    <w:rsid w:val="00945816"/>
    <w:pPr>
      <w:keepNext w:val="true"/>
      <w:spacing w:lineRule="auto" w:line="240" w:before="240" w:after="60"/>
      <w:jc w:val="left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a02c03"/>
    <w:rPr>
      <w:rFonts w:ascii="Cambria" w:hAnsi="Cambria" w:cs="Cambria"/>
      <w:b/>
      <w:bCs/>
      <w:sz w:val="32"/>
      <w:szCs w:val="32"/>
      <w:lang w:eastAsia="cs-CZ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rsid w:val="00a02c03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styleId="Nadpis3Char" w:customStyle="1">
    <w:name w:val="Nadpis 3 Char"/>
    <w:basedOn w:val="DefaultParagraphFont"/>
    <w:link w:val="Nadpis3"/>
    <w:uiPriority w:val="99"/>
    <w:qFormat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character" w:styleId="TltlnzovChar115ptAntiqueOliveNiejeTun" w:customStyle="1">
    <w:name w:val="Štýl Štýl § názov Char + 115 pt + Antique Olive Nie je Tučné"/>
    <w:uiPriority w:val="99"/>
    <w:qFormat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a02c03"/>
    <w:rPr>
      <w:rFonts w:ascii="Arial" w:hAnsi="Arial" w:cs="Arial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qFormat/>
    <w:rsid w:val="0072048d"/>
    <w:rPr/>
  </w:style>
  <w:style w:type="character" w:styleId="Strong">
    <w:name w:val="Strong"/>
    <w:basedOn w:val="DefaultParagraphFont"/>
    <w:uiPriority w:val="99"/>
    <w:qFormat/>
    <w:rsid w:val="00db3c2d"/>
    <w:rPr>
      <w:b/>
      <w:bCs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497323"/>
    <w:rPr>
      <w:rFonts w:ascii="Arial" w:hAnsi="Arial" w:cs="Arial"/>
      <w:sz w:val="24"/>
      <w:szCs w:val="24"/>
      <w:lang w:val="de-DE"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04636"/>
    <w:rPr>
      <w:rFonts w:ascii="Arial Narrow" w:hAnsi="Arial Narrow" w:cs="Arial Narrow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058f5"/>
    <w:rPr>
      <w:rFonts w:ascii="Tahoma" w:hAnsi="Tahoma" w:cs="Tahoma"/>
      <w:sz w:val="16"/>
      <w:szCs w:val="16"/>
      <w:lang w:eastAsia="cs-CZ"/>
    </w:rPr>
  </w:style>
  <w:style w:type="character" w:styleId="ListLabel1">
    <w:name w:val="ListLabel 1"/>
    <w:qFormat/>
    <w:rPr>
      <w:rFonts w:cs="Arial"/>
      <w:b/>
      <w:bCs/>
      <w:i w:val="false"/>
      <w:iCs w:val="false"/>
      <w:sz w:val="24"/>
      <w:szCs w:val="24"/>
    </w:rPr>
  </w:style>
  <w:style w:type="character" w:styleId="ListLabel2">
    <w:name w:val="ListLabel 2"/>
    <w:qFormat/>
    <w:rPr>
      <w:b w:val="false"/>
      <w:bCs w:val="false"/>
      <w:i w:val="false"/>
      <w:iCs w:val="false"/>
    </w:rPr>
  </w:style>
  <w:style w:type="character" w:styleId="ListLabel3">
    <w:name w:val="ListLabel 3"/>
    <w:qFormat/>
    <w:rPr>
      <w:rFonts w:cs="Arial"/>
      <w:b/>
      <w:bCs/>
      <w:i w:val="false"/>
      <w:iCs w:val="false"/>
      <w:sz w:val="24"/>
      <w:szCs w:val="24"/>
    </w:rPr>
  </w:style>
  <w:style w:type="character" w:styleId="ListLabel4">
    <w:name w:val="ListLabel 4"/>
    <w:qFormat/>
    <w:rPr>
      <w:b w:val="false"/>
      <w:bCs w:val="false"/>
      <w:i w:val="false"/>
      <w:iCs w:val="false"/>
    </w:rPr>
  </w:style>
  <w:style w:type="character" w:styleId="ListLabel5">
    <w:name w:val="ListLabel 5"/>
    <w:qFormat/>
    <w:rPr>
      <w:b/>
      <w:bCs/>
      <w:i w:val="false"/>
      <w:iCs w:val="false"/>
    </w:rPr>
  </w:style>
  <w:style w:type="character" w:styleId="ListLabel6">
    <w:name w:val="ListLabel 6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8">
    <w:name w:val="ListLabel 8"/>
    <w:qFormat/>
    <w:rPr>
      <w:b/>
      <w:bCs/>
      <w:i w:val="false"/>
      <w:iCs w:val="false"/>
    </w:rPr>
  </w:style>
  <w:style w:type="character" w:styleId="ListLabel9">
    <w:name w:val="ListLabel 9"/>
    <w:qFormat/>
    <w:rPr>
      <w:b w:val="false"/>
      <w:bCs w:val="false"/>
      <w:i w:val="false"/>
      <w:iCs w:val="false"/>
      <w:sz w:val="16"/>
    </w:rPr>
  </w:style>
  <w:style w:type="character" w:styleId="ListLabel10">
    <w:name w:val="ListLabel 10"/>
    <w:qFormat/>
    <w:rPr>
      <w:b w:val="false"/>
      <w:bCs w:val="false"/>
      <w:i w:val="false"/>
      <w:iCs w:val="false"/>
      <w:sz w:val="18"/>
    </w:rPr>
  </w:style>
  <w:style w:type="character" w:styleId="ListLabel11">
    <w:name w:val="ListLabel 11"/>
    <w:qFormat/>
    <w:rPr>
      <w:rFonts w:cs="Symbol"/>
      <w:b/>
      <w:sz w:val="1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1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sz w:val="1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39">
    <w:name w:val="ListLabel 39"/>
    <w:qFormat/>
    <w:rPr>
      <w:rFonts w:cs="Arial"/>
      <w:b/>
      <w:bCs/>
      <w:i w:val="false"/>
      <w:iCs w:val="false"/>
      <w:sz w:val="24"/>
      <w:szCs w:val="24"/>
    </w:rPr>
  </w:style>
  <w:style w:type="character" w:styleId="ListLabel40">
    <w:name w:val="ListLabel 40"/>
    <w:qFormat/>
    <w:rPr>
      <w:b/>
      <w:bCs/>
      <w:i w:val="false"/>
      <w:iCs w:val="false"/>
    </w:rPr>
  </w:style>
  <w:style w:type="character" w:styleId="ListLabel41">
    <w:name w:val="ListLabel 41"/>
    <w:qFormat/>
    <w:rPr>
      <w:b w:val="false"/>
      <w:bCs w:val="false"/>
      <w:i w:val="false"/>
      <w:iCs w:val="false"/>
      <w:sz w:val="16"/>
    </w:rPr>
  </w:style>
  <w:style w:type="character" w:styleId="ListLabel42">
    <w:name w:val="ListLabel 42"/>
    <w:qFormat/>
    <w:rPr>
      <w:b w:val="false"/>
      <w:bCs w:val="false"/>
      <w:i w:val="false"/>
      <w:iCs w:val="false"/>
      <w:sz w:val="18"/>
    </w:rPr>
  </w:style>
  <w:style w:type="character" w:styleId="ListLabel43">
    <w:name w:val="ListLabel 43"/>
    <w:qFormat/>
    <w:rPr>
      <w:rFonts w:cs="Symbol"/>
      <w:b/>
      <w:sz w:val="1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sz w:val="16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16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Arial"/>
      <w:b/>
      <w:bCs/>
      <w:i w:val="false"/>
      <w:iCs w:val="false"/>
      <w:sz w:val="24"/>
      <w:szCs w:val="24"/>
    </w:rPr>
  </w:style>
  <w:style w:type="character" w:styleId="ListLabel71">
    <w:name w:val="ListLabel 71"/>
    <w:qFormat/>
    <w:rPr>
      <w:b/>
      <w:bCs/>
      <w:i w:val="false"/>
      <w:iCs w:val="false"/>
    </w:rPr>
  </w:style>
  <w:style w:type="character" w:styleId="ListLabel72">
    <w:name w:val="ListLabel 72"/>
    <w:qFormat/>
    <w:rPr>
      <w:b w:val="false"/>
      <w:bCs w:val="false"/>
      <w:i w:val="false"/>
      <w:iCs w:val="false"/>
      <w:sz w:val="16"/>
    </w:rPr>
  </w:style>
  <w:style w:type="character" w:styleId="ListLabel73">
    <w:name w:val="ListLabel 73"/>
    <w:qFormat/>
    <w:rPr>
      <w:b w:val="false"/>
      <w:bCs w:val="false"/>
      <w:i w:val="false"/>
      <w:iCs w:val="false"/>
      <w:sz w:val="18"/>
    </w:rPr>
  </w:style>
  <w:style w:type="character" w:styleId="ListLabel74">
    <w:name w:val="ListLabel 74"/>
    <w:qFormat/>
    <w:rPr>
      <w:rFonts w:cs="Symbol"/>
      <w:b/>
      <w:sz w:val="16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16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16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Arial"/>
      <w:b/>
      <w:bCs/>
      <w:i w:val="false"/>
      <w:iCs w:val="false"/>
      <w:sz w:val="24"/>
      <w:szCs w:val="24"/>
    </w:rPr>
  </w:style>
  <w:style w:type="character" w:styleId="ListLabel102">
    <w:name w:val="ListLabel 102"/>
    <w:qFormat/>
    <w:rPr>
      <w:b/>
      <w:bCs/>
      <w:i w:val="false"/>
      <w:iCs w:val="false"/>
    </w:rPr>
  </w:style>
  <w:style w:type="character" w:styleId="ListLabel103">
    <w:name w:val="ListLabel 103"/>
    <w:qFormat/>
    <w:rPr>
      <w:b w:val="false"/>
      <w:bCs w:val="false"/>
      <w:i w:val="false"/>
      <w:iCs w:val="false"/>
      <w:sz w:val="16"/>
    </w:rPr>
  </w:style>
  <w:style w:type="character" w:styleId="ListLabel104">
    <w:name w:val="ListLabel 104"/>
    <w:qFormat/>
    <w:rPr>
      <w:b w:val="false"/>
      <w:bCs w:val="false"/>
      <w:i w:val="false"/>
      <w:iCs w:val="false"/>
      <w:sz w:val="18"/>
    </w:rPr>
  </w:style>
  <w:style w:type="character" w:styleId="ListLabel105">
    <w:name w:val="ListLabel 105"/>
    <w:qFormat/>
    <w:rPr>
      <w:rFonts w:cs="Symbol"/>
      <w:b/>
      <w:sz w:val="16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  <w:sz w:val="16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  <w:sz w:val="16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497323"/>
    <w:pPr>
      <w:spacing w:lineRule="auto" w:line="240" w:before="0" w:after="0"/>
    </w:pPr>
    <w:rPr>
      <w:rFonts w:ascii="Arial" w:hAnsi="Arial" w:cs="Arial"/>
      <w:sz w:val="24"/>
      <w:szCs w:val="24"/>
      <w:lang w:val="de-DE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l11ptTuniernaPodaokrajaVavo019cmRiadkova" w:customStyle="1">
    <w:name w:val="Štýl 11 pt Tučné Čierna Podľa okraja Vľavo:  019 cm Riadkova..."/>
    <w:uiPriority w:val="99"/>
    <w:qFormat/>
    <w:rsid w:val="00d71ffb"/>
    <w:pPr>
      <w:widowControl/>
      <w:bidi w:val="0"/>
      <w:spacing w:lineRule="auto" w:line="360"/>
      <w:jc w:val="both"/>
    </w:pPr>
    <w:rPr>
      <w:rFonts w:ascii="Arial" w:hAnsi="Arial" w:eastAsia="Times New Roman" w:cs="Arial"/>
      <w:color w:val="000000"/>
      <w:sz w:val="24"/>
      <w:szCs w:val="24"/>
      <w:lang w:val="sk-SK" w:eastAsia="cs-CZ" w:bidi="ar-SA"/>
    </w:rPr>
  </w:style>
  <w:style w:type="paragraph" w:styleId="TlPodaokrajaVavo019cmRiadkovanie15riadka" w:customStyle="1">
    <w:name w:val="Štýl Podľa okraja Vľavo:  019 cm Riadkovanie:  15 riadka"/>
    <w:basedOn w:val="Normal"/>
    <w:autoRedefine/>
    <w:uiPriority w:val="99"/>
    <w:qFormat/>
    <w:rsid w:val="00d71ffb"/>
    <w:pPr>
      <w:ind w:left="108" w:hanging="0"/>
    </w:pPr>
    <w:rPr/>
  </w:style>
  <w:style w:type="paragraph" w:styleId="Bododvodnenie" w:customStyle="1">
    <w:name w:val="Bod odôvodnenie"/>
    <w:uiPriority w:val="99"/>
    <w:qFormat/>
    <w:rsid w:val="00d440d5"/>
    <w:pPr>
      <w:widowControl/>
      <w:bidi w:val="0"/>
      <w:spacing w:before="120" w:after="120"/>
      <w:jc w:val="left"/>
    </w:pPr>
    <w:rPr>
      <w:rFonts w:ascii="Arial" w:hAnsi="Arial" w:eastAsia="Times New Roman" w:cs="Arial"/>
      <w:b/>
      <w:bCs/>
      <w:color w:val="00000A"/>
      <w:sz w:val="24"/>
      <w:szCs w:val="24"/>
      <w:lang w:val="sk-SK" w:eastAsia="cs-CZ" w:bidi="ar-SA"/>
    </w:rPr>
  </w:style>
  <w:style w:type="paragraph" w:styleId="TlArialPodaokraja" w:customStyle="1">
    <w:name w:val="Štýl Arial Podľa okraja"/>
    <w:autoRedefine/>
    <w:uiPriority w:val="99"/>
    <w:qFormat/>
    <w:rsid w:val="004337d2"/>
    <w:pPr>
      <w:widowControl/>
      <w:bidi w:val="0"/>
      <w:jc w:val="both"/>
    </w:pPr>
    <w:rPr>
      <w:rFonts w:ascii="Arial" w:hAnsi="Arial" w:eastAsia="Times New Roman" w:cs="Arial"/>
      <w:color w:val="00000A"/>
      <w:sz w:val="16"/>
      <w:szCs w:val="16"/>
      <w:lang w:val="sk-SK" w:eastAsia="cs-CZ" w:bidi="ar-SA"/>
    </w:rPr>
  </w:style>
  <w:style w:type="paragraph" w:styleId="Textpoznmky" w:customStyle="1">
    <w:name w:val="Text poznámky"/>
    <w:basedOn w:val="Normal"/>
    <w:autoRedefine/>
    <w:uiPriority w:val="99"/>
    <w:qFormat/>
    <w:rsid w:val="001f67e7"/>
    <w:pPr>
      <w:spacing w:lineRule="auto" w:line="240"/>
    </w:pPr>
    <w:rPr/>
  </w:style>
  <w:style w:type="paragraph" w:styleId="Pta">
    <w:name w:val="Footer"/>
    <w:basedOn w:val="Normal"/>
    <w:link w:val="ZpatChar"/>
    <w:uiPriority w:val="99"/>
    <w:rsid w:val="0072048d"/>
    <w:pPr>
      <w:tabs>
        <w:tab w:val="center" w:pos="4536" w:leader="none"/>
        <w:tab w:val="right" w:pos="9072" w:leader="none"/>
      </w:tabs>
    </w:pPr>
    <w:rPr>
      <w:rFonts w:ascii="Arial" w:hAnsi="Arial" w:cs="Arial"/>
      <w:sz w:val="24"/>
      <w:szCs w:val="24"/>
    </w:rPr>
  </w:style>
  <w:style w:type="paragraph" w:styleId="Normlny1" w:customStyle="1">
    <w:name w:val="Normálny1"/>
    <w:uiPriority w:val="99"/>
    <w:qFormat/>
    <w:rsid w:val="00a40be6"/>
    <w:pPr>
      <w:widowControl/>
      <w:bidi w:val="0"/>
      <w:spacing w:lineRule="auto" w:line="360" w:before="120" w:after="120"/>
      <w:ind w:firstLine="709"/>
      <w:jc w:val="both"/>
    </w:pPr>
    <w:rPr>
      <w:rFonts w:ascii="Arial" w:hAnsi="Arial" w:eastAsia="Times New Roman" w:cs="Arial"/>
      <w:color w:val="00000A"/>
      <w:sz w:val="24"/>
      <w:szCs w:val="24"/>
      <w:lang w:val="sk-SK" w:eastAsia="cs-CZ" w:bidi="ar-SA"/>
    </w:rPr>
  </w:style>
  <w:style w:type="paragraph" w:styleId="Textopatrenia" w:customStyle="1">
    <w:name w:val="Text opatrenia"/>
    <w:uiPriority w:val="99"/>
    <w:qFormat/>
    <w:rsid w:val="00503a66"/>
    <w:pPr>
      <w:widowControl/>
      <w:bidi w:val="0"/>
      <w:spacing w:before="120" w:after="120"/>
      <w:jc w:val="both"/>
    </w:pPr>
    <w:rPr>
      <w:rFonts w:ascii="Arial Narrow" w:hAnsi="Arial Narrow" w:eastAsia="Times New Roman" w:cs="Arial Narrow"/>
      <w:color w:val="00000A"/>
      <w:sz w:val="20"/>
      <w:szCs w:val="22"/>
      <w:lang w:val="sk-SK" w:eastAsia="cs-CZ" w:bidi="ar-SA"/>
    </w:rPr>
  </w:style>
  <w:style w:type="paragraph" w:styleId="TopHeader" w:customStyle="1">
    <w:name w:val="Top Header"/>
    <w:basedOn w:val="Normal"/>
    <w:uiPriority w:val="99"/>
    <w:qFormat/>
    <w:rsid w:val="00322d87"/>
    <w:pPr>
      <w:spacing w:lineRule="auto" w:line="240" w:before="0" w:after="0"/>
      <w:jc w:val="center"/>
    </w:pPr>
    <w:rPr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97323"/>
    <w:pPr>
      <w:ind w:left="708" w:hanging="0"/>
    </w:pPr>
    <w:rPr/>
  </w:style>
  <w:style w:type="paragraph" w:styleId="Hlavika">
    <w:name w:val="Header"/>
    <w:basedOn w:val="Normal"/>
    <w:link w:val="ZhlavChar"/>
    <w:uiPriority w:val="99"/>
    <w:rsid w:val="0080463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105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b128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LibreOffice/5.3.6.1$Windows_x86 LibreOffice_project/686f202eff87ef707079aeb7f485847613344eb7</Application>
  <Pages>20</Pages>
  <Words>3819</Words>
  <Characters>22608</Characters>
  <CharactersWithSpaces>25787</CharactersWithSpaces>
  <Paragraphs>1020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2018-02-28T08:23:00Z</dcterms:created>
  <dc:creator>Vlaďka</dc:creator>
  <dc:description/>
  <dc:language>sk-SK</dc:language>
  <cp:lastModifiedBy/>
  <cp:lastPrinted>2019-03-04T12:29:06Z</cp:lastPrinted>
  <dcterms:modified xsi:type="dcterms:W3CDTF">2019-03-04T12:29:16Z</dcterms:modified>
  <cp:revision>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