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72AF" w:rsidRDefault="00F842A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spacing w:after="120"/>
        <w:jc w:val="center"/>
      </w:pPr>
      <w:bookmarkStart w:id="0" w:name="_GoBack"/>
      <w:bookmarkEnd w:id="0"/>
      <w:r>
        <w:rPr>
          <w:rFonts w:ascii="Arial Narrow" w:hAnsi="Arial Narrow"/>
          <w:b/>
        </w:rPr>
        <w:t>POZNÁMKY K ÚČTOVNEJ ZÁVIERKE 2018</w:t>
      </w:r>
    </w:p>
    <w:p w:rsidR="005C72AF" w:rsidRDefault="00F842A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jc w:val="center"/>
      </w:pPr>
      <w:r>
        <w:rPr>
          <w:rFonts w:ascii="Arial Narrow" w:hAnsi="Arial Narrow"/>
          <w:sz w:val="22"/>
          <w:szCs w:val="22"/>
        </w:rPr>
        <w:t>zostavené podľa Opatrenia č.MF/23378/2014-74 (FS č.12/2014), ktorým sa ustanovujú podrobnosti o individuálnej účtovnej závierke a rozsahu údajov určených z individuálnej účtovnej závierky na zverejnenie</w:t>
      </w:r>
    </w:p>
    <w:p w:rsidR="005C72AF" w:rsidRDefault="00F842AA">
      <w:pPr>
        <w:pStyle w:val="Standard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jc w:val="center"/>
      </w:pPr>
      <w:r>
        <w:rPr>
          <w:rFonts w:ascii="Arial Narrow" w:hAnsi="Arial Narrow"/>
          <w:b/>
          <w:sz w:val="22"/>
          <w:szCs w:val="22"/>
        </w:rPr>
        <w:t>pre malé účtovné jednotky</w:t>
      </w:r>
    </w:p>
    <w:p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:rsidR="005C72AF" w:rsidRDefault="00F842AA">
      <w:pPr>
        <w:pStyle w:val="Standard"/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p w:rsidR="005C72AF" w:rsidRDefault="00F842AA">
      <w:pPr>
        <w:pStyle w:val="Standard"/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5C72AF" w:rsidRDefault="005C72AF">
      <w:pPr>
        <w:pStyle w:val="Standard"/>
        <w:rPr>
          <w:rFonts w:ascii="Arial Narrow" w:hAnsi="Arial Narrow"/>
          <w:sz w:val="22"/>
          <w:szCs w:val="22"/>
        </w:rPr>
      </w:pPr>
    </w:p>
    <w:tbl>
      <w:tblPr>
        <w:tblW w:w="9605" w:type="dxa"/>
        <w:tblInd w:w="-13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632"/>
        <w:gridCol w:w="6973"/>
      </w:tblGrid>
      <w:tr w:rsidR="005C72AF">
        <w:trPr>
          <w:trHeight w:val="231"/>
        </w:trPr>
        <w:tc>
          <w:tcPr>
            <w:tcW w:w="2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F72B6C" w:rsidRDefault="00F72B6C">
            <w:pPr>
              <w:pStyle w:val="Standard"/>
              <w:jc w:val="both"/>
            </w:pPr>
            <w:r>
              <w:t>Poľnohospodárske družstvo Pliešovce</w:t>
            </w:r>
          </w:p>
        </w:tc>
      </w:tr>
      <w:tr w:rsidR="005C72AF">
        <w:trPr>
          <w:trHeight w:val="249"/>
        </w:trPr>
        <w:tc>
          <w:tcPr>
            <w:tcW w:w="2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72B6C">
            <w:pPr>
              <w:pStyle w:val="Standard"/>
              <w:jc w:val="both"/>
            </w:pPr>
            <w:r>
              <w:t>Sládkovičova 12/583, 962 63  Pliešovce</w:t>
            </w:r>
          </w:p>
        </w:tc>
      </w:tr>
      <w:tr w:rsidR="005C72AF">
        <w:trPr>
          <w:trHeight w:val="125"/>
        </w:trPr>
        <w:tc>
          <w:tcPr>
            <w:tcW w:w="26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72B6C">
            <w:pPr>
              <w:pStyle w:val="Standard"/>
              <w:jc w:val="both"/>
            </w:pPr>
            <w:r>
              <w:t>družstvo</w:t>
            </w:r>
          </w:p>
        </w:tc>
      </w:tr>
      <w:tr w:rsidR="005C72AF">
        <w:trPr>
          <w:trHeight w:val="143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72B6C">
            <w:pPr>
              <w:pStyle w:val="Standard"/>
              <w:jc w:val="both"/>
            </w:pPr>
            <w:r>
              <w:t>1.1.1993</w:t>
            </w:r>
          </w:p>
        </w:tc>
      </w:tr>
      <w:tr w:rsidR="005C72AF">
        <w:trPr>
          <w:trHeight w:val="175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72B6C">
            <w:pPr>
              <w:pStyle w:val="Standard"/>
              <w:jc w:val="both"/>
            </w:pPr>
            <w:r>
              <w:t>Zmiešané hospodárstvo</w:t>
            </w:r>
          </w:p>
        </w:tc>
      </w:tr>
      <w:tr w:rsidR="005C72AF">
        <w:trPr>
          <w:trHeight w:val="194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5C72AF">
            <w:pPr>
              <w:pStyle w:val="Standard"/>
              <w:jc w:val="both"/>
            </w:pPr>
          </w:p>
        </w:tc>
      </w:tr>
      <w:tr w:rsidR="005C72AF">
        <w:trPr>
          <w:trHeight w:val="194"/>
        </w:trPr>
        <w:tc>
          <w:tcPr>
            <w:tcW w:w="2632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72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2018</w:t>
            </w:r>
          </w:p>
        </w:tc>
      </w:tr>
    </w:tbl>
    <w:p w:rsidR="005C72AF" w:rsidRDefault="005C72AF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72AF" w:rsidRDefault="00F842AA">
      <w:pPr>
        <w:pStyle w:val="Standard"/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(2/7 ZoU)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malá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5C72AF" w:rsidRDefault="005C72AF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-10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194"/>
        <w:gridCol w:w="2835"/>
        <w:gridCol w:w="3260"/>
        <w:gridCol w:w="1279"/>
      </w:tblGrid>
      <w:tr w:rsidR="005C72AF"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C72AF"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D847F5">
            <w:pPr>
              <w:pStyle w:val="Standard"/>
              <w:jc w:val="right"/>
            </w:pPr>
            <w:r>
              <w:t>698007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D847F5">
            <w:pPr>
              <w:pStyle w:val="Standard"/>
              <w:jc w:val="right"/>
            </w:pPr>
            <w:r>
              <w:t>659944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5C72AF"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D847F5">
            <w:pPr>
              <w:pStyle w:val="Standard"/>
              <w:jc w:val="right"/>
            </w:pPr>
            <w:r>
              <w:t>900936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D847F5">
            <w:pPr>
              <w:pStyle w:val="Standard"/>
              <w:jc w:val="right"/>
            </w:pPr>
            <w:r>
              <w:t>871264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5C72AF">
        <w:tc>
          <w:tcPr>
            <w:tcW w:w="2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A7483A">
            <w:pPr>
              <w:pStyle w:val="Standard"/>
              <w:jc w:val="right"/>
            </w:pPr>
            <w:r>
              <w:t>21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A7483A" w:rsidP="00401618">
            <w:pPr>
              <w:pStyle w:val="Standard"/>
              <w:jc w:val="right"/>
            </w:pPr>
            <w:r>
              <w:t>2</w:t>
            </w:r>
            <w:r w:rsidR="00401618">
              <w:t>2</w:t>
            </w:r>
          </w:p>
        </w:tc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5C72AF" w:rsidRDefault="005C72AF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5C72AF" w:rsidRDefault="005C72AF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 za rok 2017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Účtovná závierka za rok 2017 bola schválená </w:t>
      </w:r>
      <w:r w:rsidR="00181353">
        <w:rPr>
          <w:rFonts w:ascii="Arial Narrow" w:hAnsi="Arial Narrow" w:cs="Arial Narrow"/>
          <w:sz w:val="22"/>
          <w:szCs w:val="22"/>
        </w:rPr>
        <w:t>členmi družstva</w:t>
      </w:r>
      <w:r>
        <w:rPr>
          <w:rFonts w:ascii="Arial Narrow" w:hAnsi="Arial Narrow" w:cs="Arial Narrow"/>
          <w:sz w:val="22"/>
          <w:szCs w:val="22"/>
        </w:rPr>
        <w:t xml:space="preserve">, ktoré bolo zvolané </w:t>
      </w:r>
      <w:r w:rsidR="00181353">
        <w:rPr>
          <w:rFonts w:ascii="Arial Narrow" w:hAnsi="Arial Narrow" w:cs="Arial Narrow"/>
          <w:sz w:val="22"/>
          <w:szCs w:val="22"/>
        </w:rPr>
        <w:t>predstavenstvom</w:t>
      </w:r>
      <w:r>
        <w:rPr>
          <w:rFonts w:ascii="Arial Narrow" w:hAnsi="Arial Narrow" w:cs="Arial Narrow"/>
          <w:sz w:val="22"/>
          <w:szCs w:val="22"/>
        </w:rPr>
        <w:t xml:space="preserve">  a konalo sa dňa </w:t>
      </w:r>
      <w:r w:rsidR="00181353">
        <w:rPr>
          <w:rFonts w:ascii="Arial Narrow" w:hAnsi="Arial Narrow" w:cs="Arial Narrow"/>
          <w:sz w:val="22"/>
          <w:szCs w:val="22"/>
        </w:rPr>
        <w:t>29.04.2018</w:t>
      </w:r>
      <w:r>
        <w:rPr>
          <w:rFonts w:ascii="Arial Narrow" w:hAnsi="Arial Narrow" w:cs="Arial Narrow"/>
          <w:sz w:val="22"/>
          <w:szCs w:val="22"/>
        </w:rPr>
        <w:t xml:space="preserve"> v</w:t>
      </w:r>
      <w:r w:rsidR="00181353">
        <w:rPr>
          <w:rFonts w:ascii="Arial Narrow" w:hAnsi="Arial Narrow" w:cs="Arial Narrow"/>
          <w:sz w:val="22"/>
          <w:szCs w:val="22"/>
        </w:rPr>
        <w:t> reštaurácii Pliešovce</w:t>
      </w:r>
      <w:r>
        <w:rPr>
          <w:rFonts w:ascii="Arial Narrow" w:hAnsi="Arial Narrow" w:cs="Arial Narrow"/>
          <w:sz w:val="22"/>
          <w:szCs w:val="22"/>
        </w:rPr>
        <w:t>.</w:t>
      </w:r>
    </w:p>
    <w:p w:rsidR="005C72AF" w:rsidRDefault="005C72AF">
      <w:pPr>
        <w:pStyle w:val="Standard"/>
        <w:spacing w:after="120"/>
        <w:jc w:val="both"/>
      </w:pP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dôvodna zostavenie účtovnej závierky</w:t>
      </w: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794EBC">
        <w:rPr>
          <w:rFonts w:ascii="Arial Narrow" w:hAnsi="Arial Narrow" w:cs="Arial Narrow"/>
          <w:sz w:val="22"/>
          <w:szCs w:val="22"/>
        </w:rPr>
        <w:t>Poľnohospodárske družstvo Pliešovce</w:t>
      </w:r>
      <w:r>
        <w:rPr>
          <w:rFonts w:ascii="Arial Narrow" w:hAnsi="Arial Narrow" w:cs="Arial Narrow"/>
          <w:sz w:val="22"/>
          <w:szCs w:val="22"/>
        </w:rPr>
        <w:t xml:space="preserve"> so sídlom v</w:t>
      </w:r>
      <w:r w:rsidR="00794EBC">
        <w:rPr>
          <w:rFonts w:ascii="Arial Narrow" w:hAnsi="Arial Narrow" w:cs="Arial Narrow"/>
          <w:sz w:val="22"/>
          <w:szCs w:val="22"/>
        </w:rPr>
        <w:t> Sládkovičova 12/583, 962 63  Pliešovce.</w:t>
      </w:r>
      <w:r>
        <w:rPr>
          <w:rFonts w:ascii="Arial Narrow" w:hAnsi="Arial Narrow" w:cs="Arial Narrow"/>
          <w:sz w:val="22"/>
          <w:szCs w:val="22"/>
        </w:rPr>
        <w:t xml:space="preserve"> Bola zostavená za účtovné obdobie od 1.januára do 31.decembra 2018 podľa slovenských právnych predpisov.</w:t>
      </w:r>
    </w:p>
    <w:p w:rsidR="005C72AF" w:rsidRDefault="005C72AF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bCs/>
          <w:sz w:val="22"/>
          <w:szCs w:val="22"/>
        </w:rPr>
        <w:t>Údaje o skupine účtovných jednotiek v súvislosti s konsolidáciou</w:t>
      </w:r>
    </w:p>
    <w:p w:rsidR="005C72AF" w:rsidRDefault="005C72AF">
      <w:pPr>
        <w:pStyle w:val="Standard"/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b/>
          <w:sz w:val="22"/>
          <w:szCs w:val="22"/>
        </w:rPr>
        <w:t>a)Konsolidujúca účtovná jednotka</w:t>
      </w: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747" w:type="dxa"/>
        <w:tblInd w:w="-13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852"/>
        <w:gridCol w:w="2521"/>
        <w:gridCol w:w="2374"/>
      </w:tblGrid>
      <w:tr w:rsidR="005C72AF">
        <w:trPr>
          <w:trHeight w:val="537"/>
        </w:trPr>
        <w:tc>
          <w:tcPr>
            <w:tcW w:w="4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F842AA">
            <w:pPr>
              <w:pStyle w:val="Standard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C72AF">
        <w:trPr>
          <w:trHeight w:val="163"/>
        </w:trPr>
        <w:tc>
          <w:tcPr>
            <w:tcW w:w="48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611F66">
            <w:pPr>
              <w:pStyle w:val="Standard"/>
              <w:jc w:val="center"/>
            </w:pPr>
            <w:r>
              <w:t>21</w:t>
            </w:r>
          </w:p>
        </w:tc>
        <w:tc>
          <w:tcPr>
            <w:tcW w:w="2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5C72AF" w:rsidRDefault="00611F66">
            <w:pPr>
              <w:pStyle w:val="Standard"/>
              <w:jc w:val="center"/>
            </w:pPr>
            <w:r>
              <w:t>22</w:t>
            </w:r>
          </w:p>
        </w:tc>
      </w:tr>
    </w:tbl>
    <w:p w:rsidR="005C72AF" w:rsidRDefault="005C72AF">
      <w:pPr>
        <w:pStyle w:val="Standard"/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6312"/>
        <w:gridCol w:w="1700"/>
        <w:gridCol w:w="1702"/>
      </w:tblGrid>
      <w:tr w:rsidR="005C72AF">
        <w:trPr>
          <w:trHeight w:val="780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F842AA">
            <w:pPr>
              <w:pStyle w:val="TopHeader"/>
            </w:pPr>
            <w:r>
              <w:rPr>
                <w:rFonts w:ascii="Arial Narrow" w:hAnsi="Arial Narrow"/>
              </w:rPr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F842AA">
            <w:pPr>
              <w:pStyle w:val="TopHeader"/>
            </w:pPr>
            <w:r>
              <w:rPr>
                <w:rFonts w:ascii="Arial Narrow" w:hAnsi="Arial Narrow"/>
              </w:rPr>
              <w:t>Bežné účtovné obdobie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F842AA">
            <w:pPr>
              <w:pStyle w:val="TopHeader"/>
            </w:pPr>
            <w:r>
              <w:rPr>
                <w:rFonts w:ascii="Arial Narrow" w:hAnsi="Arial Narrow"/>
              </w:rPr>
              <w:t>Bezprostredne predchádzajúce účtovné obdobie</w:t>
            </w:r>
          </w:p>
        </w:tc>
      </w:tr>
      <w:tr w:rsidR="005C72AF">
        <w:trPr>
          <w:trHeight w:val="267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73653A">
            <w:pPr>
              <w:pStyle w:val="Standard"/>
            </w:pPr>
            <w:r>
              <w:rPr>
                <w:rFonts w:ascii="Arial Narrow" w:hAnsi="Arial Narrow"/>
                <w:b/>
                <w:sz w:val="22"/>
                <w:szCs w:val="22"/>
              </w:rPr>
              <w:t>Predstavenstvo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F842AA">
            <w:pPr>
              <w:pStyle w:val="Standard"/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F842AA">
            <w:pPr>
              <w:pStyle w:val="Standard"/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C72AF">
        <w:trPr>
          <w:trHeight w:val="144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5C72AF">
            <w:pPr>
              <w:pStyle w:val="Standard"/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5C72AF">
            <w:pPr>
              <w:pStyle w:val="Standard"/>
            </w:pP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5C72AF">
            <w:pPr>
              <w:pStyle w:val="Standard"/>
            </w:pPr>
          </w:p>
        </w:tc>
      </w:tr>
      <w:tr w:rsidR="005C72AF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5C72AF">
            <w:pPr>
              <w:pStyle w:val="Standard"/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5C72AF">
            <w:pPr>
              <w:pStyle w:val="Standard"/>
            </w:pP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5C72AF">
            <w:pPr>
              <w:pStyle w:val="Standard"/>
            </w:pPr>
          </w:p>
        </w:tc>
      </w:tr>
      <w:tr w:rsidR="005C72AF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5C72AF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5C72AF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5C72AF" w:rsidRDefault="005C72AF">
            <w:pPr>
              <w:pStyle w:val="Standard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5C72AF" w:rsidRDefault="005C72AF">
      <w:pPr>
        <w:pStyle w:val="Standard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72AF" w:rsidRDefault="005C72AF">
      <w:pPr>
        <w:pStyle w:val="Standard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b/>
          <w:sz w:val="22"/>
          <w:szCs w:val="22"/>
        </w:rPr>
        <w:t>Zostavenie účtovnej závierky – predpoklad nepretržitosti</w:t>
      </w:r>
    </w:p>
    <w:p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Účtovná závierka za rok 2018 bola zostavená za splnenia predpokladu, že účtovná jednotka bude nepretržite pokračovať vo svojej činnosti minimálne 12 mesiacov po závierkovom dni v zmysle § 7 ods. 4 zákona o účtovníctve.</w:t>
      </w:r>
    </w:p>
    <w:p w:rsidR="005C72AF" w:rsidRDefault="005C72AF">
      <w:pPr>
        <w:pStyle w:val="Standard"/>
        <w:ind w:right="-141"/>
        <w:jc w:val="both"/>
      </w:pPr>
    </w:p>
    <w:p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5C72AF" w:rsidRDefault="00F842AA">
      <w:pPr>
        <w:pStyle w:val="Standard"/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>Spoločnosť v priebehu roka 2018 nemenila účtovné zásady ani účtovné metódy.</w:t>
      </w:r>
    </w:p>
    <w:p w:rsidR="005C72AF" w:rsidRDefault="005C72AF">
      <w:pPr>
        <w:pStyle w:val="Standard"/>
        <w:ind w:right="-141"/>
        <w:jc w:val="both"/>
      </w:pPr>
    </w:p>
    <w:p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</w:p>
    <w:p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5C72AF" w:rsidRDefault="005C72AF">
      <w:pPr>
        <w:pStyle w:val="Standard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5C72AF" w:rsidRDefault="00F842AA">
      <w:pPr>
        <w:pStyle w:val="Standard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5C72AF" w:rsidRDefault="005C72AF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5C72AF" w:rsidRDefault="005C72AF">
      <w:pPr>
        <w:pStyle w:val="Textbody"/>
        <w:tabs>
          <w:tab w:val="left" w:pos="808"/>
        </w:tabs>
        <w:ind w:left="0" w:firstLine="0"/>
        <w:jc w:val="center"/>
        <w:rPr>
          <w:rFonts w:ascii="Arial Narrow" w:hAnsi="Arial Narrow" w:cs="Arial"/>
          <w:b/>
          <w:sz w:val="22"/>
          <w:szCs w:val="22"/>
          <w:lang w:val="sk-SK"/>
        </w:rPr>
      </w:pPr>
    </w:p>
    <w:p w:rsidR="005C72AF" w:rsidRDefault="00F842AA">
      <w:pPr>
        <w:pStyle w:val="Textbody"/>
        <w:tabs>
          <w:tab w:val="left" w:pos="808"/>
        </w:tabs>
        <w:ind w:left="0" w:firstLine="0"/>
        <w:jc w:val="center"/>
      </w:pPr>
      <w:r>
        <w:rPr>
          <w:rFonts w:ascii="Arial Narrow" w:hAnsi="Arial Narrow" w:cs="Arial"/>
          <w:b/>
          <w:sz w:val="22"/>
          <w:szCs w:val="22"/>
          <w:lang w:val="sk-SK"/>
        </w:rPr>
        <w:t>Č.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center"/>
      </w:pPr>
      <w:r>
        <w:rPr>
          <w:rFonts w:ascii="Arial Narrow" w:hAnsi="Arial Narrow" w:cs="Arial"/>
          <w:b/>
          <w:sz w:val="22"/>
          <w:szCs w:val="22"/>
          <w:lang w:val="sk-SK"/>
        </w:rPr>
        <w:t>Názov položky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center"/>
      </w:pPr>
      <w:r>
        <w:rPr>
          <w:rFonts w:ascii="Arial Narrow" w:hAnsi="Arial Narrow" w:cs="Arial"/>
          <w:b/>
          <w:sz w:val="22"/>
          <w:szCs w:val="22"/>
          <w:lang w:val="sk-SK"/>
        </w:rPr>
        <w:t>Spôsob oceňovania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externe kúpený: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2.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nehmotný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interne vytvorený: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Vlastné náklady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3.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nehmotný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obstaraný inak (darom):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Cena stanovená znalcom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4.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Dlhodobý hmotný majetok externe kúpený: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5.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hmotný ma</w:t>
      </w:r>
      <w:r>
        <w:rPr>
          <w:rFonts w:ascii="Arial Narrow" w:hAnsi="Arial Narrow" w:cs="Arial"/>
          <w:spacing w:val="2"/>
          <w:sz w:val="22"/>
          <w:szCs w:val="22"/>
          <w:lang w:val="sk-SK"/>
        </w:rPr>
        <w:t>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interne vytvorený: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Vlastné náklady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6.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Dlhodobý nehmotný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 obstaraný inak (darom):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Cena stanovená znalcom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7.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Dlhodobý finančný majetok: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8.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Zásoby obst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a</w:t>
      </w:r>
      <w:r>
        <w:rPr>
          <w:rFonts w:ascii="Arial Narrow" w:hAnsi="Arial Narrow" w:cs="Arial"/>
          <w:sz w:val="22"/>
          <w:szCs w:val="22"/>
          <w:lang w:val="sk-SK"/>
        </w:rPr>
        <w:t>r</w:t>
      </w:r>
      <w:r>
        <w:rPr>
          <w:rFonts w:ascii="Arial Narrow" w:hAnsi="Arial Narrow" w:cs="Arial"/>
          <w:spacing w:val="-2"/>
          <w:sz w:val="22"/>
          <w:szCs w:val="22"/>
          <w:lang w:val="sk-SK"/>
        </w:rPr>
        <w:t>a</w:t>
      </w:r>
      <w:r>
        <w:rPr>
          <w:rFonts w:ascii="Arial Narrow" w:hAnsi="Arial Narrow" w:cs="Arial"/>
          <w:spacing w:val="4"/>
          <w:sz w:val="22"/>
          <w:szCs w:val="22"/>
          <w:lang w:val="sk-SK"/>
        </w:rPr>
        <w:t xml:space="preserve">né </w:t>
      </w:r>
      <w:r>
        <w:rPr>
          <w:rFonts w:ascii="Arial Narrow" w:hAnsi="Arial Narrow" w:cs="Arial"/>
          <w:sz w:val="22"/>
          <w:szCs w:val="22"/>
          <w:lang w:val="sk-SK"/>
        </w:rPr>
        <w:t>kúpo</w:t>
      </w:r>
      <w:r>
        <w:rPr>
          <w:rFonts w:ascii="Arial Narrow" w:hAnsi="Arial Narrow" w:cs="Arial"/>
          <w:spacing w:val="2"/>
          <w:sz w:val="22"/>
          <w:szCs w:val="22"/>
          <w:lang w:val="sk-SK"/>
        </w:rPr>
        <w:t>u: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9.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1"/>
          <w:sz w:val="22"/>
          <w:szCs w:val="22"/>
          <w:lang w:val="sk-SK"/>
        </w:rPr>
        <w:t>Z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 xml:space="preserve">soby </w:t>
      </w:r>
      <w:r>
        <w:rPr>
          <w:rFonts w:ascii="Arial Narrow" w:hAnsi="Arial Narrow" w:cs="Arial"/>
          <w:spacing w:val="2"/>
          <w:sz w:val="22"/>
          <w:szCs w:val="22"/>
          <w:lang w:val="sk-SK"/>
        </w:rPr>
        <w:t>v</w:t>
      </w:r>
      <w:r>
        <w:rPr>
          <w:rFonts w:ascii="Arial Narrow" w:hAnsi="Arial Narrow" w:cs="Arial"/>
          <w:spacing w:val="-5"/>
          <w:sz w:val="22"/>
          <w:szCs w:val="22"/>
          <w:lang w:val="sk-SK"/>
        </w:rPr>
        <w:t>y</w:t>
      </w:r>
      <w:r>
        <w:rPr>
          <w:rFonts w:ascii="Arial Narrow" w:hAnsi="Arial Narrow" w:cs="Arial"/>
          <w:sz w:val="22"/>
          <w:szCs w:val="22"/>
          <w:lang w:val="sk-SK"/>
        </w:rPr>
        <w:t>tvor</w:t>
      </w:r>
      <w:r>
        <w:rPr>
          <w:rFonts w:ascii="Arial Narrow" w:hAnsi="Arial Narrow" w:cs="Arial"/>
          <w:spacing w:val="-2"/>
          <w:sz w:val="22"/>
          <w:szCs w:val="22"/>
          <w:lang w:val="sk-SK"/>
        </w:rPr>
        <w:t>e</w:t>
      </w:r>
      <w:r>
        <w:rPr>
          <w:rFonts w:ascii="Arial Narrow" w:hAnsi="Arial Narrow" w:cs="Arial"/>
          <w:spacing w:val="4"/>
          <w:sz w:val="22"/>
          <w:szCs w:val="22"/>
          <w:lang w:val="sk-SK"/>
        </w:rPr>
        <w:t xml:space="preserve">né </w:t>
      </w:r>
      <w:r>
        <w:rPr>
          <w:rFonts w:ascii="Arial Narrow" w:hAnsi="Arial Narrow" w:cs="Arial"/>
          <w:sz w:val="22"/>
          <w:szCs w:val="22"/>
          <w:lang w:val="sk-SK"/>
        </w:rPr>
        <w:t>vlastnou činnosťou: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Vlastné náklady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1"/>
          <w:sz w:val="22"/>
          <w:szCs w:val="22"/>
          <w:lang w:val="sk-SK"/>
        </w:rPr>
        <w:t>10.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1"/>
          <w:sz w:val="22"/>
          <w:szCs w:val="22"/>
          <w:lang w:val="sk-SK"/>
        </w:rPr>
        <w:t>Z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>soby obstarané inak (darom):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Cena stanovená znalcom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11.</w:t>
      </w:r>
    </w:p>
    <w:p w:rsidR="005C72AF" w:rsidRDefault="00F842AA">
      <w:pPr>
        <w:pStyle w:val="Textbody"/>
        <w:tabs>
          <w:tab w:val="left" w:pos="808"/>
        </w:tabs>
        <w:ind w:left="0" w:firstLine="0"/>
      </w:pPr>
      <w:r>
        <w:rPr>
          <w:rFonts w:ascii="Arial Narrow" w:hAnsi="Arial Narrow" w:cs="Arial"/>
          <w:sz w:val="22"/>
          <w:szCs w:val="22"/>
          <w:lang w:val="sk-SK"/>
        </w:rPr>
        <w:t>ZV a zákazková výstavba nehnuteľnosti určenej na predaj: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12.1.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Vlastné pohľ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a</w:t>
      </w:r>
      <w:r>
        <w:rPr>
          <w:rFonts w:ascii="Arial Narrow" w:hAnsi="Arial Narrow" w:cs="Arial"/>
          <w:sz w:val="22"/>
          <w:szCs w:val="22"/>
          <w:lang w:val="sk-SK"/>
        </w:rPr>
        <w:t>d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>vky: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12.2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Kúpené pohľ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a</w:t>
      </w:r>
      <w:r>
        <w:rPr>
          <w:rFonts w:ascii="Arial Narrow" w:hAnsi="Arial Narrow" w:cs="Arial"/>
          <w:sz w:val="22"/>
          <w:szCs w:val="22"/>
          <w:lang w:val="sk-SK"/>
        </w:rPr>
        <w:t>d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á</w:t>
      </w:r>
      <w:r>
        <w:rPr>
          <w:rFonts w:ascii="Arial Narrow" w:hAnsi="Arial Narrow" w:cs="Arial"/>
          <w:sz w:val="22"/>
          <w:szCs w:val="22"/>
          <w:lang w:val="sk-SK"/>
        </w:rPr>
        <w:t>vky: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13.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K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rá</w:t>
      </w:r>
      <w:r>
        <w:rPr>
          <w:rFonts w:ascii="Arial Narrow" w:hAnsi="Arial Narrow" w:cs="Arial"/>
          <w:sz w:val="22"/>
          <w:szCs w:val="22"/>
          <w:lang w:val="sk-SK"/>
        </w:rPr>
        <w:t xml:space="preserve">tkodobý </w:t>
      </w:r>
      <w:r>
        <w:rPr>
          <w:rFonts w:ascii="Arial Narrow" w:hAnsi="Arial Narrow" w:cs="Arial"/>
          <w:spacing w:val="-2"/>
          <w:sz w:val="22"/>
          <w:szCs w:val="22"/>
          <w:lang w:val="sk-SK"/>
        </w:rPr>
        <w:t>f</w:t>
      </w:r>
      <w:r>
        <w:rPr>
          <w:rFonts w:ascii="Arial Narrow" w:hAnsi="Arial Narrow" w:cs="Arial"/>
          <w:sz w:val="22"/>
          <w:szCs w:val="22"/>
          <w:lang w:val="sk-SK"/>
        </w:rPr>
        <w:t>ina</w:t>
      </w:r>
      <w:r>
        <w:rPr>
          <w:rFonts w:ascii="Arial Narrow" w:hAnsi="Arial Narrow" w:cs="Arial"/>
          <w:spacing w:val="1"/>
          <w:sz w:val="22"/>
          <w:szCs w:val="22"/>
          <w:lang w:val="sk-SK"/>
        </w:rPr>
        <w:t>n</w:t>
      </w:r>
      <w:r w:rsidR="002D58AF">
        <w:t>č</w:t>
      </w:r>
      <w:r>
        <w:rPr>
          <w:rFonts w:ascii="Arial Narrow" w:hAnsi="Arial Narrow" w:cs="Arial"/>
          <w:sz w:val="22"/>
          <w:szCs w:val="22"/>
          <w:lang w:val="sk-SK"/>
        </w:rPr>
        <w:t>ný maj</w:t>
      </w:r>
      <w:r>
        <w:rPr>
          <w:rFonts w:ascii="Arial Narrow" w:hAnsi="Arial Narrow" w:cs="Arial"/>
          <w:spacing w:val="-1"/>
          <w:sz w:val="22"/>
          <w:szCs w:val="22"/>
          <w:lang w:val="sk-SK"/>
        </w:rPr>
        <w:t>e</w:t>
      </w:r>
      <w:r>
        <w:rPr>
          <w:rFonts w:ascii="Arial Narrow" w:hAnsi="Arial Narrow" w:cs="Arial"/>
          <w:sz w:val="22"/>
          <w:szCs w:val="22"/>
          <w:lang w:val="sk-SK"/>
        </w:rPr>
        <w:t>tok: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lastRenderedPageBreak/>
        <w:t>Obstarávacia cena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-1"/>
          <w:sz w:val="22"/>
          <w:szCs w:val="22"/>
          <w:lang w:val="sk-SK"/>
        </w:rPr>
        <w:t>14.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Časové rozlíšenie na strane aktív súvahy: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15.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Záväzky, vrátane rezerv, dlhopisov, pôžičiek a úverov: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16.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Časové rozlíšenie na strane pasív súvahy: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17.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en-AU"/>
        </w:rPr>
        <w:t>D</w:t>
      </w:r>
      <w:r>
        <w:rPr>
          <w:rFonts w:ascii="Arial Narrow" w:hAnsi="Arial Narrow" w:cs="Arial"/>
          <w:spacing w:val="-1"/>
          <w:sz w:val="22"/>
          <w:szCs w:val="22"/>
          <w:lang w:val="en-AU"/>
        </w:rPr>
        <w:t>e</w:t>
      </w:r>
      <w:r>
        <w:rPr>
          <w:rFonts w:ascii="Arial Narrow" w:hAnsi="Arial Narrow" w:cs="Arial"/>
          <w:sz w:val="22"/>
          <w:szCs w:val="22"/>
          <w:lang w:val="en-AU"/>
        </w:rPr>
        <w:t>riv</w:t>
      </w:r>
      <w:r>
        <w:rPr>
          <w:rFonts w:ascii="Arial Narrow" w:hAnsi="Arial Narrow" w:cs="Arial"/>
          <w:spacing w:val="-2"/>
          <w:sz w:val="22"/>
          <w:szCs w:val="22"/>
          <w:lang w:val="en-AU"/>
        </w:rPr>
        <w:t>á</w:t>
      </w:r>
      <w:r>
        <w:rPr>
          <w:rFonts w:ascii="Arial Narrow" w:hAnsi="Arial Narrow" w:cs="Arial"/>
          <w:sz w:val="22"/>
          <w:szCs w:val="22"/>
          <w:lang w:val="en-AU"/>
        </w:rPr>
        <w:t>ty: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pacing w:val="-1"/>
          <w:sz w:val="22"/>
          <w:szCs w:val="22"/>
          <w:lang w:val="sk-SK"/>
        </w:rPr>
        <w:t>18.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Majetok a záväzky zabezpečené derivátmi: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19.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Prenajatý majetok a majetok obstaraný na základe zmluvy o kúpe prenajatej veci: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Obstarávacia cena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20.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>Splatná daň z príjmov a odložená daň z príjmov:</w:t>
      </w:r>
    </w:p>
    <w:p w:rsidR="005C72AF" w:rsidRDefault="00F842AA">
      <w:pPr>
        <w:pStyle w:val="Textbody"/>
        <w:tabs>
          <w:tab w:val="left" w:pos="808"/>
        </w:tabs>
        <w:ind w:left="0" w:firstLine="0"/>
        <w:jc w:val="both"/>
      </w:pPr>
      <w:r>
        <w:rPr>
          <w:rFonts w:ascii="Arial Narrow" w:hAnsi="Arial Narrow" w:cs="Arial"/>
          <w:sz w:val="22"/>
          <w:szCs w:val="22"/>
          <w:lang w:val="sk-SK"/>
        </w:rPr>
        <w:t>Menovitá hodnota</w:t>
      </w:r>
    </w:p>
    <w:p w:rsidR="005C72AF" w:rsidRDefault="005C72AF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lang w:val="sk-SK"/>
        </w:rPr>
      </w:pPr>
    </w:p>
    <w:p w:rsidR="005C72AF" w:rsidRDefault="005C72AF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lang w:val="sk-SK"/>
        </w:rPr>
      </w:pPr>
    </w:p>
    <w:p w:rsidR="005C72AF" w:rsidRDefault="00F842A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 w:rsidR="00ED5FAA">
        <w:rPr>
          <w:rFonts w:ascii="Arial Narrow" w:hAnsi="Arial Narrow" w:cs="Arial Narrow"/>
          <w:sz w:val="22"/>
          <w:szCs w:val="22"/>
        </w:rPr>
        <w:t>Opravné položky neboli tvorené.</w:t>
      </w:r>
    </w:p>
    <w:p w:rsidR="00ED5FAA" w:rsidRDefault="00ED5FA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</w:t>
      </w:r>
    </w:p>
    <w:p w:rsidR="005C72AF" w:rsidRDefault="005C72AF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. Účtovná jednotka počas účtovného obdobia ani k závierkovému dňu nepoužila ocenenie reálnou hodnotou, lebo nemala k tomu vecnú náplň.</w:t>
      </w:r>
    </w:p>
    <w:p w:rsidR="005C72AF" w:rsidRDefault="005C72AF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nákladmi. Účtovná jednotka počas účtovného obdobia ani k závierkovému dňu nepoužila ocenenie obstarávacou cenou alebo vlastnými nákladmi, lebo nemala k tomu vecnú náplň.</w:t>
      </w: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Účtovná jednotka používa pri oceňovaní prírastku cudzej meny v hotovosti alebo na bankový účet – zmenárenský kurz konkrétnej banky (§ 24/3 ZoU). Účtovná jednotka používa pri oceňovaní úbytku cudzej meny v hotovosti alebo z bankového účtu – základné pravidlo (D-1), teda kurz zo dňa predchádzajúceho dňu účtovného prípadu (§ 24/2/a; § 24/6 ZoU).</w:t>
      </w:r>
    </w:p>
    <w:p w:rsidR="005C72AF" w:rsidRDefault="005C72AF">
      <w:pPr>
        <w:pStyle w:val="Standard"/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5C72AF" w:rsidRDefault="00F842AA">
      <w:pPr>
        <w:pStyle w:val="Standard"/>
      </w:pPr>
      <w:r>
        <w:rPr>
          <w:rFonts w:ascii="Arial Narrow" w:hAnsi="Arial Narrow" w:cs="Arial Narrow"/>
          <w:sz w:val="22"/>
          <w:szCs w:val="22"/>
        </w:rPr>
        <w:t>g) Tvorba odpisového plánu pre dlhodobý majetok</w:t>
      </w:r>
    </w:p>
    <w:p w:rsidR="005C72AF" w:rsidRDefault="005C72AF">
      <w:pPr>
        <w:pStyle w:val="Standard"/>
      </w:pPr>
    </w:p>
    <w:tbl>
      <w:tblPr>
        <w:tblW w:w="9616" w:type="dxa"/>
        <w:tblInd w:w="-133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216"/>
        <w:gridCol w:w="1013"/>
        <w:gridCol w:w="2107"/>
        <w:gridCol w:w="2280"/>
      </w:tblGrid>
      <w:tr w:rsidR="005C72AF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odpisová sadzba</w:t>
            </w:r>
          </w:p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5C72AF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25 %</w:t>
            </w:r>
          </w:p>
        </w:tc>
      </w:tr>
      <w:tr w:rsidR="005C72AF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5 %</w:t>
            </w:r>
          </w:p>
        </w:tc>
      </w:tr>
      <w:tr w:rsidR="005C72AF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2,5 %</w:t>
            </w:r>
          </w:p>
        </w:tc>
      </w:tr>
      <w:tr w:rsidR="005C72AF"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Standard"/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16,60%</w:t>
            </w:r>
          </w:p>
        </w:tc>
      </w:tr>
    </w:tbl>
    <w:p w:rsidR="005C72AF" w:rsidRDefault="005C72AF">
      <w:pPr>
        <w:pStyle w:val="Standard"/>
        <w:rPr>
          <w:rFonts w:ascii="Arial Narrow" w:hAnsi="Arial Narrow"/>
        </w:rPr>
      </w:pPr>
    </w:p>
    <w:p w:rsidR="00252B60" w:rsidRDefault="00252B60">
      <w:pPr>
        <w:pStyle w:val="Standard"/>
        <w:rPr>
          <w:rFonts w:ascii="Arial Narrow" w:hAnsi="Arial Narrow"/>
          <w:sz w:val="22"/>
          <w:szCs w:val="22"/>
        </w:rPr>
      </w:pPr>
    </w:p>
    <w:p w:rsidR="005C72AF" w:rsidRDefault="00F842AA">
      <w:pPr>
        <w:pStyle w:val="Standard"/>
      </w:pPr>
      <w:r>
        <w:rPr>
          <w:rFonts w:ascii="Arial Narrow" w:hAnsi="Arial Narrow"/>
          <w:sz w:val="22"/>
          <w:szCs w:val="22"/>
        </w:rPr>
        <w:lastRenderedPageBreak/>
        <w:t>Komentár k odpisovému plánu:</w:t>
      </w:r>
    </w:p>
    <w:p w:rsidR="005C72AF" w:rsidRDefault="00F842AA">
      <w:pPr>
        <w:pStyle w:val="Odsekzoznamu"/>
        <w:numPr>
          <w:ilvl w:val="0"/>
          <w:numId w:val="23"/>
        </w:numPr>
        <w:jc w:val="both"/>
      </w:pPr>
      <w:r>
        <w:rPr>
          <w:rFonts w:ascii="Arial Narrow" w:hAnsi="Arial Narrow"/>
          <w:sz w:val="22"/>
          <w:szCs w:val="22"/>
        </w:rPr>
        <w:t>Odpisový plán účtovných odpisov vychádza z predpokladaného opotrebenia zaraďovaného majetku zodpovedajúceho bežným podmienkam jeho používania, pričom sa odhaduje reálna ekonomická životnosť tohto majetku. Majetok sa odpisuje počas predpokladanej doby používania,  zodpovedajúcej spotrebe budúcich ekonomických úžitkov z majetku. Účtovné odpisy sú rovnomerné. Majetok sa začína odpisovať v mesiaci zaradenia do používania.</w:t>
      </w:r>
    </w:p>
    <w:p w:rsidR="005C72AF" w:rsidRDefault="00F842AA">
      <w:pPr>
        <w:pStyle w:val="Standard"/>
        <w:numPr>
          <w:ilvl w:val="0"/>
          <w:numId w:val="17"/>
        </w:numPr>
      </w:pPr>
      <w:r>
        <w:rPr>
          <w:rFonts w:ascii="Arial Narrow" w:hAnsi="Arial Narrow"/>
          <w:sz w:val="22"/>
          <w:szCs w:val="22"/>
        </w:rPr>
        <w:t>UJ používa</w:t>
      </w:r>
      <w:r>
        <w:rPr>
          <w:rFonts w:ascii="Arial Narrow" w:hAnsi="Arial Narrow" w:cs="Arial"/>
          <w:sz w:val="22"/>
          <w:szCs w:val="22"/>
        </w:rPr>
        <w:t xml:space="preserve"> rovnomerné odpisovanie dlhodobého hmotného a nehmotného majetku.</w:t>
      </w:r>
    </w:p>
    <w:p w:rsidR="005C72AF" w:rsidRDefault="00F842AA">
      <w:pPr>
        <w:pStyle w:val="Standard"/>
        <w:numPr>
          <w:ilvl w:val="0"/>
          <w:numId w:val="17"/>
        </w:numPr>
      </w:pPr>
      <w:r>
        <w:rPr>
          <w:rFonts w:ascii="Arial Narrow" w:hAnsi="Arial Narrow" w:cs="Arial"/>
          <w:sz w:val="22"/>
          <w:szCs w:val="22"/>
        </w:rPr>
        <w:t>UJ nepoužíva jednorázový odpis dlhodobého majetku z dôvodu jednorázového trvalého zníženia hodnoty majetku (§13/2 PU)</w:t>
      </w:r>
    </w:p>
    <w:p w:rsidR="005C72AF" w:rsidRDefault="00F842AA">
      <w:pPr>
        <w:pStyle w:val="Standard"/>
        <w:numPr>
          <w:ilvl w:val="0"/>
          <w:numId w:val="17"/>
        </w:numPr>
      </w:pPr>
      <w:r>
        <w:rPr>
          <w:rFonts w:ascii="Arial Narrow" w:hAnsi="Arial Narrow" w:cs="Arial"/>
          <w:sz w:val="22"/>
          <w:szCs w:val="22"/>
        </w:rPr>
        <w:t>UJ nepoužíva kategóriu drobného dlhodobé</w:t>
      </w:r>
      <w:r w:rsidR="00CB6EA9">
        <w:rPr>
          <w:rFonts w:ascii="Arial Narrow" w:hAnsi="Arial Narrow" w:cs="Arial"/>
          <w:sz w:val="22"/>
          <w:szCs w:val="22"/>
        </w:rPr>
        <w:t>ho</w:t>
      </w:r>
      <w:r>
        <w:rPr>
          <w:rFonts w:ascii="Arial Narrow" w:hAnsi="Arial Narrow" w:cs="Arial"/>
          <w:sz w:val="22"/>
          <w:szCs w:val="22"/>
        </w:rPr>
        <w:t xml:space="preserve"> nehmotného majetku – položky pod 2400 eur jednotkovej ceny,  životnosť nad jeden rok</w:t>
      </w:r>
    </w:p>
    <w:p w:rsidR="005C72AF" w:rsidRDefault="00CB6EA9">
      <w:pPr>
        <w:pStyle w:val="Standard"/>
        <w:numPr>
          <w:ilvl w:val="0"/>
          <w:numId w:val="17"/>
        </w:num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F842AA">
        <w:rPr>
          <w:rFonts w:ascii="Arial Narrow" w:hAnsi="Arial Narrow" w:cs="Arial"/>
          <w:sz w:val="22"/>
          <w:szCs w:val="22"/>
        </w:rPr>
        <w:t>používa kategóriu drobného dlhodobého hmotného majetku – položky pod 1700 eur jednotkovej ceny, životnosť nad jeden rok</w:t>
      </w:r>
    </w:p>
    <w:p w:rsidR="005C72AF" w:rsidRDefault="005C72AF" w:rsidP="00CB450F">
      <w:pPr>
        <w:pStyle w:val="Standard"/>
        <w:ind w:left="720"/>
        <w:rPr>
          <w:rFonts w:ascii="Arial Narrow" w:hAnsi="Arial Narrow" w:cs="Arial"/>
          <w:sz w:val="22"/>
          <w:szCs w:val="22"/>
        </w:rPr>
      </w:pPr>
    </w:p>
    <w:p w:rsidR="005C72AF" w:rsidRDefault="00F842AA">
      <w:pPr>
        <w:pStyle w:val="Standard"/>
        <w:jc w:val="both"/>
      </w:pPr>
      <w:r>
        <w:rPr>
          <w:rFonts w:ascii="Arial Narrow" w:hAnsi="Arial Narrow"/>
          <w:sz w:val="22"/>
          <w:szCs w:val="22"/>
        </w:rPr>
        <w:t>Daňové odpisy sa uplatňujú podľa sadzieb uvedených v zákone o dani z príjmov platných pre rovnomerné odpisovanie.</w:t>
      </w:r>
    </w:p>
    <w:p w:rsidR="005C72AF" w:rsidRDefault="005C72AF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Nadpis2"/>
        <w:jc w:val="both"/>
      </w:pPr>
      <w:r>
        <w:rPr>
          <w:rFonts w:ascii="Arial Narrow" w:hAnsi="Arial Narrow" w:cs="Arial Narrow"/>
          <w:sz w:val="22"/>
          <w:szCs w:val="22"/>
        </w:rPr>
        <w:t>h) Informácia o poskytnutých dotáciách a pri dotáciách na obstaranie majetku sa uvedú zložky majetku a ich ocenenie:</w:t>
      </w:r>
    </w:p>
    <w:p w:rsidR="005C72AF" w:rsidRDefault="00500913">
      <w:pPr>
        <w:pStyle w:val="Standard"/>
      </w:pPr>
      <w:r>
        <w:rPr>
          <w:rFonts w:ascii="Arial Narrow" w:hAnsi="Arial Narrow"/>
          <w:sz w:val="22"/>
          <w:szCs w:val="22"/>
        </w:rPr>
        <w:t xml:space="preserve">Spoločnosť </w:t>
      </w:r>
      <w:r w:rsidR="00F842AA">
        <w:rPr>
          <w:rFonts w:ascii="Arial Narrow" w:hAnsi="Arial Narrow"/>
          <w:sz w:val="22"/>
          <w:szCs w:val="22"/>
        </w:rPr>
        <w:t xml:space="preserve">prijala dotácie na </w:t>
      </w:r>
      <w:r>
        <w:rPr>
          <w:rFonts w:ascii="Arial Narrow" w:hAnsi="Arial Narrow"/>
          <w:sz w:val="22"/>
          <w:szCs w:val="22"/>
        </w:rPr>
        <w:t xml:space="preserve">platbu na dojnice, na chov býkov, na pôdu, </w:t>
      </w:r>
      <w:r w:rsidR="00FA36C2">
        <w:rPr>
          <w:rFonts w:ascii="Arial Narrow" w:hAnsi="Arial Narrow"/>
          <w:sz w:val="22"/>
          <w:szCs w:val="22"/>
        </w:rPr>
        <w:t xml:space="preserve"> na </w:t>
      </w:r>
      <w:r>
        <w:rPr>
          <w:rFonts w:ascii="Arial Narrow" w:hAnsi="Arial Narrow"/>
          <w:sz w:val="22"/>
          <w:szCs w:val="22"/>
        </w:rPr>
        <w:t>znevýhodnené podmienky, na finančnú disciplínu, na postupy prospešné pre klímu a životné prostredie spolu v sume 344 759,22 eur. Spoločnosť nemala poskytnuté dotácie na</w:t>
      </w:r>
      <w:r w:rsidR="00F842AA">
        <w:rPr>
          <w:rFonts w:ascii="Arial Narrow" w:hAnsi="Arial Narrow"/>
          <w:sz w:val="22"/>
          <w:szCs w:val="22"/>
        </w:rPr>
        <w:t xml:space="preserve"> obstaranie majetku.</w:t>
      </w:r>
    </w:p>
    <w:p w:rsidR="005C72AF" w:rsidRDefault="005C72AF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Nadpis2"/>
        <w:jc w:val="both"/>
      </w:pPr>
      <w:r>
        <w:rPr>
          <w:rFonts w:ascii="Arial Narrow" w:hAnsi="Arial Narrow" w:cs="Arial Narrow"/>
          <w:sz w:val="22"/>
          <w:szCs w:val="22"/>
        </w:rPr>
        <w:t>5) Informácie o oprave významných a nevýznamných chýb minulých účtovných období účtovaných v bežnom účtovnom období: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Spoločnosť v roku 2018 neúčtovala významné ani menej významné chyby minulých účtovných období.</w:t>
      </w:r>
    </w:p>
    <w:p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 STRÁT</w:t>
      </w:r>
    </w:p>
    <w:p w:rsidR="005C72AF" w:rsidRDefault="005C72AF">
      <w:pPr>
        <w:pStyle w:val="Standard"/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Spoločnosť v roku 2017 neúčtovala o goodwille ani o zápornom goodwille.</w:t>
      </w:r>
    </w:p>
    <w:p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5C72AF" w:rsidRDefault="00F842AA">
      <w:pPr>
        <w:pStyle w:val="Standard"/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5C72AF" w:rsidRDefault="00F842AA">
      <w:pPr>
        <w:pStyle w:val="Standard"/>
        <w:spacing w:before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>Spoločnosť k 31.12.2018 neeviduje záväzky so zostatkovou dobou splatnosti dlhšou ako 5 rokov.</w:t>
      </w:r>
    </w:p>
    <w:p w:rsidR="005C72AF" w:rsidRDefault="005C72AF">
      <w:pPr>
        <w:pStyle w:val="Standard"/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za bežné účtovné obdobie:</w:t>
      </w:r>
    </w:p>
    <w:tbl>
      <w:tblPr>
        <w:tblW w:w="9497" w:type="dxa"/>
        <w:tblInd w:w="1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165"/>
        <w:gridCol w:w="3160"/>
        <w:gridCol w:w="3172"/>
      </w:tblGrid>
      <w:tr w:rsidR="005C72AF">
        <w:tc>
          <w:tcPr>
            <w:tcW w:w="31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TableContents"/>
              <w:jc w:val="both"/>
            </w:pPr>
            <w:r>
              <w:rPr>
                <w:rFonts w:ascii="Arial Narrow" w:hAnsi="Arial Narrow" w:cs="Arial Narrow"/>
                <w:b/>
              </w:rPr>
              <w:t>Zabezpečené záväzky</w:t>
            </w:r>
          </w:p>
        </w:tc>
        <w:tc>
          <w:tcPr>
            <w:tcW w:w="316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TableContents"/>
              <w:jc w:val="both"/>
            </w:pPr>
            <w:r>
              <w:rPr>
                <w:rFonts w:ascii="Arial Narrow" w:hAnsi="Arial Narrow" w:cs="Arial Narrow"/>
                <w:b/>
              </w:rPr>
              <w:t>Spôsob zabezpečenia</w:t>
            </w:r>
          </w:p>
        </w:tc>
        <w:tc>
          <w:tcPr>
            <w:tcW w:w="31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F842AA">
            <w:pPr>
              <w:pStyle w:val="TableContents"/>
              <w:jc w:val="center"/>
            </w:pPr>
            <w:r>
              <w:rPr>
                <w:rFonts w:ascii="Arial Narrow" w:hAnsi="Arial Narrow" w:cs="Arial Narrow"/>
                <w:b/>
              </w:rPr>
              <w:t>Hodnota záväzkov</w:t>
            </w:r>
          </w:p>
        </w:tc>
      </w:tr>
      <w:tr w:rsidR="005C72AF">
        <w:tc>
          <w:tcPr>
            <w:tcW w:w="3165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5C72AF">
            <w:pPr>
              <w:pStyle w:val="TableContents"/>
              <w:jc w:val="both"/>
            </w:pPr>
          </w:p>
        </w:tc>
        <w:tc>
          <w:tcPr>
            <w:tcW w:w="316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5C72AF">
            <w:pPr>
              <w:pStyle w:val="TableContents"/>
              <w:jc w:val="both"/>
            </w:pPr>
          </w:p>
        </w:tc>
        <w:tc>
          <w:tcPr>
            <w:tcW w:w="3172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5C72AF" w:rsidRDefault="005C72AF">
            <w:pPr>
              <w:pStyle w:val="TableContents"/>
              <w:jc w:val="right"/>
            </w:pPr>
          </w:p>
        </w:tc>
      </w:tr>
    </w:tbl>
    <w:p w:rsidR="0088503A" w:rsidRDefault="0088503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 31.12.2018 sa vykonáva odsúhlasenie záväzkov, ktoré sa posiela poštou každému odberateľovi, a tým dochádza k uznaniu záväzku.</w:t>
      </w: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>Spoločnosť nevlastní vlastné akcie.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>Bez náplne.</w:t>
      </w:r>
    </w:p>
    <w:p w:rsidR="005C72AF" w:rsidRDefault="005C72AF">
      <w:pPr>
        <w:pStyle w:val="Standard"/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:rsidR="005C72AF" w:rsidRDefault="005C72AF">
      <w:pPr>
        <w:pStyle w:val="Standard"/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ručenia:</w:t>
      </w: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5C72AF" w:rsidRDefault="00F842A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5C72AF" w:rsidRDefault="005C72AF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5C72AF" w:rsidRDefault="00F842A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5C72AF" w:rsidRDefault="00594A7C" w:rsidP="00594A7C">
      <w:pPr>
        <w:pStyle w:val="Standard"/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Účty sk.7.-uzávierkové účty a podsúvahové, sk.8. a 9.-vnútroorganizačné účtovníctvo</w:t>
      </w:r>
    </w:p>
    <w:p w:rsidR="00594A7C" w:rsidRPr="00594A7C" w:rsidRDefault="00594A7C" w:rsidP="00594A7C">
      <w:pPr>
        <w:pStyle w:val="Standard"/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C72AF" w:rsidRDefault="005C72AF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C72AF" w:rsidRDefault="00F842AA">
      <w:pPr>
        <w:pStyle w:val="Standard"/>
        <w:ind w:right="-468"/>
      </w:pPr>
      <w:r>
        <w:rPr>
          <w:rFonts w:ascii="Arial Narrow" w:hAnsi="Arial Narrow" w:cs="Arial Narrow"/>
          <w:bCs/>
          <w:sz w:val="22"/>
          <w:szCs w:val="22"/>
        </w:rPr>
        <w:t>Po 31. decembri 2018 až do zostavenia účtovnej závierky nenastali také udalosti, ktoré by významným spôsobom ovplyvnili aktíva a pasíva spoločnosti.</w:t>
      </w:r>
    </w:p>
    <w:p w:rsidR="005C72AF" w:rsidRDefault="005C72AF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C72AF" w:rsidRDefault="005C72AF">
      <w:pPr>
        <w:pStyle w:val="Standard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C72AF" w:rsidRDefault="00F842AA">
      <w:pPr>
        <w:pStyle w:val="Standard"/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5C72AF" w:rsidRDefault="005C72AF">
      <w:pPr>
        <w:pStyle w:val="Standard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1)Informácie o výlučnom práve poskytovať služby vo verejnom záujme:</w:t>
      </w:r>
    </w:p>
    <w:p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5C72AF" w:rsidRDefault="00F842AA">
      <w:pPr>
        <w:pStyle w:val="Standard"/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5C72AF" w:rsidRDefault="005C72AF">
      <w:pPr>
        <w:pStyle w:val="Standard"/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C72AF" w:rsidRDefault="005C72AF">
      <w:pPr>
        <w:pStyle w:val="Standard"/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C72AF" w:rsidRDefault="00F842AA">
      <w:pPr>
        <w:pStyle w:val="Standard"/>
      </w:pPr>
      <w:r>
        <w:rPr>
          <w:rFonts w:ascii="Arial Narrow" w:hAnsi="Arial Narrow"/>
          <w:sz w:val="22"/>
          <w:szCs w:val="22"/>
        </w:rPr>
        <w:t>V</w:t>
      </w:r>
      <w:r w:rsidR="00AB14CB">
        <w:rPr>
          <w:rFonts w:ascii="Arial Narrow" w:hAnsi="Arial Narrow"/>
          <w:sz w:val="22"/>
          <w:szCs w:val="22"/>
        </w:rPr>
        <w:t xml:space="preserve"> Pliešovciach </w:t>
      </w:r>
      <w:r>
        <w:rPr>
          <w:rFonts w:ascii="Arial Narrow" w:hAnsi="Arial Narrow"/>
          <w:sz w:val="22"/>
          <w:szCs w:val="22"/>
        </w:rPr>
        <w:t>dňa</w:t>
      </w:r>
      <w:r w:rsidR="00AB14CB">
        <w:rPr>
          <w:rFonts w:ascii="Arial Narrow" w:hAnsi="Arial Narrow"/>
          <w:sz w:val="22"/>
          <w:szCs w:val="22"/>
        </w:rPr>
        <w:t xml:space="preserve"> 18.03.2019</w:t>
      </w:r>
    </w:p>
    <w:p w:rsidR="005C72AF" w:rsidRDefault="005C72AF">
      <w:pPr>
        <w:pStyle w:val="Standard"/>
      </w:pPr>
    </w:p>
    <w:sectPr w:rsidR="005C72AF" w:rsidSect="00AB14CB">
      <w:headerReference w:type="default" r:id="rId7"/>
      <w:footerReference w:type="default" r:id="rId8"/>
      <w:pgSz w:w="11906" w:h="16838"/>
      <w:pgMar w:top="1134" w:right="992" w:bottom="1135" w:left="1417" w:header="567" w:footer="567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1A24" w:rsidRDefault="008C1A24">
      <w:r>
        <w:separator/>
      </w:r>
    </w:p>
  </w:endnote>
  <w:endnote w:type="continuationSeparator" w:id="1">
    <w:p w:rsidR="008C1A24" w:rsidRDefault="008C1A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OpenSymbol">
    <w:charset w:val="00"/>
    <w:family w:val="auto"/>
    <w:pitch w:val="variable"/>
    <w:sig w:usb0="00000000" w:usb1="00000000" w:usb2="00000000" w:usb3="00000000" w:csb0="00000000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3E40" w:rsidRDefault="00EA17D4">
    <w:pPr>
      <w:pStyle w:val="Pta"/>
      <w:jc w:val="right"/>
    </w:pPr>
    <w:r>
      <w:fldChar w:fldCharType="begin"/>
    </w:r>
    <w:r w:rsidR="00F842AA">
      <w:instrText xml:space="preserve"> PAGE </w:instrText>
    </w:r>
    <w:r>
      <w:fldChar w:fldCharType="separate"/>
    </w:r>
    <w:r w:rsidR="00252B60">
      <w:rPr>
        <w:noProof/>
      </w:rPr>
      <w:t>6</w:t>
    </w:r>
    <w:r>
      <w:fldChar w:fldCharType="end"/>
    </w:r>
  </w:p>
  <w:p w:rsidR="007D3E40" w:rsidRDefault="008C1A2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1A24" w:rsidRDefault="008C1A24">
      <w:r>
        <w:rPr>
          <w:color w:val="000000"/>
        </w:rPr>
        <w:separator/>
      </w:r>
    </w:p>
  </w:footnote>
  <w:footnote w:type="continuationSeparator" w:id="1">
    <w:p w:rsidR="008C1A24" w:rsidRDefault="008C1A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3E40" w:rsidRDefault="00F842AA">
    <w:pPr>
      <w:pStyle w:val="Textbody"/>
      <w:tabs>
        <w:tab w:val="left" w:pos="1402"/>
        <w:tab w:val="left" w:pos="4760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 xml:space="preserve">Poznámky Úč POD 3 – 0 1                          </w:t>
    </w:r>
    <w:r>
      <w:rPr>
        <w:rFonts w:ascii="Arial" w:hAnsi="Arial" w:cs="Arial"/>
        <w:spacing w:val="-6"/>
        <w:sz w:val="22"/>
        <w:szCs w:val="22"/>
        <w:lang w:val="sk-SK"/>
      </w:rPr>
      <w:t>I</w:t>
    </w:r>
    <w:r>
      <w:rPr>
        <w:rFonts w:ascii="Arial" w:hAnsi="Arial" w:cs="Arial"/>
        <w:sz w:val="22"/>
        <w:szCs w:val="22"/>
        <w:lang w:val="sk-SK"/>
      </w:rPr>
      <w:t xml:space="preserve">ČO:                      </w:t>
    </w:r>
    <w:r>
      <w:rPr>
        <w:rFonts w:ascii="Arial" w:hAnsi="Arial" w:cs="Arial"/>
        <w:spacing w:val="1"/>
        <w:sz w:val="22"/>
        <w:szCs w:val="22"/>
        <w:lang w:val="sk-SK"/>
      </w:rPr>
      <w:t>D</w:t>
    </w:r>
    <w:r>
      <w:rPr>
        <w:rFonts w:ascii="Arial" w:hAnsi="Arial" w:cs="Arial"/>
        <w:spacing w:val="-6"/>
        <w:sz w:val="22"/>
        <w:szCs w:val="22"/>
        <w:lang w:val="sk-SK"/>
      </w:rPr>
      <w:t>I</w:t>
    </w:r>
    <w:r>
      <w:rPr>
        <w:rFonts w:ascii="Arial" w:hAnsi="Arial" w:cs="Arial"/>
        <w:sz w:val="22"/>
        <w:szCs w:val="22"/>
        <w:lang w:val="sk-SK"/>
      </w:rPr>
      <w:t>Č:</w:t>
    </w:r>
  </w:p>
  <w:p w:rsidR="007D3E40" w:rsidRDefault="008C1A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F6E42"/>
    <w:multiLevelType w:val="multilevel"/>
    <w:tmpl w:val="71E25C9E"/>
    <w:styleLink w:val="WWNum1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1">
    <w:nsid w:val="08317C25"/>
    <w:multiLevelType w:val="multilevel"/>
    <w:tmpl w:val="BDEA47B2"/>
    <w:styleLink w:val="WWNum1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2">
    <w:nsid w:val="0A476DDB"/>
    <w:multiLevelType w:val="multilevel"/>
    <w:tmpl w:val="6B6A46E4"/>
    <w:styleLink w:val="WWNum1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3">
    <w:nsid w:val="0D6C2743"/>
    <w:multiLevelType w:val="multilevel"/>
    <w:tmpl w:val="D0AE5578"/>
    <w:styleLink w:val="WWNum5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4">
    <w:nsid w:val="11F774EF"/>
    <w:multiLevelType w:val="multilevel"/>
    <w:tmpl w:val="7DCA17BA"/>
    <w:styleLink w:val="WWNum7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5">
    <w:nsid w:val="20C014F7"/>
    <w:multiLevelType w:val="multilevel"/>
    <w:tmpl w:val="FF6A363E"/>
    <w:styleLink w:val="WWNum3"/>
    <w:lvl w:ilvl="0">
      <w:numFmt w:val="bullet"/>
      <w:lvlText w:val="•"/>
      <w:lvlJc w:val="left"/>
      <w:pPr>
        <w:ind w:left="720" w:hanging="360"/>
      </w:pPr>
      <w:rPr>
        <w:rFonts w:eastAsia="OpenSymbol" w:cs="Courier New"/>
      </w:rPr>
    </w:lvl>
    <w:lvl w:ilvl="1">
      <w:numFmt w:val="bullet"/>
      <w:lvlText w:val="◦"/>
      <w:lvlJc w:val="left"/>
      <w:pPr>
        <w:ind w:left="1080" w:hanging="360"/>
      </w:pPr>
      <w:rPr>
        <w:rFonts w:eastAsia="OpenSymbol" w:cs="Courier New"/>
      </w:rPr>
    </w:lvl>
    <w:lvl w:ilvl="2">
      <w:numFmt w:val="bullet"/>
      <w:lvlText w:val="▪"/>
      <w:lvlJc w:val="left"/>
      <w:pPr>
        <w:ind w:left="1440" w:hanging="360"/>
      </w:pPr>
      <w:rPr>
        <w:rFonts w:eastAsia="OpenSymbol" w:cs="Courier New"/>
      </w:rPr>
    </w:lvl>
    <w:lvl w:ilvl="3">
      <w:numFmt w:val="bullet"/>
      <w:lvlText w:val="•"/>
      <w:lvlJc w:val="left"/>
      <w:pPr>
        <w:ind w:left="1800" w:hanging="360"/>
      </w:pPr>
      <w:rPr>
        <w:rFonts w:eastAsia="OpenSymbol" w:cs="Courier New"/>
      </w:rPr>
    </w:lvl>
    <w:lvl w:ilvl="4">
      <w:numFmt w:val="bullet"/>
      <w:lvlText w:val="◦"/>
      <w:lvlJc w:val="left"/>
      <w:pPr>
        <w:ind w:left="2160" w:hanging="360"/>
      </w:pPr>
      <w:rPr>
        <w:rFonts w:eastAsia="OpenSymbol" w:cs="Courier New"/>
      </w:rPr>
    </w:lvl>
    <w:lvl w:ilvl="5">
      <w:numFmt w:val="bullet"/>
      <w:lvlText w:val="▪"/>
      <w:lvlJc w:val="left"/>
      <w:pPr>
        <w:ind w:left="2520" w:hanging="360"/>
      </w:pPr>
      <w:rPr>
        <w:rFonts w:eastAsia="OpenSymbol" w:cs="Courier New"/>
      </w:rPr>
    </w:lvl>
    <w:lvl w:ilvl="6">
      <w:numFmt w:val="bullet"/>
      <w:lvlText w:val="•"/>
      <w:lvlJc w:val="left"/>
      <w:pPr>
        <w:ind w:left="2880" w:hanging="360"/>
      </w:pPr>
      <w:rPr>
        <w:rFonts w:eastAsia="OpenSymbol" w:cs="Courier New"/>
      </w:rPr>
    </w:lvl>
    <w:lvl w:ilvl="7">
      <w:numFmt w:val="bullet"/>
      <w:lvlText w:val="◦"/>
      <w:lvlJc w:val="left"/>
      <w:pPr>
        <w:ind w:left="3240" w:hanging="360"/>
      </w:pPr>
      <w:rPr>
        <w:rFonts w:eastAsia="OpenSymbol" w:cs="Courier New"/>
      </w:rPr>
    </w:lvl>
    <w:lvl w:ilvl="8">
      <w:numFmt w:val="bullet"/>
      <w:lvlText w:val="▪"/>
      <w:lvlJc w:val="left"/>
      <w:pPr>
        <w:ind w:left="3600" w:hanging="360"/>
      </w:pPr>
      <w:rPr>
        <w:rFonts w:eastAsia="OpenSymbol" w:cs="Courier New"/>
      </w:rPr>
    </w:lvl>
  </w:abstractNum>
  <w:abstractNum w:abstractNumId="6">
    <w:nsid w:val="2AA077B4"/>
    <w:multiLevelType w:val="multilevel"/>
    <w:tmpl w:val="00561DC2"/>
    <w:styleLink w:val="WWNum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2">
      <w:start w:val="1"/>
      <w:numFmt w:val="lowerRoman"/>
      <w:lvlText w:val="%1.%2.%3."/>
      <w:lvlJc w:val="right"/>
      <w:pPr>
        <w:ind w:left="144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1.%2.%3.%4.%5."/>
      <w:lvlJc w:val="left"/>
      <w:pPr>
        <w:ind w:left="216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1.%2.%3.%4.%5.%6."/>
      <w:lvlJc w:val="right"/>
      <w:pPr>
        <w:ind w:left="252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1.%2.%3.%4.%5.%6.%7.%8."/>
      <w:lvlJc w:val="left"/>
      <w:pPr>
        <w:ind w:left="324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1.%2.%3.%4.%5.%6.%7.%8.%9."/>
      <w:lvlJc w:val="right"/>
      <w:pPr>
        <w:ind w:left="3600" w:hanging="360"/>
      </w:pPr>
      <w:rPr>
        <w:rFonts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</w:abstractNum>
  <w:abstractNum w:abstractNumId="7">
    <w:nsid w:val="304167A6"/>
    <w:multiLevelType w:val="multilevel"/>
    <w:tmpl w:val="3822DE2E"/>
    <w:styleLink w:val="WWNum4"/>
    <w:lvl w:ilvl="0">
      <w:numFmt w:val="bullet"/>
      <w:lvlText w:val="-"/>
      <w:lvlJc w:val="left"/>
      <w:pPr>
        <w:ind w:left="720" w:hanging="360"/>
      </w:pPr>
      <w:rPr>
        <w:rFonts w:eastAsia="Times New Roman" w:cs="Arial Narrow"/>
      </w:r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8">
    <w:nsid w:val="3CF2438C"/>
    <w:multiLevelType w:val="multilevel"/>
    <w:tmpl w:val="1F6CF3C8"/>
    <w:styleLink w:val="WWNum11"/>
    <w:lvl w:ilvl="0">
      <w:start w:val="1"/>
      <w:numFmt w:val="decimal"/>
      <w:lvlText w:val="§ %1"/>
      <w:lvlJc w:val="center"/>
      <w:pPr>
        <w:ind w:left="720" w:hanging="360"/>
      </w:pPr>
      <w:rPr>
        <w:rFonts w:eastAsia="OpenSymbol" w:cs="OpenSymbol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(%1.%2.%3.%4.%5.%6.%7)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9">
    <w:nsid w:val="40287A0D"/>
    <w:multiLevelType w:val="multilevel"/>
    <w:tmpl w:val="1D628418"/>
    <w:styleLink w:val="WWNum2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2">
      <w:numFmt w:val="bullet"/>
      <w:lvlText w:val=""/>
      <w:lvlJc w:val="left"/>
      <w:pPr>
        <w:ind w:left="14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16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5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324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8">
      <w:numFmt w:val="bullet"/>
      <w:lvlText w:val=""/>
      <w:lvlJc w:val="left"/>
      <w:pPr>
        <w:ind w:left="3600" w:hanging="360"/>
      </w:pPr>
      <w:rPr>
        <w:rFonts w:ascii="Wingdings" w:hAnsi="Wingdings"/>
      </w:rPr>
    </w:lvl>
  </w:abstractNum>
  <w:abstractNum w:abstractNumId="10">
    <w:nsid w:val="4A295C9D"/>
    <w:multiLevelType w:val="multilevel"/>
    <w:tmpl w:val="58FA0674"/>
    <w:styleLink w:val="WWNum1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11">
    <w:nsid w:val="4D3E048A"/>
    <w:multiLevelType w:val="multilevel"/>
    <w:tmpl w:val="BFA25194"/>
    <w:styleLink w:val="WWNum17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2">
      <w:numFmt w:val="bullet"/>
      <w:lvlText w:val=""/>
      <w:lvlJc w:val="left"/>
      <w:pPr>
        <w:ind w:left="144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16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5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3240" w:hanging="360"/>
      </w:pPr>
      <w:rPr>
        <w:rFonts w:ascii="Courier New" w:hAnsi="Courier New" w:cs="Times New Roman"/>
        <w:b/>
        <w:bCs/>
        <w:i/>
        <w:iCs/>
        <w:smallCaps/>
        <w:dstrike/>
        <w:vanish/>
        <w:color w:val="00000A"/>
        <w:spacing w:val="0"/>
        <w:w w:val="100"/>
        <w:kern w:val="3"/>
        <w:position w:val="0"/>
        <w:sz w:val="24"/>
        <w:szCs w:val="24"/>
        <w:u w:val="none"/>
        <w:vertAlign w:val="baseline"/>
      </w:rPr>
    </w:lvl>
    <w:lvl w:ilvl="8">
      <w:numFmt w:val="bullet"/>
      <w:lvlText w:val=""/>
      <w:lvlJc w:val="left"/>
      <w:pPr>
        <w:ind w:left="3600" w:hanging="360"/>
      </w:pPr>
      <w:rPr>
        <w:rFonts w:ascii="Wingdings" w:hAnsi="Wingdings"/>
      </w:rPr>
    </w:lvl>
  </w:abstractNum>
  <w:abstractNum w:abstractNumId="12">
    <w:nsid w:val="502200D6"/>
    <w:multiLevelType w:val="multilevel"/>
    <w:tmpl w:val="63E476D2"/>
    <w:styleLink w:val="WWNum20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13">
    <w:nsid w:val="52A41A3B"/>
    <w:multiLevelType w:val="multilevel"/>
    <w:tmpl w:val="1F2AF726"/>
    <w:styleLink w:val="WWNum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14">
    <w:nsid w:val="5C410125"/>
    <w:multiLevelType w:val="multilevel"/>
    <w:tmpl w:val="3BC427FA"/>
    <w:styleLink w:val="WW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15">
    <w:nsid w:val="613D3035"/>
    <w:multiLevelType w:val="multilevel"/>
    <w:tmpl w:val="2A1CDC2E"/>
    <w:styleLink w:val="WWNum21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16">
    <w:nsid w:val="674F1FB2"/>
    <w:multiLevelType w:val="multilevel"/>
    <w:tmpl w:val="39608CFE"/>
    <w:styleLink w:val="WWNum10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17">
    <w:nsid w:val="71661D06"/>
    <w:multiLevelType w:val="multilevel"/>
    <w:tmpl w:val="27924E38"/>
    <w:styleLink w:val="WWNum2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18">
    <w:nsid w:val="71C30804"/>
    <w:multiLevelType w:val="multilevel"/>
    <w:tmpl w:val="6B288040"/>
    <w:styleLink w:val="WWNum1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19">
    <w:nsid w:val="7EE57E9B"/>
    <w:multiLevelType w:val="multilevel"/>
    <w:tmpl w:val="B510BFC2"/>
    <w:styleLink w:val="WWNum1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lowerLetter"/>
      <w:lvlText w:val="%1.%2.%3.%4.%5."/>
      <w:lvlJc w:val="left"/>
      <w:pPr>
        <w:ind w:left="2160" w:hanging="360"/>
      </w:pPr>
    </w:lvl>
    <w:lvl w:ilvl="5">
      <w:start w:val="1"/>
      <w:numFmt w:val="lowerRoman"/>
      <w:lvlText w:val="%1.%2.%3.%4.%5.%6."/>
      <w:lvlJc w:val="righ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lowerLetter"/>
      <w:lvlText w:val="%1.%2.%3.%4.%5.%6.%7.%8."/>
      <w:lvlJc w:val="left"/>
      <w:pPr>
        <w:ind w:left="3240" w:hanging="360"/>
      </w:pPr>
    </w:lvl>
    <w:lvl w:ilvl="8">
      <w:start w:val="1"/>
      <w:numFmt w:val="lowerRoman"/>
      <w:lvlText w:val="%1.%2.%3.%4.%5.%6.%7.%8.%9."/>
      <w:lvlJc w:val="right"/>
      <w:pPr>
        <w:ind w:left="3600" w:hanging="360"/>
      </w:pPr>
    </w:lvl>
  </w:abstractNum>
  <w:abstractNum w:abstractNumId="20">
    <w:nsid w:val="7F0E151B"/>
    <w:multiLevelType w:val="multilevel"/>
    <w:tmpl w:val="D7184EEA"/>
    <w:styleLink w:val="WWNum9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abstractNum w:abstractNumId="21">
    <w:nsid w:val="7FB92E3D"/>
    <w:multiLevelType w:val="multilevel"/>
    <w:tmpl w:val="46D26178"/>
    <w:styleLink w:val="WWNum13"/>
    <w:lvl w:ilvl="0">
      <w:numFmt w:val="bullet"/>
      <w:lvlText w:val="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cs="Times New Roman"/>
      </w:rPr>
    </w:lvl>
    <w:lvl w:ilvl="2">
      <w:numFmt w:val="bullet"/>
      <w:lvlText w:val=""/>
      <w:lvlJc w:val="left"/>
      <w:pPr>
        <w:ind w:left="1440" w:hanging="360"/>
      </w:pPr>
    </w:lvl>
    <w:lvl w:ilvl="3">
      <w:numFmt w:val="bullet"/>
      <w:lvlText w:val=""/>
      <w:lvlJc w:val="left"/>
      <w:pPr>
        <w:ind w:left="1800" w:hanging="360"/>
      </w:pPr>
    </w:lvl>
    <w:lvl w:ilvl="4">
      <w:numFmt w:val="bullet"/>
      <w:lvlText w:val="o"/>
      <w:lvlJc w:val="left"/>
      <w:pPr>
        <w:ind w:left="2160" w:hanging="360"/>
      </w:pPr>
      <w:rPr>
        <w:rFonts w:cs="Times New Roman"/>
      </w:rPr>
    </w:lvl>
    <w:lvl w:ilvl="5">
      <w:numFmt w:val="bullet"/>
      <w:lvlText w:val=""/>
      <w:lvlJc w:val="left"/>
      <w:pPr>
        <w:ind w:left="2520" w:hanging="360"/>
      </w:pPr>
    </w:lvl>
    <w:lvl w:ilvl="6">
      <w:numFmt w:val="bullet"/>
      <w:lvlText w:val=""/>
      <w:lvlJc w:val="left"/>
      <w:pPr>
        <w:ind w:left="2880" w:hanging="360"/>
      </w:pPr>
    </w:lvl>
    <w:lvl w:ilvl="7">
      <w:numFmt w:val="bullet"/>
      <w:lvlText w:val="o"/>
      <w:lvlJc w:val="left"/>
      <w:pPr>
        <w:ind w:left="3240" w:hanging="360"/>
      </w:pPr>
      <w:rPr>
        <w:rFonts w:cs="Times New Roman"/>
      </w:rPr>
    </w:lvl>
    <w:lvl w:ilvl="8">
      <w:numFmt w:val="bullet"/>
      <w:lvlText w:val=""/>
      <w:lvlJc w:val="left"/>
      <w:pPr>
        <w:ind w:left="3600" w:hanging="360"/>
      </w:pPr>
    </w:lvl>
  </w:abstractNum>
  <w:num w:numId="1">
    <w:abstractNumId w:val="10"/>
  </w:num>
  <w:num w:numId="2">
    <w:abstractNumId w:val="17"/>
  </w:num>
  <w:num w:numId="3">
    <w:abstractNumId w:val="5"/>
  </w:num>
  <w:num w:numId="4">
    <w:abstractNumId w:val="7"/>
  </w:num>
  <w:num w:numId="5">
    <w:abstractNumId w:val="3"/>
  </w:num>
  <w:num w:numId="6">
    <w:abstractNumId w:val="6"/>
  </w:num>
  <w:num w:numId="7">
    <w:abstractNumId w:val="4"/>
  </w:num>
  <w:num w:numId="8">
    <w:abstractNumId w:val="13"/>
  </w:num>
  <w:num w:numId="9">
    <w:abstractNumId w:val="20"/>
  </w:num>
  <w:num w:numId="10">
    <w:abstractNumId w:val="16"/>
  </w:num>
  <w:num w:numId="11">
    <w:abstractNumId w:val="8"/>
  </w:num>
  <w:num w:numId="12">
    <w:abstractNumId w:val="19"/>
  </w:num>
  <w:num w:numId="13">
    <w:abstractNumId w:val="21"/>
  </w:num>
  <w:num w:numId="14">
    <w:abstractNumId w:val="14"/>
  </w:num>
  <w:num w:numId="15">
    <w:abstractNumId w:val="1"/>
  </w:num>
  <w:num w:numId="16">
    <w:abstractNumId w:val="18"/>
  </w:num>
  <w:num w:numId="17">
    <w:abstractNumId w:val="11"/>
  </w:num>
  <w:num w:numId="18">
    <w:abstractNumId w:val="2"/>
  </w:num>
  <w:num w:numId="19">
    <w:abstractNumId w:val="0"/>
  </w:num>
  <w:num w:numId="20">
    <w:abstractNumId w:val="12"/>
  </w:num>
  <w:num w:numId="21">
    <w:abstractNumId w:val="15"/>
  </w:num>
  <w:num w:numId="22">
    <w:abstractNumId w:val="9"/>
  </w:num>
  <w:num w:numId="2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C72AF"/>
    <w:rsid w:val="00181353"/>
    <w:rsid w:val="00194843"/>
    <w:rsid w:val="00252B60"/>
    <w:rsid w:val="002A2A4F"/>
    <w:rsid w:val="002D58AF"/>
    <w:rsid w:val="00392600"/>
    <w:rsid w:val="00401618"/>
    <w:rsid w:val="00500913"/>
    <w:rsid w:val="00594A7C"/>
    <w:rsid w:val="005A04E5"/>
    <w:rsid w:val="005C72AF"/>
    <w:rsid w:val="00611F66"/>
    <w:rsid w:val="0073653A"/>
    <w:rsid w:val="00794EBC"/>
    <w:rsid w:val="0088503A"/>
    <w:rsid w:val="008C1A24"/>
    <w:rsid w:val="00A7483A"/>
    <w:rsid w:val="00AB14CB"/>
    <w:rsid w:val="00CB450F"/>
    <w:rsid w:val="00CB6EA9"/>
    <w:rsid w:val="00D847F5"/>
    <w:rsid w:val="00EA17D4"/>
    <w:rsid w:val="00ED5FAA"/>
    <w:rsid w:val="00F72B6C"/>
    <w:rsid w:val="00F842AA"/>
    <w:rsid w:val="00FA36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7D4"/>
  </w:style>
  <w:style w:type="paragraph" w:styleId="Nadpis1">
    <w:name w:val="heading 1"/>
    <w:basedOn w:val="Standard"/>
    <w:next w:val="Textbody"/>
    <w:uiPriority w:val="9"/>
    <w:qFormat/>
    <w:rsid w:val="00EA17D4"/>
    <w:pPr>
      <w:keepNext/>
      <w:spacing w:before="240" w:after="60"/>
      <w:jc w:val="center"/>
      <w:outlineLvl w:val="0"/>
    </w:pPr>
    <w:rPr>
      <w:b/>
      <w:bCs/>
    </w:rPr>
  </w:style>
  <w:style w:type="paragraph" w:styleId="Nadpis2">
    <w:name w:val="heading 2"/>
    <w:basedOn w:val="Standard"/>
    <w:next w:val="Textbody"/>
    <w:uiPriority w:val="9"/>
    <w:unhideWhenUsed/>
    <w:qFormat/>
    <w:rsid w:val="00EA17D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A17D4"/>
    <w:pPr>
      <w:widowControl/>
    </w:pPr>
    <w:rPr>
      <w:sz w:val="24"/>
      <w:szCs w:val="24"/>
    </w:rPr>
  </w:style>
  <w:style w:type="paragraph" w:styleId="Nzov">
    <w:name w:val="Title"/>
    <w:basedOn w:val="Standard"/>
    <w:next w:val="Textbody"/>
    <w:uiPriority w:val="10"/>
    <w:qFormat/>
    <w:rsid w:val="00EA17D4"/>
    <w:pPr>
      <w:keepNext/>
      <w:spacing w:before="28" w:after="220"/>
      <w:jc w:val="center"/>
      <w:outlineLvl w:val="0"/>
    </w:pPr>
    <w:rPr>
      <w:rFonts w:ascii="Arial Narrow" w:eastAsia="SimSun" w:hAnsi="Arial Narrow" w:cs="Arial Narrow"/>
      <w:b/>
      <w:bCs/>
      <w:sz w:val="22"/>
      <w:szCs w:val="22"/>
      <w:lang w:eastAsia="en-US"/>
    </w:rPr>
  </w:style>
  <w:style w:type="paragraph" w:customStyle="1" w:styleId="Textbody">
    <w:name w:val="Text body"/>
    <w:basedOn w:val="Standard"/>
    <w:rsid w:val="00EA17D4"/>
    <w:pPr>
      <w:suppressAutoHyphens w:val="0"/>
      <w:ind w:left="668" w:hanging="567"/>
    </w:pPr>
    <w:rPr>
      <w:lang w:val="en-US" w:eastAsia="en-US"/>
    </w:rPr>
  </w:style>
  <w:style w:type="paragraph" w:styleId="Zoznam">
    <w:name w:val="List"/>
    <w:basedOn w:val="Textbody"/>
    <w:rsid w:val="00EA17D4"/>
    <w:rPr>
      <w:rFonts w:cs="Tahoma"/>
    </w:rPr>
  </w:style>
  <w:style w:type="paragraph" w:styleId="Popis">
    <w:name w:val="caption"/>
    <w:basedOn w:val="Standard"/>
    <w:rsid w:val="00EA17D4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Standard"/>
    <w:rsid w:val="00EA17D4"/>
    <w:pPr>
      <w:suppressLineNumbers/>
    </w:pPr>
    <w:rPr>
      <w:rFonts w:cs="Tahoma"/>
    </w:rPr>
  </w:style>
  <w:style w:type="paragraph" w:styleId="Podtitul">
    <w:name w:val="Subtitle"/>
    <w:basedOn w:val="Nzov"/>
    <w:next w:val="Textbody"/>
    <w:uiPriority w:val="11"/>
    <w:qFormat/>
    <w:rsid w:val="00EA17D4"/>
    <w:pPr>
      <w:jc w:val="left"/>
    </w:pPr>
    <w:rPr>
      <w:i/>
      <w:iCs/>
      <w:sz w:val="28"/>
      <w:szCs w:val="28"/>
    </w:rPr>
  </w:style>
  <w:style w:type="paragraph" w:customStyle="1" w:styleId="Zkladntext">
    <w:name w:val="Základní text"/>
    <w:rsid w:val="00EA17D4"/>
    <w:pPr>
      <w:widowControl/>
    </w:pPr>
  </w:style>
  <w:style w:type="paragraph" w:styleId="Textpoznmkypodiarou">
    <w:name w:val="footnote text"/>
    <w:basedOn w:val="Standard"/>
    <w:rsid w:val="00EA17D4"/>
  </w:style>
  <w:style w:type="paragraph" w:styleId="Pta">
    <w:name w:val="footer"/>
    <w:basedOn w:val="Standard"/>
    <w:rsid w:val="00EA17D4"/>
    <w:pPr>
      <w:suppressLineNumbers/>
      <w:tabs>
        <w:tab w:val="center" w:pos="4536"/>
        <w:tab w:val="right" w:pos="9072"/>
      </w:tabs>
    </w:pPr>
  </w:style>
  <w:style w:type="paragraph" w:customStyle="1" w:styleId="TopHeader">
    <w:name w:val="Top Header"/>
    <w:basedOn w:val="Standard"/>
    <w:rsid w:val="00EA17D4"/>
  </w:style>
  <w:style w:type="paragraph" w:styleId="Hlavika">
    <w:name w:val="header"/>
    <w:basedOn w:val="Standard"/>
    <w:rsid w:val="00EA17D4"/>
    <w:pPr>
      <w:suppressLineNumbers/>
      <w:tabs>
        <w:tab w:val="center" w:pos="4536"/>
        <w:tab w:val="right" w:pos="9072"/>
      </w:tabs>
    </w:pPr>
  </w:style>
  <w:style w:type="paragraph" w:styleId="Odsekzoznamu">
    <w:name w:val="List Paragraph"/>
    <w:basedOn w:val="Standard"/>
    <w:rsid w:val="00EA17D4"/>
  </w:style>
  <w:style w:type="paragraph" w:customStyle="1" w:styleId="TableContents">
    <w:name w:val="Table Contents"/>
    <w:basedOn w:val="Standard"/>
    <w:rsid w:val="00EA17D4"/>
    <w:pPr>
      <w:suppressLineNumbers/>
    </w:pPr>
  </w:style>
  <w:style w:type="paragraph" w:customStyle="1" w:styleId="TableHeading">
    <w:name w:val="Table Heading"/>
    <w:basedOn w:val="TableContents"/>
    <w:rsid w:val="00EA17D4"/>
    <w:pPr>
      <w:jc w:val="center"/>
    </w:pPr>
    <w:rPr>
      <w:b/>
      <w:bCs/>
    </w:rPr>
  </w:style>
  <w:style w:type="character" w:customStyle="1" w:styleId="ListLabel1">
    <w:name w:val="ListLabel 1"/>
    <w:rsid w:val="00EA17D4"/>
    <w:rPr>
      <w:rFonts w:cs="Times New Roman"/>
    </w:rPr>
  </w:style>
  <w:style w:type="character" w:customStyle="1" w:styleId="ListLabel2">
    <w:name w:val="ListLabel 2"/>
    <w:rsid w:val="00EA17D4"/>
    <w:rPr>
      <w:rFonts w:eastAsia="OpenSymbol" w:cs="Courier New"/>
    </w:rPr>
  </w:style>
  <w:style w:type="character" w:customStyle="1" w:styleId="ListLabel3">
    <w:name w:val="ListLabel 3"/>
    <w:rsid w:val="00EA17D4"/>
    <w:rPr>
      <w:rFonts w:eastAsia="Times New Roman" w:cs="Arial Narrow"/>
    </w:rPr>
  </w:style>
  <w:style w:type="character" w:customStyle="1" w:styleId="ListLabel4">
    <w:name w:val="ListLabel 4"/>
    <w:rsid w:val="00EA17D4"/>
    <w:rPr>
      <w:rFonts w:cs="Times New Roman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ListLabel5">
    <w:name w:val="ListLabel 5"/>
    <w:rsid w:val="00EA17D4"/>
    <w:rPr>
      <w:rFonts w:eastAsia="OpenSymbol" w:cs="OpenSymbol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Nadpis1Char">
    <w:name w:val="Nadpis 1 Char"/>
    <w:rsid w:val="00EA17D4"/>
  </w:style>
  <w:style w:type="character" w:customStyle="1" w:styleId="Nadpis2Char">
    <w:name w:val="Nadpis 2 Char"/>
    <w:rsid w:val="00EA17D4"/>
  </w:style>
  <w:style w:type="character" w:customStyle="1" w:styleId="TextpoznmkypodiarouChar">
    <w:name w:val="Text poznámky pod čiarou Char"/>
    <w:rsid w:val="00EA17D4"/>
  </w:style>
  <w:style w:type="character" w:styleId="Odkaznapoznmkupodiarou">
    <w:name w:val="footnote reference"/>
    <w:rsid w:val="00EA17D4"/>
  </w:style>
  <w:style w:type="character" w:customStyle="1" w:styleId="PtaChar">
    <w:name w:val="Päta Char"/>
    <w:rsid w:val="00EA17D4"/>
  </w:style>
  <w:style w:type="character" w:styleId="slostrany">
    <w:name w:val="page number"/>
    <w:basedOn w:val="Predvolenpsmoodseku"/>
    <w:rsid w:val="00EA17D4"/>
  </w:style>
  <w:style w:type="character" w:customStyle="1" w:styleId="NzovChar">
    <w:name w:val="Názov Char"/>
    <w:rsid w:val="00EA17D4"/>
  </w:style>
  <w:style w:type="character" w:customStyle="1" w:styleId="HlavikaChar">
    <w:name w:val="Hlavička Char"/>
    <w:rsid w:val="00EA17D4"/>
  </w:style>
  <w:style w:type="character" w:customStyle="1" w:styleId="ZkladntextChar">
    <w:name w:val="Základný text Char"/>
    <w:rsid w:val="00EA17D4"/>
  </w:style>
  <w:style w:type="character" w:customStyle="1" w:styleId="BulletSymbols">
    <w:name w:val="Bullet Symbols"/>
    <w:rsid w:val="00EA17D4"/>
    <w:rPr>
      <w:rFonts w:ascii="OpenSymbol" w:eastAsia="OpenSymbol" w:hAnsi="OpenSymbol" w:cs="OpenSymbol"/>
    </w:rPr>
  </w:style>
  <w:style w:type="character" w:customStyle="1" w:styleId="HlavikaChar1">
    <w:name w:val="Hlavička Char1"/>
    <w:basedOn w:val="Predvolenpsmoodseku"/>
    <w:rsid w:val="00EA17D4"/>
  </w:style>
  <w:style w:type="character" w:customStyle="1" w:styleId="PtaChar1">
    <w:name w:val="Päta Char1"/>
    <w:basedOn w:val="Predvolenpsmoodseku"/>
    <w:rsid w:val="00EA17D4"/>
  </w:style>
  <w:style w:type="character" w:customStyle="1" w:styleId="ZkladntextChar1">
    <w:name w:val="Základný text Char1"/>
    <w:basedOn w:val="Predvolenpsmoodseku"/>
    <w:rsid w:val="00EA17D4"/>
  </w:style>
  <w:style w:type="character" w:customStyle="1" w:styleId="HlavikaChar2">
    <w:name w:val="Hlavička Char2"/>
    <w:basedOn w:val="Predvolenpsmoodseku"/>
    <w:rsid w:val="00EA17D4"/>
  </w:style>
  <w:style w:type="character" w:customStyle="1" w:styleId="PtaChar2">
    <w:name w:val="Päta Char2"/>
    <w:basedOn w:val="Predvolenpsmoodseku"/>
    <w:rsid w:val="00EA17D4"/>
  </w:style>
  <w:style w:type="character" w:customStyle="1" w:styleId="ZkladntextChar2">
    <w:name w:val="Základný text Char2"/>
    <w:basedOn w:val="Predvolenpsmoodseku"/>
    <w:rsid w:val="00EA17D4"/>
  </w:style>
  <w:style w:type="character" w:customStyle="1" w:styleId="HlavikaChar3">
    <w:name w:val="Hlavička Char3"/>
    <w:basedOn w:val="Predvolenpsmoodseku"/>
    <w:rsid w:val="00EA17D4"/>
  </w:style>
  <w:style w:type="character" w:customStyle="1" w:styleId="PtaChar3">
    <w:name w:val="Päta Char3"/>
    <w:basedOn w:val="Predvolenpsmoodseku"/>
    <w:rsid w:val="00EA17D4"/>
  </w:style>
  <w:style w:type="character" w:customStyle="1" w:styleId="ZkladntextChar3">
    <w:name w:val="Základný text Char3"/>
    <w:basedOn w:val="Predvolenpsmoodseku"/>
    <w:rsid w:val="00EA17D4"/>
  </w:style>
  <w:style w:type="character" w:customStyle="1" w:styleId="ListLabel6">
    <w:name w:val="ListLabel 6"/>
    <w:rsid w:val="00EA17D4"/>
    <w:rPr>
      <w:rFonts w:cs="Times New Roman"/>
    </w:rPr>
  </w:style>
  <w:style w:type="character" w:customStyle="1" w:styleId="ListLabel7">
    <w:name w:val="ListLabel 7"/>
    <w:rsid w:val="00EA17D4"/>
    <w:rPr>
      <w:rFonts w:eastAsia="OpenSymbol" w:cs="Courier New"/>
    </w:rPr>
  </w:style>
  <w:style w:type="character" w:customStyle="1" w:styleId="ListLabel8">
    <w:name w:val="ListLabel 8"/>
    <w:rsid w:val="00EA17D4"/>
    <w:rPr>
      <w:rFonts w:eastAsia="Times New Roman" w:cs="Arial Narrow"/>
    </w:rPr>
  </w:style>
  <w:style w:type="character" w:customStyle="1" w:styleId="ListLabel9">
    <w:name w:val="ListLabel 9"/>
    <w:rsid w:val="00EA17D4"/>
    <w:rPr>
      <w:rFonts w:cs="Times New Roman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ListLabel10">
    <w:name w:val="ListLabel 10"/>
    <w:rsid w:val="00EA17D4"/>
    <w:rPr>
      <w:rFonts w:eastAsia="OpenSymbol" w:cs="OpenSymbol"/>
      <w:b/>
      <w:bCs/>
      <w:i/>
      <w:iCs/>
      <w:smallCaps/>
      <w:dstrike/>
      <w:vanish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numbering" w:customStyle="1" w:styleId="WWNum1">
    <w:name w:val="WWNum1"/>
    <w:basedOn w:val="Bezzoznamu"/>
    <w:rsid w:val="00EA17D4"/>
    <w:pPr>
      <w:numPr>
        <w:numId w:val="1"/>
      </w:numPr>
    </w:pPr>
  </w:style>
  <w:style w:type="numbering" w:customStyle="1" w:styleId="WWNum2">
    <w:name w:val="WWNum2"/>
    <w:basedOn w:val="Bezzoznamu"/>
    <w:rsid w:val="00EA17D4"/>
    <w:pPr>
      <w:numPr>
        <w:numId w:val="2"/>
      </w:numPr>
    </w:pPr>
  </w:style>
  <w:style w:type="numbering" w:customStyle="1" w:styleId="WWNum3">
    <w:name w:val="WWNum3"/>
    <w:basedOn w:val="Bezzoznamu"/>
    <w:rsid w:val="00EA17D4"/>
    <w:pPr>
      <w:numPr>
        <w:numId w:val="3"/>
      </w:numPr>
    </w:pPr>
  </w:style>
  <w:style w:type="numbering" w:customStyle="1" w:styleId="WWNum4">
    <w:name w:val="WWNum4"/>
    <w:basedOn w:val="Bezzoznamu"/>
    <w:rsid w:val="00EA17D4"/>
    <w:pPr>
      <w:numPr>
        <w:numId w:val="4"/>
      </w:numPr>
    </w:pPr>
  </w:style>
  <w:style w:type="numbering" w:customStyle="1" w:styleId="WWNum5">
    <w:name w:val="WWNum5"/>
    <w:basedOn w:val="Bezzoznamu"/>
    <w:rsid w:val="00EA17D4"/>
    <w:pPr>
      <w:numPr>
        <w:numId w:val="5"/>
      </w:numPr>
    </w:pPr>
  </w:style>
  <w:style w:type="numbering" w:customStyle="1" w:styleId="WWNum6">
    <w:name w:val="WWNum6"/>
    <w:basedOn w:val="Bezzoznamu"/>
    <w:rsid w:val="00EA17D4"/>
    <w:pPr>
      <w:numPr>
        <w:numId w:val="6"/>
      </w:numPr>
    </w:pPr>
  </w:style>
  <w:style w:type="numbering" w:customStyle="1" w:styleId="WWNum7">
    <w:name w:val="WWNum7"/>
    <w:basedOn w:val="Bezzoznamu"/>
    <w:rsid w:val="00EA17D4"/>
    <w:pPr>
      <w:numPr>
        <w:numId w:val="7"/>
      </w:numPr>
    </w:pPr>
  </w:style>
  <w:style w:type="numbering" w:customStyle="1" w:styleId="WWNum8">
    <w:name w:val="WWNum8"/>
    <w:basedOn w:val="Bezzoznamu"/>
    <w:rsid w:val="00EA17D4"/>
    <w:pPr>
      <w:numPr>
        <w:numId w:val="8"/>
      </w:numPr>
    </w:pPr>
  </w:style>
  <w:style w:type="numbering" w:customStyle="1" w:styleId="WWNum9">
    <w:name w:val="WWNum9"/>
    <w:basedOn w:val="Bezzoznamu"/>
    <w:rsid w:val="00EA17D4"/>
    <w:pPr>
      <w:numPr>
        <w:numId w:val="9"/>
      </w:numPr>
    </w:pPr>
  </w:style>
  <w:style w:type="numbering" w:customStyle="1" w:styleId="WWNum10">
    <w:name w:val="WWNum10"/>
    <w:basedOn w:val="Bezzoznamu"/>
    <w:rsid w:val="00EA17D4"/>
    <w:pPr>
      <w:numPr>
        <w:numId w:val="10"/>
      </w:numPr>
    </w:pPr>
  </w:style>
  <w:style w:type="numbering" w:customStyle="1" w:styleId="WWNum11">
    <w:name w:val="WWNum11"/>
    <w:basedOn w:val="Bezzoznamu"/>
    <w:rsid w:val="00EA17D4"/>
    <w:pPr>
      <w:numPr>
        <w:numId w:val="11"/>
      </w:numPr>
    </w:pPr>
  </w:style>
  <w:style w:type="numbering" w:customStyle="1" w:styleId="WWNum12">
    <w:name w:val="WWNum12"/>
    <w:basedOn w:val="Bezzoznamu"/>
    <w:rsid w:val="00EA17D4"/>
    <w:pPr>
      <w:numPr>
        <w:numId w:val="12"/>
      </w:numPr>
    </w:pPr>
  </w:style>
  <w:style w:type="numbering" w:customStyle="1" w:styleId="WWNum13">
    <w:name w:val="WWNum13"/>
    <w:basedOn w:val="Bezzoznamu"/>
    <w:rsid w:val="00EA17D4"/>
    <w:pPr>
      <w:numPr>
        <w:numId w:val="13"/>
      </w:numPr>
    </w:pPr>
  </w:style>
  <w:style w:type="numbering" w:customStyle="1" w:styleId="WWNum14">
    <w:name w:val="WWNum14"/>
    <w:basedOn w:val="Bezzoznamu"/>
    <w:rsid w:val="00EA17D4"/>
    <w:pPr>
      <w:numPr>
        <w:numId w:val="14"/>
      </w:numPr>
    </w:pPr>
  </w:style>
  <w:style w:type="numbering" w:customStyle="1" w:styleId="WWNum15">
    <w:name w:val="WWNum15"/>
    <w:basedOn w:val="Bezzoznamu"/>
    <w:rsid w:val="00EA17D4"/>
    <w:pPr>
      <w:numPr>
        <w:numId w:val="15"/>
      </w:numPr>
    </w:pPr>
  </w:style>
  <w:style w:type="numbering" w:customStyle="1" w:styleId="WWNum16">
    <w:name w:val="WWNum16"/>
    <w:basedOn w:val="Bezzoznamu"/>
    <w:rsid w:val="00EA17D4"/>
    <w:pPr>
      <w:numPr>
        <w:numId w:val="16"/>
      </w:numPr>
    </w:pPr>
  </w:style>
  <w:style w:type="numbering" w:customStyle="1" w:styleId="WWNum17">
    <w:name w:val="WWNum17"/>
    <w:basedOn w:val="Bezzoznamu"/>
    <w:rsid w:val="00EA17D4"/>
    <w:pPr>
      <w:numPr>
        <w:numId w:val="17"/>
      </w:numPr>
    </w:pPr>
  </w:style>
  <w:style w:type="numbering" w:customStyle="1" w:styleId="WWNum18">
    <w:name w:val="WWNum18"/>
    <w:basedOn w:val="Bezzoznamu"/>
    <w:rsid w:val="00EA17D4"/>
    <w:pPr>
      <w:numPr>
        <w:numId w:val="18"/>
      </w:numPr>
    </w:pPr>
  </w:style>
  <w:style w:type="numbering" w:customStyle="1" w:styleId="WWNum19">
    <w:name w:val="WWNum19"/>
    <w:basedOn w:val="Bezzoznamu"/>
    <w:rsid w:val="00EA17D4"/>
    <w:pPr>
      <w:numPr>
        <w:numId w:val="19"/>
      </w:numPr>
    </w:pPr>
  </w:style>
  <w:style w:type="numbering" w:customStyle="1" w:styleId="WWNum20">
    <w:name w:val="WWNum20"/>
    <w:basedOn w:val="Bezzoznamu"/>
    <w:rsid w:val="00EA17D4"/>
    <w:pPr>
      <w:numPr>
        <w:numId w:val="20"/>
      </w:numPr>
    </w:pPr>
  </w:style>
  <w:style w:type="numbering" w:customStyle="1" w:styleId="WWNum21">
    <w:name w:val="WWNum21"/>
    <w:basedOn w:val="Bezzoznamu"/>
    <w:rsid w:val="00EA17D4"/>
    <w:pPr>
      <w:numPr>
        <w:numId w:val="21"/>
      </w:numPr>
    </w:pPr>
  </w:style>
  <w:style w:type="numbering" w:customStyle="1" w:styleId="WWNum22">
    <w:name w:val="WWNum22"/>
    <w:basedOn w:val="Bezzoznamu"/>
    <w:rsid w:val="00EA17D4"/>
    <w:pPr>
      <w:numPr>
        <w:numId w:val="22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6</Pages>
  <Words>2010</Words>
  <Characters>11460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13444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jborgulova</dc:creator>
  <cp:lastModifiedBy>PD</cp:lastModifiedBy>
  <cp:revision>20</cp:revision>
  <cp:lastPrinted>2018-03-08T10:32:00Z</cp:lastPrinted>
  <dcterms:created xsi:type="dcterms:W3CDTF">2019-03-18T10:40:00Z</dcterms:created>
  <dcterms:modified xsi:type="dcterms:W3CDTF">2019-03-18T12:19:00Z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