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10194" w:type="dxa"/>
        <w:jc w:val="left"/>
        <w:tblInd w:w="-11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87"/>
        <w:gridCol w:w="2591"/>
        <w:gridCol w:w="336"/>
        <w:gridCol w:w="340"/>
        <w:gridCol w:w="336"/>
        <w:gridCol w:w="336"/>
        <w:gridCol w:w="340"/>
        <w:gridCol w:w="336"/>
        <w:gridCol w:w="340"/>
        <w:gridCol w:w="336"/>
        <w:gridCol w:w="567"/>
        <w:gridCol w:w="336"/>
        <w:gridCol w:w="337"/>
        <w:gridCol w:w="336"/>
        <w:gridCol w:w="340"/>
      </w:tblGrid>
      <w:tr>
        <w:trPr/>
        <w:tc>
          <w:tcPr>
            <w:tcW w:w="29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  <w:lang w:eastAsia="sk-SK"/>
              </w:rPr>
              <w:t>Poznámky (Úč  NUJ 3 – 01)</w:t>
            </w:r>
          </w:p>
        </w:tc>
        <w:tc>
          <w:tcPr>
            <w:tcW w:w="25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IČO 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/SID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</w:tbl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I.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Všeobecné údaje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9781" w:type="dxa"/>
        <w:jc w:val="left"/>
        <w:tblInd w:w="13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77"/>
        <w:gridCol w:w="6803"/>
      </w:tblGrid>
      <w:tr>
        <w:trPr>
          <w:trHeight w:val="284" w:hRule="atLeast"/>
        </w:trPr>
        <w:tc>
          <w:tcPr>
            <w:tcW w:w="2977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>
        <w:trPr>
          <w:trHeight w:val="284" w:hRule="atLeast"/>
        </w:trPr>
        <w:tc>
          <w:tcPr>
            <w:tcW w:w="2977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Občianske združenie Svitanie – Združenie na pomoc ľuďom s mentálnym postihnutím v Malackách</w:t>
            </w:r>
          </w:p>
        </w:tc>
      </w:tr>
      <w:tr>
        <w:trPr>
          <w:trHeight w:val="284" w:hRule="atLeast"/>
        </w:trPr>
        <w:tc>
          <w:tcPr>
            <w:tcW w:w="2977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ul. 1. mája 15, 901 01 Malacky</w:t>
            </w:r>
          </w:p>
        </w:tc>
      </w:tr>
      <w:tr>
        <w:trPr>
          <w:trHeight w:val="178" w:hRule="atLeast"/>
        </w:trPr>
        <w:tc>
          <w:tcPr>
            <w:tcW w:w="2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19. 12. 2006</w:t>
            </w:r>
          </w:p>
        </w:tc>
      </w:tr>
    </w:tbl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  <w:t xml:space="preserve">Údaje uvedené v Poznámkach sú v mene EUR, ak nie je uvedené inak. </w:t>
      </w:r>
    </w:p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Informácie o členoch štatutárnych orgánov, dozorných orgánov a iných orgánov účtovnej jednotky; uvádzajú sa mená a priezviská členov štatutárnych orgánov, dozorných orgánov a iných orgánov účtovnej jednotky.</w:t>
      </w:r>
    </w:p>
    <w:p>
      <w:pPr>
        <w:pStyle w:val="Textopatrenia"/>
        <w:spacing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  <w:t xml:space="preserve">Dňa 15.02.2018 sa stala štatutárnym orgánom - riaditeľom neziskovej organizácie p. Ing. Marta Prochyrová. Predchádzajúca riaditeľka, p. PhDr. Štefánia Nováková, ukončila svoje pôsobenie ako štatutárny orgán. Mgr. Jana Petrakovičová a p. Anna Košíková ukončili v priebehu roka 2018 svoje pôsobenie ako členky správnej rady.   </w:t>
      </w:r>
    </w:p>
    <w:p>
      <w:pPr>
        <w:pStyle w:val="Textopatrenia"/>
        <w:spacing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tbl>
      <w:tblPr>
        <w:tblW w:w="981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2844"/>
        <w:gridCol w:w="6967"/>
      </w:tblGrid>
      <w:tr>
        <w:trPr>
          <w:trHeight w:val="284" w:hRule="atLeast"/>
        </w:trPr>
        <w:tc>
          <w:tcPr>
            <w:tcW w:w="284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Štatutárne orgány: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Marta Prochyrová, štatutárna zástupkyňa</w:t>
            </w:r>
          </w:p>
        </w:tc>
      </w:tr>
      <w:tr>
        <w:trPr>
          <w:trHeight w:val="284" w:hRule="atLeast"/>
        </w:trPr>
        <w:tc>
          <w:tcPr>
            <w:tcW w:w="284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Jozef Bulla, predseda správnej rady</w:t>
            </w:r>
          </w:p>
        </w:tc>
      </w:tr>
      <w:tr>
        <w:trPr>
          <w:trHeight w:val="284" w:hRule="atLeast"/>
        </w:trPr>
        <w:tc>
          <w:tcPr>
            <w:tcW w:w="284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Peter Gajdár, člen správnej rady</w:t>
            </w:r>
          </w:p>
        </w:tc>
      </w:tr>
      <w:tr>
        <w:trPr>
          <w:trHeight w:val="284" w:hRule="atLeast"/>
        </w:trPr>
        <w:tc>
          <w:tcPr>
            <w:tcW w:w="284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Anna Trnková, členka správnej rady</w:t>
            </w:r>
          </w:p>
        </w:tc>
      </w:tr>
      <w:tr>
        <w:trPr>
          <w:trHeight w:val="284" w:hRule="atLeast"/>
        </w:trPr>
        <w:tc>
          <w:tcPr>
            <w:tcW w:w="284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Bibiána Sirotová, členka správnej rady</w:t>
            </w:r>
          </w:p>
        </w:tc>
      </w:tr>
      <w:tr>
        <w:trPr>
          <w:trHeight w:val="284" w:hRule="atLeast"/>
        </w:trPr>
        <w:tc>
          <w:tcPr>
            <w:tcW w:w="284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Bc. Elena Límová, členka správnej rady</w:t>
            </w:r>
          </w:p>
        </w:tc>
      </w:tr>
      <w:tr>
        <w:trPr>
          <w:trHeight w:val="284" w:hRule="atLeast"/>
        </w:trPr>
        <w:tc>
          <w:tcPr>
            <w:tcW w:w="284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Mgr. Eva Krššáková, členka správnej rady</w:t>
            </w:r>
          </w:p>
        </w:tc>
      </w:tr>
      <w:tr>
        <w:trPr>
          <w:trHeight w:val="284" w:hRule="atLeast"/>
        </w:trPr>
        <w:tc>
          <w:tcPr>
            <w:tcW w:w="284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Ing. Jozef Jančí, člen správnej rady</w:t>
            </w:r>
          </w:p>
        </w:tc>
      </w:tr>
      <w:tr>
        <w:trPr>
          <w:trHeight w:val="284" w:hRule="atLeast"/>
        </w:trPr>
        <w:tc>
          <w:tcPr>
            <w:tcW w:w="284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Dozorný orgán: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(Dozorná rada)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Ing. Vlasta Točeková, členka dozornej rady</w:t>
            </w:r>
          </w:p>
        </w:tc>
      </w:tr>
      <w:tr>
        <w:trPr>
          <w:trHeight w:val="284" w:hRule="atLeast"/>
        </w:trPr>
        <w:tc>
          <w:tcPr>
            <w:tcW w:w="284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Kristína Lončeková, členka dozornej rady</w:t>
            </w:r>
          </w:p>
        </w:tc>
      </w:tr>
      <w:tr>
        <w:trPr>
          <w:trHeight w:val="284" w:hRule="atLeast"/>
        </w:trPr>
        <w:tc>
          <w:tcPr>
            <w:tcW w:w="284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Martina Vaseková, členka dozornej rady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2833"/>
        <w:gridCol w:w="6968"/>
      </w:tblGrid>
      <w:tr>
        <w:trPr>
          <w:trHeight w:val="284" w:hRule="atLeast"/>
        </w:trPr>
        <w:tc>
          <w:tcPr>
            <w:tcW w:w="2833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Hlavná činnosť:</w:t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Všeobecne prospešné služby: Poskytovanie sociálnej pomoci a humanitárnej starostlivosti. </w:t>
            </w:r>
          </w:p>
        </w:tc>
      </w:tr>
      <w:tr>
        <w:trPr>
          <w:trHeight w:val="284" w:hRule="atLeast"/>
        </w:trPr>
        <w:tc>
          <w:tcPr>
            <w:tcW w:w="283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Tvorba, rozvoj, ochrana, obnova a prezentácia duchovných a kultúrnych hodnôt.</w:t>
            </w:r>
          </w:p>
        </w:tc>
      </w:tr>
      <w:tr>
        <w:trPr>
          <w:trHeight w:val="284" w:hRule="atLeast"/>
        </w:trPr>
        <w:tc>
          <w:tcPr>
            <w:tcW w:w="2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Podnikateľská činnosť:</w:t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Predaj výrobkov z chránenej dielne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>
      <w:pPr>
        <w:pStyle w:val="Normal"/>
        <w:spacing w:lineRule="auto" w:line="240" w:before="0" w:after="120"/>
        <w:ind w:firstLine="36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 ods. 4  o počte zamestnancov a dobrovoľníkov:</w:t>
      </w:r>
    </w:p>
    <w:tbl>
      <w:tblPr>
        <w:tblW w:w="4850" w:type="pct"/>
        <w:jc w:val="left"/>
        <w:tblInd w:w="13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432"/>
        <w:gridCol w:w="2613"/>
        <w:gridCol w:w="2633"/>
      </w:tblGrid>
      <w:tr>
        <w:trPr>
          <w:trHeight w:val="205" w:hRule="atLeast"/>
        </w:trPr>
        <w:tc>
          <w:tcPr>
            <w:tcW w:w="4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Textopatrenia"/>
              <w:spacing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6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6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>
        <w:trPr>
          <w:trHeight w:val="205" w:hRule="atLeast"/>
        </w:trPr>
        <w:tc>
          <w:tcPr>
            <w:tcW w:w="4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6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</w:t>
            </w:r>
          </w:p>
        </w:tc>
        <w:tc>
          <w:tcPr>
            <w:tcW w:w="26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</w:t>
            </w:r>
          </w:p>
        </w:tc>
      </w:tr>
      <w:tr>
        <w:trPr>
          <w:trHeight w:val="205" w:hRule="atLeast"/>
        </w:trPr>
        <w:tc>
          <w:tcPr>
            <w:tcW w:w="4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6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26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>
        <w:trPr>
          <w:trHeight w:val="205" w:hRule="atLeast"/>
        </w:trPr>
        <w:tc>
          <w:tcPr>
            <w:tcW w:w="4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6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05" w:hRule="atLeast"/>
        </w:trPr>
        <w:tc>
          <w:tcPr>
            <w:tcW w:w="4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6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 o organizáciách v zriaďovateľskej pôsobnosti účtovnej jednotky.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Organizácia nie je zriaďovateľom žiadnej inej účtovnej jednotky. 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Údaje podľa čl. I, III a IV  sa uvádzajú v textovej podobe a tabuľkovej podobe. 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účtovných zásadách a účtovných metódach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Účtovná jednotka predpokladá pokračovať vo svojej činnosti aj v nasledujúcom účtovnom období.</w:t>
        <w:tab/>
        <w:t xml:space="preserve"> 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 xml:space="preserve">Organizácia vykazovala v roku 2016 daňovú pohľadávku za zamestnaneckú prémiu z rokov 2013 a 2014 voči daňovému úradu na riadku 046  Súvahy, v roku 2017 a 2018 vykazuje túto pohľadávku na riadku 050 z dôvodu tvorby opravnej položky k tejto pohľadávke. 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 xml:space="preserve">Nenastali žiadne iné zmeny účtovných zásad a účtovných metód. 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W w:w="9753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6264"/>
        <w:gridCol w:w="3488"/>
      </w:tblGrid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Majetok a záväzky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Spôsob oceňovania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hmotný majetok obstaraný iným spôsobom - darom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Reálnou hodnotou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vytvorené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obstarané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4850" w:type="pct"/>
        <w:jc w:val="left"/>
        <w:tblInd w:w="13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266"/>
        <w:gridCol w:w="2476"/>
        <w:gridCol w:w="2465"/>
        <w:gridCol w:w="2470"/>
      </w:tblGrid>
      <w:tr>
        <w:trPr>
          <w:trHeight w:val="250" w:hRule="atLeast"/>
        </w:trPr>
        <w:tc>
          <w:tcPr>
            <w:tcW w:w="2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24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24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24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Odpisová metóda</w:t>
            </w:r>
          </w:p>
        </w:tc>
      </w:tr>
      <w:tr>
        <w:trPr>
          <w:trHeight w:val="250" w:hRule="atLeast"/>
        </w:trPr>
        <w:tc>
          <w:tcPr>
            <w:tcW w:w="2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Budova – technické zhodnotenie</w:t>
            </w:r>
          </w:p>
        </w:tc>
        <w:tc>
          <w:tcPr>
            <w:tcW w:w="24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20</w:t>
            </w:r>
          </w:p>
        </w:tc>
        <w:tc>
          <w:tcPr>
            <w:tcW w:w="24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1/20</w:t>
            </w:r>
          </w:p>
        </w:tc>
        <w:tc>
          <w:tcPr>
            <w:tcW w:w="24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rovnomerne</w:t>
            </w:r>
          </w:p>
        </w:tc>
      </w:tr>
      <w:tr>
        <w:trPr>
          <w:trHeight w:val="250" w:hRule="atLeast"/>
        </w:trPr>
        <w:tc>
          <w:tcPr>
            <w:tcW w:w="2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Dopravné prostriedky</w:t>
            </w:r>
          </w:p>
        </w:tc>
        <w:tc>
          <w:tcPr>
            <w:tcW w:w="24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4</w:t>
            </w:r>
          </w:p>
        </w:tc>
        <w:tc>
          <w:tcPr>
            <w:tcW w:w="24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1/4</w:t>
            </w:r>
          </w:p>
        </w:tc>
        <w:tc>
          <w:tcPr>
            <w:tcW w:w="24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rovnomerne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Zásady pre zohľadnenie zníženia hodnoty majetku – účtovná jednotka uplatňuje: 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Organizácia zaúčtovala k 31.12.2017 k pohľadávke voči daňovému úradu vo výške 1 012,57 EUR opravnú položku vo výške 1 012,57 EUR, keďže existuje predpoklad, že táto pohľadávka nebude organizácii uhradená.   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dopĺňajú a vysvetľujú údaje v súvahe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dlhodobom nehmotnom majetku a dlhodobom hmotnom majetku za bežné účtovné obdobie: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  o stave a pohybe dlhodobého nehmotného majetku a dlhodobého hmotného majetku:</w:t>
      </w:r>
    </w:p>
    <w:p>
      <w:pPr>
        <w:pStyle w:val="Normal"/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Organizácia neeviduje dlhodobý nehmotný majetok</w:t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2</w:t>
      </w:r>
    </w:p>
    <w:tbl>
      <w:tblPr>
        <w:tblW w:w="10445" w:type="dxa"/>
        <w:jc w:val="left"/>
        <w:tblInd w:w="-7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5" w:type="dxa"/>
          <w:bottom w:w="0" w:type="dxa"/>
          <w:right w:w="70" w:type="dxa"/>
        </w:tblCellMar>
        <w:tblLook w:firstRow="1" w:noVBand="0" w:lastRow="0" w:firstColumn="1" w:lastColumn="0" w:noHBand="0" w:val="00a0"/>
      </w:tblPr>
      <w:tblGrid>
        <w:gridCol w:w="1487"/>
        <w:gridCol w:w="709"/>
        <w:gridCol w:w="850"/>
        <w:gridCol w:w="854"/>
        <w:gridCol w:w="850"/>
        <w:gridCol w:w="992"/>
        <w:gridCol w:w="709"/>
        <w:gridCol w:w="854"/>
        <w:gridCol w:w="850"/>
        <w:gridCol w:w="709"/>
        <w:gridCol w:w="142"/>
        <w:gridCol w:w="566"/>
        <w:gridCol w:w="2"/>
        <w:gridCol w:w="870"/>
      </w:tblGrid>
      <w:tr>
        <w:trPr>
          <w:trHeight w:val="1020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Samost. hnuteľné veci a súbory hnut. vecí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Dopravné prostriedky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Pestova-teľské celky trvalých porastov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Obst.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dlhodob. hmot. majetku</w:t>
            </w:r>
          </w:p>
        </w:tc>
        <w:tc>
          <w:tcPr>
            <w:tcW w:w="7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Poskyt predd. na dlho-dobý hmotný majetok</w:t>
            </w:r>
          </w:p>
        </w:tc>
        <w:tc>
          <w:tcPr>
            <w:tcW w:w="8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40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62 299,49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24 908,64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19 510,00 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25 565,68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7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132 283,81</w:t>
            </w:r>
          </w:p>
        </w:tc>
      </w:tr>
      <w:tr>
        <w:trPr>
          <w:trHeight w:val="28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0,00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3 100,00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7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3 100,00</w:t>
            </w:r>
          </w:p>
        </w:tc>
      </w:tr>
      <w:tr>
        <w:trPr>
          <w:trHeight w:val="28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0,00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19 510,00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7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19 510,00</w:t>
            </w:r>
          </w:p>
        </w:tc>
      </w:tr>
      <w:tr>
        <w:trPr>
          <w:trHeight w:val="28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7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62 299,49 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24 908,64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3 100,00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25 565,68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7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115 873,81 </w:t>
            </w:r>
          </w:p>
        </w:tc>
      </w:tr>
      <w:tr>
        <w:trPr>
          <w:trHeight w:val="40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55 960,10 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24 908,64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15 947,50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25 565,68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7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122 381,92 </w:t>
            </w:r>
          </w:p>
        </w:tc>
      </w:tr>
      <w:tr>
        <w:trPr>
          <w:trHeight w:val="28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2 034,12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        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4 014,50 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6 048,62</w:t>
            </w:r>
          </w:p>
        </w:tc>
      </w:tr>
      <w:tr>
        <w:trPr>
          <w:trHeight w:val="28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19 510,00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19 510,00</w:t>
            </w:r>
          </w:p>
        </w:tc>
      </w:tr>
      <w:tr>
        <w:trPr>
          <w:trHeight w:val="40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57 994,22 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24 908,64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420,00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25 565,68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108 920,54 </w:t>
            </w:r>
          </w:p>
        </w:tc>
      </w:tr>
      <w:tr>
        <w:trPr>
          <w:trHeight w:val="40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0444" w:type="dxa"/>
            <w:gridSpan w:val="1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>
        <w:trPr>
          <w:trHeight w:val="40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6 339,39 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3 562,50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8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56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9 901,89</w:t>
            </w:r>
          </w:p>
        </w:tc>
      </w:tr>
      <w:tr>
        <w:trPr>
          <w:trHeight w:val="40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4 305,27 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2 648,00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8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56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6 953,27</w:t>
            </w:r>
          </w:p>
        </w:tc>
      </w:tr>
      <w:tr>
        <w:trPr>
          <w:trHeight w:val="28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56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dlhodobého majetku, na ktorý je zriadené záložné právo a dlhodobého majetku, pri ktorom má účtovná jednotka obmedzené právo s ním nakladať: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 xml:space="preserve">Organizácia nedisponuje s dlhodobým majetkom, na ktorý je zriadené záložné právo, resp. pri ktorom má účtovná jednotka obmedzené právo s ním nakladať. 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spôsobe a výške poistenia dlhodobého nehmotného majetku a dlhodobého hmotného majetku.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Organizácia realizuje svoju činnosť v prenajatých priestoroch, poistenie nehnuteľnosti je súčasťou nájomného. Poistenie jednotlivých zložiek majetku organizácia nemá uzatvorené. 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Organizácia neúčtuje o dlhodobom finančnom majetku. 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 o výške tvorby, zníženia a zúčtovania opravných položiek k dlhodobému finančnému majetku a opis dôvodu ich tvorby, zníženia a zúčtovania.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>Organizácia neúčtovala o opravnej položke k dlhodobému finančnému majetku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6  o položkách krátkodobého finančného majetku</w:t>
      </w:r>
    </w:p>
    <w:tbl>
      <w:tblPr>
        <w:tblW w:w="10185" w:type="dxa"/>
        <w:jc w:val="left"/>
        <w:tblInd w:w="-11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260"/>
        <w:gridCol w:w="3453"/>
        <w:gridCol w:w="3472"/>
      </w:tblGrid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34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Pokladnica</w:t>
            </w:r>
          </w:p>
        </w:tc>
        <w:tc>
          <w:tcPr>
            <w:tcW w:w="34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16,67</w:t>
            </w:r>
          </w:p>
        </w:tc>
        <w:tc>
          <w:tcPr>
            <w:tcW w:w="34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1 562,19</w:t>
            </w:r>
          </w:p>
        </w:tc>
      </w:tr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Ceniny</w:t>
            </w:r>
          </w:p>
        </w:tc>
        <w:tc>
          <w:tcPr>
            <w:tcW w:w="34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4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64,60</w:t>
            </w:r>
          </w:p>
        </w:tc>
      </w:tr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22 293,64</w:t>
            </w:r>
          </w:p>
        </w:tc>
        <w:tc>
          <w:tcPr>
            <w:tcW w:w="34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17 984,10</w:t>
            </w:r>
          </w:p>
        </w:tc>
      </w:tr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4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Peniaze na ceste</w:t>
            </w:r>
          </w:p>
        </w:tc>
        <w:tc>
          <w:tcPr>
            <w:tcW w:w="34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4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4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22 310,31</w:t>
            </w:r>
          </w:p>
        </w:tc>
        <w:tc>
          <w:tcPr>
            <w:tcW w:w="34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19 610,89</w:t>
            </w:r>
          </w:p>
        </w:tc>
      </w:tr>
    </w:tbl>
    <w:p>
      <w:pPr>
        <w:pStyle w:val="Normal"/>
        <w:spacing w:lineRule="auto" w:line="240" w:before="0" w:after="0"/>
        <w:rPr>
          <w:i/>
          <w:i/>
          <w:iCs/>
          <w:sz w:val="18"/>
          <w:szCs w:val="18"/>
        </w:rPr>
      </w:pPr>
      <w:r>
        <w:rPr>
          <w:i/>
          <w:iCs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Organizácia nevykazuje zásoby a ani neúčtuje o opravnej položke k zásobám. 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jc w:val="left"/>
        <w:tblInd w:w="-11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164"/>
        <w:gridCol w:w="4657"/>
        <w:gridCol w:w="2157"/>
      </w:tblGrid>
      <w:tr>
        <w:trPr>
          <w:trHeight w:val="284" w:hRule="atLeast"/>
        </w:trPr>
        <w:tc>
          <w:tcPr>
            <w:tcW w:w="31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pohľadávky</w:t>
            </w:r>
          </w:p>
        </w:tc>
        <w:tc>
          <w:tcPr>
            <w:tcW w:w="46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21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31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Predaj výrobkov</w:t>
            </w:r>
          </w:p>
        </w:tc>
        <w:tc>
          <w:tcPr>
            <w:tcW w:w="46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Predaj výrobkov z chránenej dielne – podnikateľská činnosť</w:t>
            </w:r>
          </w:p>
        </w:tc>
        <w:tc>
          <w:tcPr>
            <w:tcW w:w="21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31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Predaj služieb</w:t>
            </w:r>
          </w:p>
        </w:tc>
        <w:tc>
          <w:tcPr>
            <w:tcW w:w="46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Dočasné pridelenie zamestnancov – hlavná činnosť</w:t>
            </w:r>
          </w:p>
        </w:tc>
        <w:tc>
          <w:tcPr>
            <w:tcW w:w="21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2 172,69</w:t>
            </w:r>
          </w:p>
        </w:tc>
      </w:tr>
      <w:tr>
        <w:trPr>
          <w:trHeight w:val="284" w:hRule="atLeast"/>
        </w:trPr>
        <w:tc>
          <w:tcPr>
            <w:tcW w:w="31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46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1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2 172,69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9  o vývoji opravných položiek k pohľadávkam</w:t>
      </w:r>
    </w:p>
    <w:tbl>
      <w:tblPr>
        <w:tblW w:w="5000" w:type="pct"/>
        <w:jc w:val="left"/>
        <w:tblInd w:w="-11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361"/>
        <w:gridCol w:w="1486"/>
        <w:gridCol w:w="1485"/>
        <w:gridCol w:w="1481"/>
        <w:gridCol w:w="1486"/>
        <w:gridCol w:w="1678"/>
      </w:tblGrid>
      <w:tr>
        <w:trPr>
          <w:trHeight w:val="608" w:hRule="atLeast"/>
        </w:trPr>
        <w:tc>
          <w:tcPr>
            <w:tcW w:w="23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pohľadávok</w:t>
            </w:r>
          </w:p>
        </w:tc>
        <w:tc>
          <w:tcPr>
            <w:tcW w:w="1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16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3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1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6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3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pohľadávky</w:t>
            </w:r>
          </w:p>
        </w:tc>
        <w:tc>
          <w:tcPr>
            <w:tcW w:w="1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6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3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1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6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3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pohľadávky – daňový úrad</w:t>
            </w:r>
          </w:p>
        </w:tc>
        <w:tc>
          <w:tcPr>
            <w:tcW w:w="1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1 012,57</w:t>
            </w:r>
          </w:p>
        </w:tc>
        <w:tc>
          <w:tcPr>
            <w:tcW w:w="14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6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1 012,57</w:t>
            </w:r>
          </w:p>
        </w:tc>
      </w:tr>
      <w:tr>
        <w:trPr>
          <w:trHeight w:val="284" w:hRule="atLeast"/>
        </w:trPr>
        <w:tc>
          <w:tcPr>
            <w:tcW w:w="23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1 012,57</w:t>
            </w:r>
          </w:p>
        </w:tc>
        <w:tc>
          <w:tcPr>
            <w:tcW w:w="14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4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6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1 012,57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 pohľadávok do lehoty splatnosti a po lehote splatnosti.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jc w:val="left"/>
        <w:tblInd w:w="-11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910"/>
        <w:gridCol w:w="2932"/>
        <w:gridCol w:w="3136"/>
      </w:tblGrid>
      <w:tr>
        <w:trPr>
          <w:trHeight w:val="284" w:hRule="atLeast"/>
        </w:trPr>
        <w:tc>
          <w:tcPr>
            <w:tcW w:w="391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06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1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1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48" w:hRule="atLeast"/>
        </w:trPr>
        <w:tc>
          <w:tcPr>
            <w:tcW w:w="3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2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2 242,18</w:t>
            </w:r>
          </w:p>
        </w:tc>
        <w:tc>
          <w:tcPr>
            <w:tcW w:w="31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2 903,27</w:t>
            </w:r>
          </w:p>
        </w:tc>
      </w:tr>
      <w:tr>
        <w:trPr>
          <w:trHeight w:val="284" w:hRule="atLeast"/>
        </w:trPr>
        <w:tc>
          <w:tcPr>
            <w:tcW w:w="3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2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1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3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2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2 242,18</w:t>
            </w:r>
          </w:p>
        </w:tc>
        <w:tc>
          <w:tcPr>
            <w:tcW w:w="31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2 903,27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jc w:val="left"/>
        <w:tblInd w:w="-11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32"/>
        <w:gridCol w:w="4889"/>
        <w:gridCol w:w="2157"/>
      </w:tblGrid>
      <w:tr>
        <w:trPr>
          <w:trHeight w:val="284" w:hRule="atLeast"/>
        </w:trPr>
        <w:tc>
          <w:tcPr>
            <w:tcW w:w="2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48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</w:t>
            </w:r>
          </w:p>
        </w:tc>
        <w:tc>
          <w:tcPr>
            <w:tcW w:w="21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Časové rozlíšenie nákladov</w:t>
            </w:r>
          </w:p>
        </w:tc>
        <w:tc>
          <w:tcPr>
            <w:tcW w:w="48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Doména, poistenie motorových vozidiel</w:t>
            </w:r>
          </w:p>
        </w:tc>
        <w:tc>
          <w:tcPr>
            <w:tcW w:w="21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61,87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>
      <w:pPr>
        <w:pStyle w:val="Normal"/>
        <w:numPr>
          <w:ilvl w:val="0"/>
          <w:numId w:val="7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>
      <w:pPr>
        <w:pStyle w:val="Normal"/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Nezisková organizácia bola založená 19.12.2006 pod č.OVVS-1929/204/2006-NO peňažným vkladom vo výške 33,19 EUR a následne sa v priebehu činnosti účtovnej jednotky navyšovalo základné imanie vkladmi zakladateľa.</w:t>
      </w:r>
    </w:p>
    <w:p>
      <w:pPr>
        <w:pStyle w:val="Normal"/>
        <w:numPr>
          <w:ilvl w:val="0"/>
          <w:numId w:val="7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sz w:val="18"/>
          <w:szCs w:val="18"/>
        </w:rPr>
        <w:t xml:space="preserve">Organizácia neúčtovala o opravách významných chýb v priebehu účtovného obdobia 2018. 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12 o zmenách vlastných zdrojov krytia neobežného majetku a obežného majetku</w:t>
      </w:r>
      <w:r>
        <w:rPr>
          <w:i/>
          <w:iCs/>
          <w:sz w:val="18"/>
          <w:szCs w:val="18"/>
        </w:rPr>
        <w:t xml:space="preserve">    </w:t>
      </w:r>
    </w:p>
    <w:tbl>
      <w:tblPr>
        <w:tblW w:w="4800" w:type="pct"/>
        <w:jc w:val="left"/>
        <w:tblInd w:w="-11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799"/>
        <w:gridCol w:w="1139"/>
        <w:gridCol w:w="1137"/>
        <w:gridCol w:w="1141"/>
        <w:gridCol w:w="1140"/>
        <w:gridCol w:w="1221"/>
      </w:tblGrid>
      <w:tr>
        <w:trPr>
          <w:trHeight w:val="210" w:hRule="atLeast"/>
        </w:trPr>
        <w:tc>
          <w:tcPr>
            <w:tcW w:w="3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Prírastky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(+)</w:t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Úbytky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(-)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Presuny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(+, -)</w:t>
            </w:r>
          </w:p>
        </w:tc>
        <w:tc>
          <w:tcPr>
            <w:tcW w:w="1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10" w:hRule="atLeast"/>
        </w:trPr>
        <w:tc>
          <w:tcPr>
            <w:tcW w:w="9577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</w:rPr>
              <w:t>Imanie a fondy</w:t>
            </w:r>
          </w:p>
        </w:tc>
      </w:tr>
      <w:tr>
        <w:trPr>
          <w:trHeight w:val="210" w:hRule="atLeast"/>
        </w:trPr>
        <w:tc>
          <w:tcPr>
            <w:tcW w:w="3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58 726,30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58 726,30</w:t>
            </w:r>
          </w:p>
        </w:tc>
      </w:tr>
      <w:tr>
        <w:trPr>
          <w:trHeight w:val="210" w:hRule="atLeast"/>
        </w:trPr>
        <w:tc>
          <w:tcPr>
            <w:tcW w:w="3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>
            <w:pPr>
              <w:pStyle w:val="Normal"/>
              <w:numPr>
                <w:ilvl w:val="0"/>
                <w:numId w:val="8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0"/>
                <w:numId w:val="8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0"/>
                <w:numId w:val="8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9577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Fondy zo zisku</w:t>
            </w:r>
          </w:p>
        </w:tc>
      </w:tr>
      <w:tr>
        <w:trPr>
          <w:trHeight w:val="210" w:hRule="atLeast"/>
        </w:trPr>
        <w:tc>
          <w:tcPr>
            <w:tcW w:w="3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10" w:hRule="atLeast"/>
        </w:trPr>
        <w:tc>
          <w:tcPr>
            <w:tcW w:w="3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-41 819,49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4 365,70</w:t>
            </w:r>
          </w:p>
        </w:tc>
        <w:tc>
          <w:tcPr>
            <w:tcW w:w="1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-46 185,17</w:t>
            </w:r>
          </w:p>
        </w:tc>
      </w:tr>
      <w:tr>
        <w:trPr>
          <w:trHeight w:val="210" w:hRule="atLeast"/>
        </w:trPr>
        <w:tc>
          <w:tcPr>
            <w:tcW w:w="3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-4 365,70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-275,53</w:t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-4 365,70</w:t>
            </w:r>
          </w:p>
        </w:tc>
        <w:tc>
          <w:tcPr>
            <w:tcW w:w="1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-275,53</w:t>
            </w:r>
          </w:p>
        </w:tc>
      </w:tr>
      <w:tr>
        <w:trPr>
          <w:trHeight w:val="210" w:hRule="atLeast"/>
        </w:trPr>
        <w:tc>
          <w:tcPr>
            <w:tcW w:w="3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12 541,11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-275,53</w:t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</w:rPr>
            </w:pPr>
            <w:r>
              <w:rPr>
                <w:b/>
                <w:sz w:val="16"/>
                <w:szCs w:val="16"/>
              </w:rPr>
              <w:t>-275,53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357" w:hanging="357"/>
        <w:rPr>
          <w:sz w:val="18"/>
          <w:szCs w:val="18"/>
        </w:rPr>
      </w:pPr>
      <w:r>
        <w:rPr>
          <w:sz w:val="18"/>
          <w:szCs w:val="18"/>
        </w:rPr>
        <w:t>Informácia o rozdelení účtovného zisku alebo vysporiadaní účtovnej straty vykázanej v minulých účtovných obdobiach.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13 o rozdelení účtovného zisku alebo vysporiadaní účtovnej straty</w:t>
      </w:r>
    </w:p>
    <w:tbl>
      <w:tblPr>
        <w:tblW w:w="3850" w:type="pct"/>
        <w:jc w:val="left"/>
        <w:tblInd w:w="-11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5436"/>
        <w:gridCol w:w="2246"/>
      </w:tblGrid>
      <w:tr>
        <w:trPr>
          <w:trHeight w:val="146" w:hRule="atLeast"/>
        </w:trPr>
        <w:tc>
          <w:tcPr>
            <w:tcW w:w="54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>
        <w:trPr>
          <w:trHeight w:val="146" w:hRule="atLeast"/>
        </w:trPr>
        <w:tc>
          <w:tcPr>
            <w:tcW w:w="54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146" w:hRule="atLeast"/>
        </w:trPr>
        <w:tc>
          <w:tcPr>
            <w:tcW w:w="768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>
        <w:trPr>
          <w:trHeight w:val="146" w:hRule="atLeast"/>
        </w:trPr>
        <w:tc>
          <w:tcPr>
            <w:tcW w:w="54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</w:t>
            </w:r>
            <w:r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Prevod 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color w:val="000000"/>
                <w:sz w:val="16"/>
                <w:szCs w:val="16"/>
              </w:rPr>
              <w:t>4 365,70</w:t>
            </w:r>
          </w:p>
        </w:tc>
      </w:tr>
      <w:tr>
        <w:trPr>
          <w:trHeight w:val="146" w:hRule="atLeast"/>
        </w:trPr>
        <w:tc>
          <w:tcPr>
            <w:tcW w:w="768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>
        <w:trPr>
          <w:trHeight w:val="146" w:hRule="atLeast"/>
        </w:trPr>
        <w:tc>
          <w:tcPr>
            <w:tcW w:w="54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Prevod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Cs/>
                <w:color w:val="000000"/>
                <w:sz w:val="16"/>
                <w:szCs w:val="16"/>
              </w:rPr>
              <w:t>4 365,70</w:t>
            </w:r>
          </w:p>
        </w:tc>
      </w:tr>
      <w:tr>
        <w:trPr>
          <w:trHeight w:val="146" w:hRule="atLeast"/>
        </w:trPr>
        <w:tc>
          <w:tcPr>
            <w:tcW w:w="54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a výška cudzích zdrojov, a to</w:t>
      </w:r>
    </w:p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p>
      <w:pPr>
        <w:pStyle w:val="Normal"/>
        <w:spacing w:lineRule="auto" w:line="24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ind w:left="360" w:hanging="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 w:before="0" w:after="120"/>
        <w:ind w:left="360" w:hanging="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a) o  tvorbe a použití rezerv</w:t>
      </w:r>
    </w:p>
    <w:tbl>
      <w:tblPr>
        <w:tblW w:w="5000" w:type="pct"/>
        <w:jc w:val="left"/>
        <w:tblInd w:w="-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262"/>
        <w:gridCol w:w="1077"/>
        <w:gridCol w:w="1411"/>
        <w:gridCol w:w="1411"/>
        <w:gridCol w:w="1410"/>
        <w:gridCol w:w="1406"/>
      </w:tblGrid>
      <w:tr>
        <w:trPr>
          <w:trHeight w:val="284" w:hRule="atLeast"/>
        </w:trPr>
        <w:tc>
          <w:tcPr>
            <w:tcW w:w="3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10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14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3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0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0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Zákonné rezervy spolu</w:t>
            </w:r>
          </w:p>
        </w:tc>
        <w:tc>
          <w:tcPr>
            <w:tcW w:w="10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nevyčerpanú dovolenku vrát. odvodov</w:t>
            </w:r>
          </w:p>
        </w:tc>
        <w:tc>
          <w:tcPr>
            <w:tcW w:w="10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4 228,42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3 316,60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4 228,42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3 316,60</w:t>
            </w:r>
          </w:p>
        </w:tc>
      </w:tr>
      <w:tr>
        <w:trPr>
          <w:trHeight w:val="284" w:hRule="atLeast"/>
        </w:trPr>
        <w:tc>
          <w:tcPr>
            <w:tcW w:w="3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Ostatné rezervy spolu</w:t>
            </w:r>
          </w:p>
        </w:tc>
        <w:tc>
          <w:tcPr>
            <w:tcW w:w="10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</w:rPr>
            </w:pPr>
            <w:r>
              <w:rPr>
                <w:b/>
                <w:bCs/>
                <w:sz w:val="16"/>
                <w:szCs w:val="16"/>
              </w:rPr>
              <w:t>4 228,42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</w:rPr>
            </w:pPr>
            <w:r>
              <w:rPr>
                <w:b/>
                <w:sz w:val="16"/>
                <w:szCs w:val="16"/>
              </w:rPr>
              <w:t>3 316,60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4 228,42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0,00</w:t>
            </w:r>
          </w:p>
        </w:tc>
        <w:tc>
          <w:tcPr>
            <w:tcW w:w="14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</w:rPr>
            </w:pPr>
            <w:r>
              <w:rPr>
                <w:b/>
                <w:sz w:val="16"/>
                <w:szCs w:val="16"/>
              </w:rPr>
              <w:t>3 316,60</w:t>
            </w:r>
          </w:p>
        </w:tc>
      </w:tr>
      <w:tr>
        <w:trPr>
          <w:trHeight w:val="284" w:hRule="atLeast"/>
        </w:trPr>
        <w:tc>
          <w:tcPr>
            <w:tcW w:w="3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Rezervy spolu</w:t>
            </w:r>
          </w:p>
        </w:tc>
        <w:tc>
          <w:tcPr>
            <w:tcW w:w="10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4 228,42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</w:rPr>
            </w:pPr>
            <w:r>
              <w:rPr>
                <w:b/>
                <w:sz w:val="16"/>
                <w:szCs w:val="16"/>
              </w:rPr>
              <w:t>3 316,60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4 228,42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0,00</w:t>
            </w:r>
          </w:p>
        </w:tc>
        <w:tc>
          <w:tcPr>
            <w:tcW w:w="14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</w:rPr>
            </w:pPr>
            <w:r>
              <w:rPr>
                <w:b/>
                <w:sz w:val="16"/>
                <w:szCs w:val="16"/>
              </w:rPr>
              <w:t>3 316,60</w:t>
            </w:r>
          </w:p>
        </w:tc>
      </w:tr>
    </w:tbl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</w:t>
      </w:r>
    </w:p>
    <w:tbl>
      <w:tblPr>
        <w:tblW w:w="9921" w:type="dxa"/>
        <w:jc w:val="left"/>
        <w:tblInd w:w="-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393"/>
        <w:gridCol w:w="1336"/>
        <w:gridCol w:w="1357"/>
        <w:gridCol w:w="1559"/>
        <w:gridCol w:w="1276"/>
      </w:tblGrid>
      <w:tr>
        <w:trPr>
          <w:trHeight w:val="284" w:hRule="atLeast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Konečný zostatok</w:t>
            </w:r>
          </w:p>
        </w:tc>
      </w:tr>
      <w:tr>
        <w:trPr>
          <w:trHeight w:val="284" w:hRule="atLeast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záväzky</w:t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251,21</w:t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1 301,03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1 370,00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251,21</w:t>
            </w:r>
          </w:p>
        </w:tc>
      </w:tr>
      <w:tr>
        <w:trPr>
          <w:trHeight w:val="284" w:hRule="atLeast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Iné záväzky spolu</w:t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251,21</w:t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1 301,03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1 370,00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251,21</w:t>
            </w:r>
          </w:p>
        </w:tc>
      </w:tr>
    </w:tbl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 o výške záväzkov do lehoty splatnosti a po lehote splatnosti,</w:t>
      </w:r>
    </w:p>
    <w:tbl>
      <w:tblPr>
        <w:tblW w:w="9921" w:type="dxa"/>
        <w:jc w:val="left"/>
        <w:tblInd w:w="-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393"/>
        <w:gridCol w:w="2692"/>
        <w:gridCol w:w="2836"/>
      </w:tblGrid>
      <w:tr>
        <w:trPr>
          <w:trHeight w:val="284" w:hRule="atLeast"/>
        </w:trPr>
        <w:tc>
          <w:tcPr>
            <w:tcW w:w="4393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552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439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6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26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16 989,59</w:t>
            </w:r>
          </w:p>
        </w:tc>
        <w:tc>
          <w:tcPr>
            <w:tcW w:w="2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16 848,64</w:t>
            </w:r>
          </w:p>
        </w:tc>
      </w:tr>
      <w:tr>
        <w:trPr>
          <w:trHeight w:val="284" w:hRule="atLeast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6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Záväzky spolu</w:t>
            </w:r>
          </w:p>
        </w:tc>
        <w:tc>
          <w:tcPr>
            <w:tcW w:w="26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</w:rPr>
            </w:pPr>
            <w:r>
              <w:rPr>
                <w:b/>
                <w:sz w:val="16"/>
                <w:szCs w:val="16"/>
              </w:rPr>
              <w:t>16 989,59</w:t>
            </w:r>
          </w:p>
        </w:tc>
        <w:tc>
          <w:tcPr>
            <w:tcW w:w="2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</w:rPr>
            </w:pPr>
            <w:r>
              <w:rPr>
                <w:b/>
                <w:sz w:val="16"/>
                <w:szCs w:val="16"/>
              </w:rPr>
              <w:t>16 848,64</w:t>
            </w:r>
          </w:p>
        </w:tc>
      </w:tr>
    </w:tbl>
    <w:p>
      <w:pPr>
        <w:pStyle w:val="Normal"/>
        <w:spacing w:lineRule="auto" w:line="240" w:before="0" w:after="0"/>
        <w:ind w:left="36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9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 xml:space="preserve">prehľad o výške záväzkov podľa zostatkovej doby splatnosti v členení podľa položiek súvahy </w:t>
      </w:r>
    </w:p>
    <w:p>
      <w:pPr>
        <w:pStyle w:val="Normal"/>
        <w:spacing w:lineRule="auto" w:line="240" w:before="0" w:after="0"/>
        <w:ind w:left="72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ind w:left="360" w:hanging="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c) a d) o záväzkoch</w:t>
      </w:r>
    </w:p>
    <w:tbl>
      <w:tblPr>
        <w:tblW w:w="5000" w:type="pct"/>
        <w:jc w:val="left"/>
        <w:tblInd w:w="-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984"/>
        <w:gridCol w:w="2496"/>
        <w:gridCol w:w="2498"/>
      </w:tblGrid>
      <w:tr>
        <w:trPr>
          <w:trHeight w:val="284" w:hRule="atLeast"/>
        </w:trPr>
        <w:tc>
          <w:tcPr>
            <w:tcW w:w="498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49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498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4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24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12 584,64</w:t>
            </w:r>
          </w:p>
        </w:tc>
        <w:tc>
          <w:tcPr>
            <w:tcW w:w="24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11 080,03</w:t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</w:rPr>
            </w:pPr>
            <w:r>
              <w:rPr>
                <w:b/>
                <w:sz w:val="16"/>
                <w:szCs w:val="16"/>
              </w:rPr>
              <w:t>12 584,64</w:t>
            </w:r>
          </w:p>
        </w:tc>
        <w:tc>
          <w:tcPr>
            <w:tcW w:w="24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</w:rPr>
            </w:pPr>
            <w:r>
              <w:rPr>
                <w:b/>
                <w:sz w:val="16"/>
                <w:szCs w:val="16"/>
              </w:rPr>
              <w:t>11 080,03</w:t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4 404,95</w:t>
            </w:r>
          </w:p>
        </w:tc>
        <w:tc>
          <w:tcPr>
            <w:tcW w:w="24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5 768,61</w:t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4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</w:rPr>
            </w:pPr>
            <w:r>
              <w:rPr>
                <w:b/>
                <w:sz w:val="16"/>
                <w:szCs w:val="16"/>
              </w:rPr>
              <w:t>4 404,95</w:t>
            </w:r>
          </w:p>
        </w:tc>
        <w:tc>
          <w:tcPr>
            <w:tcW w:w="24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</w:rPr>
            </w:pPr>
            <w:r>
              <w:rPr>
                <w:b/>
                <w:sz w:val="16"/>
                <w:szCs w:val="16"/>
              </w:rPr>
              <w:t>5 768,61</w:t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16 989,59</w:t>
            </w:r>
          </w:p>
        </w:tc>
        <w:tc>
          <w:tcPr>
            <w:tcW w:w="24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16 848,64</w:t>
            </w:r>
          </w:p>
        </w:tc>
      </w:tr>
    </w:tbl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>
      <w:pPr>
        <w:pStyle w:val="Normal"/>
        <w:spacing w:lineRule="auto" w:line="240" w:before="0" w:after="120"/>
        <w:ind w:left="360" w:hanging="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e) o vývoji sociálneho fondu</w:t>
      </w:r>
    </w:p>
    <w:tbl>
      <w:tblPr>
        <w:tblW w:w="5000" w:type="pct"/>
        <w:jc w:val="left"/>
        <w:tblInd w:w="-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727"/>
        <w:gridCol w:w="3147"/>
        <w:gridCol w:w="3104"/>
      </w:tblGrid>
      <w:tr>
        <w:trPr>
          <w:trHeight w:val="284" w:hRule="atLeast"/>
        </w:trPr>
        <w:tc>
          <w:tcPr>
            <w:tcW w:w="37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1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>
        <w:trPr>
          <w:trHeight w:val="284" w:hRule="atLeast"/>
        </w:trPr>
        <w:tc>
          <w:tcPr>
            <w:tcW w:w="37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prvému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1 540,19</w:t>
            </w:r>
          </w:p>
        </w:tc>
        <w:tc>
          <w:tcPr>
            <w:tcW w:w="31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1 301,43</w:t>
            </w:r>
          </w:p>
        </w:tc>
      </w:tr>
      <w:tr>
        <w:trPr>
          <w:trHeight w:val="284" w:hRule="atLeast"/>
        </w:trPr>
        <w:tc>
          <w:tcPr>
            <w:tcW w:w="37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na ťarchu nákladov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448,52</w:t>
            </w:r>
          </w:p>
        </w:tc>
        <w:tc>
          <w:tcPr>
            <w:tcW w:w="31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537,76</w:t>
            </w:r>
          </w:p>
        </w:tc>
      </w:tr>
      <w:tr>
        <w:trPr>
          <w:trHeight w:val="284" w:hRule="atLeast"/>
        </w:trPr>
        <w:tc>
          <w:tcPr>
            <w:tcW w:w="37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zo zisku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1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37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Čerpanie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900,36</w:t>
            </w:r>
          </w:p>
        </w:tc>
        <w:tc>
          <w:tcPr>
            <w:tcW w:w="31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301,00</w:t>
            </w:r>
          </w:p>
        </w:tc>
      </w:tr>
      <w:tr>
        <w:trPr>
          <w:trHeight w:val="284" w:hRule="atLeast"/>
        </w:trPr>
        <w:tc>
          <w:tcPr>
            <w:tcW w:w="37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1 088,35</w:t>
            </w:r>
          </w:p>
        </w:tc>
        <w:tc>
          <w:tcPr>
            <w:tcW w:w="31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1 540,19</w:t>
            </w:r>
          </w:p>
        </w:tc>
      </w:tr>
    </w:tbl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>
      <w:pPr>
        <w:pStyle w:val="Normal"/>
        <w:spacing w:lineRule="auto" w:line="240" w:before="0" w:after="120"/>
        <w:rPr>
          <w:iCs/>
          <w:sz w:val="18"/>
          <w:szCs w:val="18"/>
        </w:rPr>
      </w:pPr>
      <w:r>
        <w:rPr>
          <w:bCs/>
          <w:iCs/>
          <w:sz w:val="18"/>
          <w:szCs w:val="18"/>
        </w:rPr>
        <w:t xml:space="preserve">Účtovná jednotka neeviduje prijaté bankové úvery, pôžičky ani iné výpomoci. </w:t>
      </w:r>
    </w:p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 významných položkách časového rozlíšenia výdavkov budúcich období.</w:t>
      </w:r>
    </w:p>
    <w:p>
      <w:pPr>
        <w:pStyle w:val="Normal"/>
        <w:spacing w:lineRule="auto" w:line="240" w:before="0" w:after="0"/>
        <w:ind w:left="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3" w:hanging="0"/>
        <w:rPr>
          <w:sz w:val="18"/>
          <w:szCs w:val="18"/>
        </w:rPr>
      </w:pPr>
      <w:r>
        <w:rPr>
          <w:sz w:val="18"/>
          <w:szCs w:val="18"/>
        </w:rPr>
        <w:t xml:space="preserve">Organizácia neeviduje významné položky na tomto účte časového rozlíšenia. </w:t>
      </w:r>
    </w:p>
    <w:p>
      <w:pPr>
        <w:pStyle w:val="Normal"/>
        <w:spacing w:lineRule="auto" w:line="240" w:before="0" w:after="0"/>
        <w:ind w:left="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Prehľad o významných položkách výnosov budúcich období 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15 o významných položkách výnosov budúcich období</w:t>
      </w:r>
    </w:p>
    <w:tbl>
      <w:tblPr>
        <w:tblW w:w="10382" w:type="dxa"/>
        <w:jc w:val="left"/>
        <w:tblInd w:w="-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178"/>
        <w:gridCol w:w="1550"/>
        <w:gridCol w:w="1550"/>
        <w:gridCol w:w="1550"/>
        <w:gridCol w:w="1554"/>
      </w:tblGrid>
      <w:tr>
        <w:trPr>
          <w:trHeight w:val="284" w:hRule="atLeast"/>
        </w:trPr>
        <w:tc>
          <w:tcPr>
            <w:tcW w:w="4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4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darom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3 562,50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3 562,50</w:t>
            </w:r>
          </w:p>
        </w:tc>
        <w:tc>
          <w:tcPr>
            <w:tcW w:w="15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4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2 312,39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2 312,39</w:t>
            </w:r>
          </w:p>
        </w:tc>
      </w:tr>
      <w:tr>
        <w:trPr>
          <w:trHeight w:val="284" w:hRule="atLeast"/>
        </w:trPr>
        <w:tc>
          <w:tcPr>
            <w:tcW w:w="4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 majetku prenajatom formou finančného prenájmu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Organizácia nemá prenajatý dlhodobý finančný majetok formou finančného lízingu. 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IV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Informácie, ktoré dopĺňajú a vysvetľujú údaje vo výkaze ziskov a strát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Ind w:w="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top w:w="0" w:type="dxa"/>
          <w:left w:w="6" w:type="dxa"/>
          <w:bottom w:w="0" w:type="dxa"/>
          <w:right w:w="30" w:type="dxa"/>
        </w:tblCellMar>
        <w:tblLook w:firstRow="0" w:noVBand="0" w:lastRow="0" w:firstColumn="0" w:lastColumn="0" w:noHBand="0" w:val="0000"/>
      </w:tblPr>
      <w:tblGrid>
        <w:gridCol w:w="4025"/>
        <w:gridCol w:w="2973"/>
        <w:gridCol w:w="2980"/>
      </w:tblGrid>
      <w:tr>
        <w:trPr>
          <w:trHeight w:val="284" w:hRule="atLeast"/>
        </w:trPr>
        <w:tc>
          <w:tcPr>
            <w:tcW w:w="40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6" w:type="dxa"/>
            </w:tcMar>
            <w:vAlign w:val="center"/>
          </w:tcPr>
          <w:p>
            <w:pPr>
              <w:pStyle w:val="Nadpis3"/>
              <w:spacing w:before="0" w:after="0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cs="Arial Narrow" w:ascii="Arial Narrow" w:hAnsi="Arial Narrow"/>
                <w:sz w:val="16"/>
                <w:szCs w:val="16"/>
              </w:rPr>
              <w:t>Prehľad tržieb za vlastné výkony a služby, z toho</w:t>
            </w:r>
          </w:p>
        </w:tc>
        <w:tc>
          <w:tcPr>
            <w:tcW w:w="297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29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Podnikateľská činnosť</w:t>
            </w:r>
          </w:p>
        </w:tc>
      </w:tr>
      <w:tr>
        <w:trPr>
          <w:trHeight w:val="284" w:hRule="atLeast"/>
        </w:trPr>
        <w:tc>
          <w:tcPr>
            <w:tcW w:w="40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0"/>
                <w:sz w:val="16"/>
                <w:szCs w:val="16"/>
              </w:rPr>
              <w:t>45 806,21</w:t>
            </w:r>
          </w:p>
        </w:tc>
        <w:tc>
          <w:tcPr>
            <w:tcW w:w="297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0"/>
                <w:sz w:val="16"/>
                <w:szCs w:val="16"/>
              </w:rPr>
              <w:t>30 463,31</w:t>
            </w:r>
          </w:p>
        </w:tc>
        <w:tc>
          <w:tcPr>
            <w:tcW w:w="29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0"/>
                <w:sz w:val="16"/>
                <w:szCs w:val="16"/>
              </w:rPr>
              <w:t>15 342,90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00" w:type="pct"/>
        <w:jc w:val="left"/>
        <w:tblInd w:w="-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Sponzorské prijaté od fyzických osôb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9 471,78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Sponzorské prijaté od iných organizácií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1 700,00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Odpustenie záväzku za nájomné za 1Q 2018, ktorý bol uhradený zriaďovateľom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498,00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  <w:t xml:space="preserve">Organizácia predala v priebehu roka 2018 dve motorové vozidlá – VW Caravella a Renault Kangoo, ktoré používala len na svoju verejnoprospešnú činnosť. Predajná cena predmetných motorových vozidiel bola vo výške 7 250 EUR a obstarávacia cena vo výške 19 510 EUR. </w:t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00" w:type="pct"/>
        <w:jc w:val="left"/>
        <w:tblInd w:w="-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Prehľad dotácií a grantov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Bratislavský samosprávny kraj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18 074,15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Úrad práce, sociálnych vecí a rodiny SR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55 608,17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Ministerstvo práce, sociálnych vecí a rodiny Slovenskej republiky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11 539,20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 xml:space="preserve">Organizácia nevykazuje významné položky finančných výnosov. </w:t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bookmarkStart w:id="0" w:name="_GoBack"/>
      <w:bookmarkEnd w:id="0"/>
      <w:r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00" w:type="pct"/>
        <w:jc w:val="left"/>
        <w:tblInd w:w="-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Spotreba materiálu pre chránenú dielňu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5 140,70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Spotreba pohonných látok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198,59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Hygienické potreby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617,37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Iné položky spotreby materiálu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1 290,51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Spotreba materiálu spolu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7 247,17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Spotreba plynu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4 154,74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Spotreba elektriny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920,40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Spotreba vodné, stočné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187,78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Spotreba energie spolu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5 262,92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Ekonomické služby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5 236,00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 xml:space="preserve">Nájomné 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1 992,00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Telekomunikačné služby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1 016,45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Revízie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1 349,16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Školenia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1 190,00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Poštovné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313,35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Odvoz odpadu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224,00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Iné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897,06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Ostatné služby spolu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12 218,02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Poplatky banke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335,48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 xml:space="preserve">Poistenie 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282,71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Iné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2,48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Iné ostatné náklady spolu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620,67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o účele a výške použitia podielu zaplatenej dane za bežné účtovné obdobie.</w:t>
      </w:r>
    </w:p>
    <w:p>
      <w:pPr>
        <w:pStyle w:val="Normal"/>
        <w:spacing w:lineRule="auto" w:line="240" w:before="0" w:after="120"/>
        <w:rPr>
          <w:b/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Tabuľka k čl. IV  ods. 6 o účele a výške použitia podielu zaplatenej dane    </w:t>
      </w:r>
    </w:p>
    <w:tbl>
      <w:tblPr>
        <w:tblW w:w="4900" w:type="pct"/>
        <w:jc w:val="left"/>
        <w:tblInd w:w="-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810"/>
        <w:gridCol w:w="2726"/>
        <w:gridCol w:w="1"/>
        <w:gridCol w:w="2241"/>
      </w:tblGrid>
      <w:tr>
        <w:trPr>
          <w:trHeight w:val="284" w:hRule="atLeast"/>
        </w:trPr>
        <w:tc>
          <w:tcPr>
            <w:tcW w:w="4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Účel použitia podielu zaplatenej dane</w:t>
            </w:r>
          </w:p>
        </w:tc>
        <w:tc>
          <w:tcPr>
            <w:tcW w:w="272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2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bežného účtovného obdobia</w:t>
            </w:r>
          </w:p>
        </w:tc>
      </w:tr>
      <w:tr>
        <w:trPr>
          <w:trHeight w:val="284" w:hRule="atLeast"/>
        </w:trPr>
        <w:tc>
          <w:tcPr>
            <w:tcW w:w="4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Materiál pre chránenú dielňu</w:t>
            </w:r>
          </w:p>
        </w:tc>
        <w:tc>
          <w:tcPr>
            <w:tcW w:w="272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2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2 894,59</w:t>
            </w:r>
          </w:p>
        </w:tc>
      </w:tr>
      <w:tr>
        <w:trPr>
          <w:trHeight w:val="284" w:hRule="atLeast"/>
        </w:trPr>
        <w:tc>
          <w:tcPr>
            <w:tcW w:w="4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Služby pre chránenú dielňu</w:t>
            </w:r>
          </w:p>
        </w:tc>
        <w:tc>
          <w:tcPr>
            <w:tcW w:w="272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2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753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2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2 312,39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  <w:t xml:space="preserve">Organizácia nevykazuje významné položky finančných nákladov. </w:t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overenie účtovnej závierky,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uisťovacie audítorské služby s výnimkou overenia účtovnej závierky,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súvisiace audítorské služby,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daňové poradenstvo,</w:t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720" w:hanging="357"/>
        <w:rPr>
          <w:sz w:val="18"/>
          <w:szCs w:val="18"/>
        </w:rPr>
      </w:pPr>
      <w:r>
        <w:rPr>
          <w:sz w:val="18"/>
          <w:szCs w:val="18"/>
        </w:rPr>
        <w:t>ostatné neaudítorské služby.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IV  ods. 8 o nákladoch vynaložených v súvislosti s auditom účtovnej závierky</w:t>
      </w:r>
    </w:p>
    <w:tbl>
      <w:tblPr>
        <w:tblW w:w="4900" w:type="pct"/>
        <w:jc w:val="left"/>
        <w:tblInd w:w="-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608"/>
        <w:gridCol w:w="3169"/>
      </w:tblGrid>
      <w:tr>
        <w:trPr>
          <w:trHeight w:val="284" w:hRule="atLeast"/>
        </w:trPr>
        <w:tc>
          <w:tcPr>
            <w:tcW w:w="6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Jednotlivé druhy nákladov za</w:t>
            </w:r>
          </w:p>
        </w:tc>
        <w:tc>
          <w:tcPr>
            <w:tcW w:w="31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overenie účtovnej závierky*</w:t>
            </w:r>
          </w:p>
        </w:tc>
        <w:tc>
          <w:tcPr>
            <w:tcW w:w="31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600,00</w:t>
            </w:r>
          </w:p>
        </w:tc>
      </w:tr>
      <w:tr>
        <w:trPr>
          <w:trHeight w:val="284" w:hRule="atLeast"/>
        </w:trPr>
        <w:tc>
          <w:tcPr>
            <w:tcW w:w="6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1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600,00</w:t>
            </w:r>
          </w:p>
        </w:tc>
      </w:tr>
    </w:tbl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  <w:t>* hodnota neobsahuje zákonnú DPH vo výške 120 EUR.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V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Opis údajov na podsúvahových účtoch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 xml:space="preserve">Nezisková organizácia má v prenájme nehnuteľnosť Jakubove 79,  900 63 Jakubov. Tieto priestory využíva na prevádzku chránenej dielne, rehabilitačné aktivity a iné činnosti spojené s verejnoprospešnou činnosťou. Ročné náklady na prenájom sú 1 992 EUR. Zmluva s prenajímateľom je uzatvorená na dobu neurčitú. 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VI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Ďalšie informácie</w:t>
      </w:r>
    </w:p>
    <w:p>
      <w:pPr>
        <w:pStyle w:val="Textopatrenia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>
      <w:pPr>
        <w:pStyle w:val="Textopatrenia"/>
        <w:rPr>
          <w:sz w:val="18"/>
          <w:szCs w:val="18"/>
        </w:rPr>
      </w:pPr>
      <w:r>
        <w:rPr>
          <w:sz w:val="18"/>
          <w:szCs w:val="18"/>
        </w:rPr>
        <w:t>Účtovná jednotka nemá iné aktíva alebo pasíva, ktoré by nevykazovala v súvahe.</w:t>
      </w:r>
    </w:p>
    <w:p>
      <w:pPr>
        <w:pStyle w:val="Textopatrenia"/>
        <w:spacing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Textopatrenia"/>
        <w:numPr>
          <w:ilvl w:val="0"/>
          <w:numId w:val="12"/>
        </w:numPr>
        <w:spacing w:before="0" w:after="120"/>
        <w:ind w:left="357" w:hanging="357"/>
        <w:rPr>
          <w:sz w:val="18"/>
          <w:szCs w:val="18"/>
        </w:rPr>
      </w:pPr>
      <w:r>
        <w:rPr>
          <w:sz w:val="18"/>
          <w:szCs w:val="18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>
      <w:pPr>
        <w:pStyle w:val="Textopatrenia"/>
        <w:numPr>
          <w:ilvl w:val="0"/>
          <w:numId w:val="13"/>
        </w:numPr>
        <w:spacing w:before="0" w:after="120"/>
        <w:rPr>
          <w:sz w:val="18"/>
          <w:szCs w:val="18"/>
        </w:rPr>
      </w:pPr>
      <w:r>
        <w:rPr>
          <w:sz w:val="18"/>
          <w:szCs w:val="18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Textopatrenia"/>
        <w:numPr>
          <w:ilvl w:val="0"/>
          <w:numId w:val="13"/>
        </w:numPr>
        <w:spacing w:before="0" w:after="120"/>
        <w:rPr>
          <w:sz w:val="18"/>
          <w:szCs w:val="18"/>
        </w:rPr>
      </w:pPr>
      <w:r>
        <w:rPr>
          <w:sz w:val="18"/>
          <w:szCs w:val="18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>
      <w:pPr>
        <w:pStyle w:val="Textopatrenia"/>
        <w:rPr>
          <w:sz w:val="18"/>
          <w:szCs w:val="18"/>
        </w:rPr>
      </w:pPr>
      <w:r>
        <w:rPr>
          <w:sz w:val="18"/>
          <w:szCs w:val="18"/>
        </w:rPr>
        <w:t>Účtovná jednotka nemá iné aktíva alebo pasíva, ktoré by nevykazovala v súvahe.</w:t>
      </w:r>
    </w:p>
    <w:p>
      <w:pPr>
        <w:pStyle w:val="Textopatrenia"/>
        <w:spacing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Textopatrenia"/>
        <w:numPr>
          <w:ilvl w:val="0"/>
          <w:numId w:val="12"/>
        </w:numPr>
        <w:spacing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>
      <w:pPr>
        <w:pStyle w:val="Textopatrenia"/>
        <w:numPr>
          <w:ilvl w:val="0"/>
          <w:numId w:val="14"/>
        </w:numPr>
        <w:spacing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povinnosť z devízových termínovaných obchodov a iných finančných derivátov,</w:t>
      </w:r>
    </w:p>
    <w:p>
      <w:pPr>
        <w:pStyle w:val="Textopatrenia"/>
        <w:numPr>
          <w:ilvl w:val="0"/>
          <w:numId w:val="14"/>
        </w:numPr>
        <w:spacing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povinnosť z opčných obchodov,</w:t>
      </w:r>
    </w:p>
    <w:p>
      <w:pPr>
        <w:pStyle w:val="Textopatrenia"/>
        <w:numPr>
          <w:ilvl w:val="0"/>
          <w:numId w:val="14"/>
        </w:numPr>
        <w:spacing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zákonná povinnosť alebo zmluvná povinnosť odobrať určité produkty alebo služby, napríklad z dodávateľských alebo odberateľských zmlúv,</w:t>
      </w:r>
    </w:p>
    <w:p>
      <w:pPr>
        <w:pStyle w:val="Textopatrenia"/>
        <w:numPr>
          <w:ilvl w:val="0"/>
          <w:numId w:val="14"/>
        </w:numPr>
        <w:spacing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povinnosť z leasingových, nájomných, servisných, poistných, koncesionárskych, licenčných zmlúv a podobných zmlúv,</w:t>
      </w:r>
    </w:p>
    <w:p>
      <w:pPr>
        <w:pStyle w:val="Textopatrenia"/>
        <w:numPr>
          <w:ilvl w:val="0"/>
          <w:numId w:val="14"/>
        </w:numPr>
        <w:spacing w:before="0" w:after="120"/>
        <w:ind w:left="720" w:hanging="357"/>
        <w:rPr>
          <w:sz w:val="18"/>
          <w:szCs w:val="18"/>
        </w:rPr>
      </w:pPr>
      <w:r>
        <w:rPr>
          <w:sz w:val="18"/>
          <w:szCs w:val="18"/>
        </w:rPr>
        <w:t xml:space="preserve">iné povinnosti. </w:t>
      </w:r>
    </w:p>
    <w:p>
      <w:pPr>
        <w:pStyle w:val="Textopatrenia"/>
        <w:rPr>
          <w:sz w:val="18"/>
          <w:szCs w:val="18"/>
        </w:rPr>
      </w:pPr>
      <w:r>
        <w:rPr>
          <w:sz w:val="18"/>
          <w:szCs w:val="18"/>
        </w:rPr>
        <w:t>Účtovná jednotka nemá ostatné finančné povinnosti, ktoré by nevykazovala v súvahe.</w:t>
      </w:r>
    </w:p>
    <w:p>
      <w:pPr>
        <w:pStyle w:val="Textopatrenia"/>
        <w:spacing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2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nehnuteľných kultúrnych pamiatok, ktoré sú v správe alebo vo vlastníctve účtovnej jednotky.</w:t>
      </w:r>
    </w:p>
    <w:p>
      <w:pPr>
        <w:pStyle w:val="Textopatrenia"/>
        <w:rPr>
          <w:sz w:val="18"/>
          <w:szCs w:val="18"/>
        </w:rPr>
      </w:pPr>
      <w:r>
        <w:rPr>
          <w:sz w:val="18"/>
          <w:szCs w:val="18"/>
        </w:rPr>
        <w:t>Účtovná jednotka nemá vo vlastníctve ani v správe žiadne kultúrne pamiatky.</w:t>
      </w:r>
    </w:p>
    <w:p>
      <w:pPr>
        <w:pStyle w:val="Normal"/>
        <w:numPr>
          <w:ilvl w:val="0"/>
          <w:numId w:val="12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Informácie o významných skutočnostiach, ktoré nastali medzi dňom, ku ktorému sa zostavuje účtovná závierka a dňom jej zostavenia.</w:t>
      </w:r>
    </w:p>
    <w:p>
      <w:pPr>
        <w:pStyle w:val="Textopatrenia"/>
        <w:spacing w:before="0" w:after="0"/>
        <w:ind w:left="3" w:hanging="0"/>
        <w:rPr>
          <w:sz w:val="18"/>
          <w:szCs w:val="18"/>
        </w:rPr>
      </w:pPr>
      <w:r>
        <w:rPr>
          <w:sz w:val="18"/>
          <w:szCs w:val="18"/>
        </w:rPr>
        <w:t>Medzi dňom zostavenia účtovnej závierky a dňom, ku ktorému sa účtovná závierka zostavuje, nenastali žiadne významné skutočnosti, ktoré by mali významný vplyv na údaje vykázané v účtovnej závierke.</w:t>
      </w:r>
    </w:p>
    <w:p>
      <w:pPr>
        <w:pStyle w:val="Textopatrenia"/>
        <w:spacing w:before="0" w:after="0"/>
        <w:ind w:left="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ind w:left="3" w:hanging="0"/>
        <w:rPr/>
      </w:pPr>
      <w:r>
        <w:rPr/>
      </w:r>
    </w:p>
    <w:sectPr>
      <w:footerReference w:type="default" r:id="rId2"/>
      <w:type w:val="nextPage"/>
      <w:pgSz w:w="11906" w:h="16838"/>
      <w:pgMar w:left="964" w:right="964" w:header="0" w:top="1304" w:footer="454" w:bottom="1021" w:gutter="0"/>
      <w:pgNumType w:start="7" w:fmt="decimal"/>
      <w:formProt w:val="false"/>
      <w:textDirection w:val="lrTb"/>
      <w:docGrid w:type="default" w:linePitch="272" w:charSpace="20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alibri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spacing w:before="120" w:after="12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7</w:t>
    </w:r>
    <w:r>
      <w:fldChar w:fldCharType="end"/>
    </w:r>
  </w:p>
  <w:p>
    <w:pPr>
      <w:pStyle w:val="Pta"/>
      <w:tabs>
        <w:tab w:val="center" w:pos="4536" w:leader="none"/>
        <w:tab w:val="right" w:pos="9072" w:leader="none"/>
      </w:tabs>
      <w:spacing w:before="120" w:after="120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upperRoman"/>
      <w:suff w:val="nothing"/>
      <w:lvlText w:val="Čl. %1."/>
      <w:lvlJc w:val="center"/>
      <w:pPr>
        <w:ind w:left="0" w:hanging="0"/>
      </w:pPr>
      <w:rPr>
        <w:sz w:val="24"/>
        <w:i w:val="false"/>
        <w:b/>
        <w:szCs w:val="24"/>
        <w:iCs w:val="false"/>
        <w:bCs/>
        <w:rFonts w:cs="Arial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i w:val="false"/>
        <w:b/>
        <w:iCs w:val="false"/>
        <w:bCs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sz w:val="16"/>
        <w:i w:val="false"/>
        <w:b w:val="false"/>
        <w:iCs w:val="false"/>
        <w:bCs w:val="false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sz w:val="18"/>
        <w:i w:val="false"/>
        <w:b w:val="false"/>
        <w:iCs w:val="false"/>
        <w:bCs w:val="false"/>
      </w:rPr>
    </w:lvl>
    <w:lvl w:ilvl="3">
      <w:start w:val="1"/>
      <w:numFmt w:val="none"/>
      <w:suff w:val="nothing"/>
      <w:lvlText w:val=""/>
      <w:lvlJc w:val="left"/>
      <w:pPr>
        <w:ind w:left="1440" w:hanging="360"/>
      </w:pPr>
    </w:lvl>
    <w:lvl w:ilvl="4">
      <w:start w:val="1"/>
      <w:numFmt w:val="none"/>
      <w:suff w:val="nothing"/>
      <w:lvlText w:val=""/>
      <w:lvlJc w:val="left"/>
      <w:pPr>
        <w:ind w:left="1800" w:hanging="360"/>
      </w:pPr>
    </w:lvl>
    <w:lvl w:ilvl="5">
      <w:start w:val="1"/>
      <w:numFmt w:val="none"/>
      <w:suff w:val="nothing"/>
      <w:lvlText w:val=""/>
      <w:lvlJc w:val="left"/>
      <w:pPr>
        <w:ind w:left="2160" w:hanging="360"/>
      </w:pPr>
    </w:lvl>
    <w:lvl w:ilvl="6">
      <w:start w:val="1"/>
      <w:numFmt w:val="none"/>
      <w:suff w:val="nothing"/>
      <w:lvlText w:val=""/>
      <w:lvlJc w:val="left"/>
      <w:pPr>
        <w:ind w:left="2520" w:hanging="360"/>
      </w:pPr>
    </w:lvl>
    <w:lvl w:ilvl="7">
      <w:start w:val="1"/>
      <w:numFmt w:val="none"/>
      <w:suff w:val="nothing"/>
      <w:lvlText w:val=""/>
      <w:lvlJc w:val="left"/>
      <w:pPr>
        <w:ind w:left="2880" w:hanging="360"/>
      </w:pPr>
    </w:lvl>
    <w:lvl w:ilvl="8">
      <w:start w:val="1"/>
      <w:numFmt w:val="none"/>
      <w:suff w:val="nothing"/>
      <w:lvlText w:val=""/>
      <w:lvlJc w:val="left"/>
      <w:pPr>
        <w:ind w:left="3240" w:hanging="360"/>
      </w:pPr>
    </w:lvl>
  </w:abstractNum>
  <w:abstractNum w:abstractNumId="5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9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lvl w:ilvl="0">
      <w:start w:val="1"/>
      <w:numFmt w:val="decimal"/>
      <w:lvlText w:val="(%1)"/>
      <w:lvlJc w:val="left"/>
      <w:pPr>
        <w:ind w:left="360" w:hanging="360"/>
      </w:pPr>
      <w:rPr>
        <w:sz w:val="18"/>
        <w:szCs w:val="16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</w:numbering>
</file>

<file path=word/settings.xml><?xml version="1.0" encoding="utf-8"?>
<w:settings xmlns:w="http://schemas.openxmlformats.org/wordprocessingml/2006/main">
  <w:zoom w:percent="140"/>
  <w:embedSystemFonts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qFormat="1"/>
    <w:lsdException w:name="heading 3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rsid w:val="00691dcc"/>
    <w:pPr>
      <w:widowControl/>
      <w:bidi w:val="0"/>
      <w:spacing w:lineRule="auto" w:line="360" w:before="120" w:after="120"/>
      <w:jc w:val="both"/>
    </w:pPr>
    <w:rPr>
      <w:rFonts w:ascii="Arial Narrow" w:hAnsi="Arial Narrow" w:cs="Arial Narrow" w:eastAsia="Times New Roman"/>
      <w:color w:val="00000A"/>
      <w:sz w:val="20"/>
      <w:szCs w:val="20"/>
      <w:lang w:eastAsia="cs-CZ" w:val="sk-SK" w:bidi="ar-SA"/>
    </w:rPr>
  </w:style>
  <w:style w:type="paragraph" w:styleId="Nadpis1">
    <w:name w:val="Heading 1"/>
    <w:basedOn w:val="Normal"/>
    <w:link w:val="Nadpis1Char"/>
    <w:uiPriority w:val="99"/>
    <w:qFormat/>
    <w:rsid w:val="00d440d5"/>
    <w:pPr>
      <w:keepNext/>
      <w:numPr>
        <w:ilvl w:val="0"/>
        <w:numId w:val="1"/>
      </w:numPr>
      <w:spacing w:lineRule="auto" w:line="240"/>
      <w:jc w:val="center"/>
      <w:outlineLvl w:val="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Heading 2"/>
    <w:basedOn w:val="Normal"/>
    <w:link w:val="Nadpis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al"/>
    <w:link w:val="Nadpis3Char"/>
    <w:uiPriority w:val="99"/>
    <w:qFormat/>
    <w:rsid w:val="00945816"/>
    <w:pPr>
      <w:keepNext/>
      <w:spacing w:lineRule="auto" w:line="240" w:before="240" w:after="60"/>
      <w:jc w:val="left"/>
      <w:outlineLvl w:val="2"/>
    </w:pPr>
    <w:rPr>
      <w:rFonts w:ascii="Arial" w:hAnsi="Arial" w:cs="Arial"/>
      <w:b/>
      <w:bCs/>
      <w:sz w:val="26"/>
      <w:szCs w:val="26"/>
      <w:lang w:val="cs-CZ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rsid w:val="00a02c03"/>
    <w:rPr>
      <w:rFonts w:ascii="Cambria" w:hAnsi="Cambria" w:cs="Cambria"/>
      <w:b/>
      <w:bCs/>
      <w:sz w:val="32"/>
      <w:szCs w:val="32"/>
      <w:lang w:eastAsia="cs-CZ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rsid w:val="00a02c03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styleId="Nadpis3Char" w:customStyle="1">
    <w:name w:val="Nadpis 3 Char"/>
    <w:basedOn w:val="DefaultParagraphFont"/>
    <w:link w:val="Nadpis3"/>
    <w:uiPriority w:val="99"/>
    <w:qFormat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character" w:styleId="TltlnzovChar115ptAntiqueOliveNiejeTun" w:customStyle="1">
    <w:name w:val="Štýl Štýl § názov Char + 115 pt + Antique Olive Nie je Tučné"/>
    <w:uiPriority w:val="99"/>
    <w:qFormat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character" w:styleId="PtaChar" w:customStyle="1">
    <w:name w:val="Päta Char"/>
    <w:basedOn w:val="DefaultParagraphFont"/>
    <w:link w:val="Pta"/>
    <w:uiPriority w:val="99"/>
    <w:qFormat/>
    <w:rsid w:val="00a02c03"/>
    <w:rPr>
      <w:rFonts w:ascii="Arial" w:hAnsi="Arial" w:cs="Arial"/>
      <w:sz w:val="24"/>
      <w:szCs w:val="24"/>
      <w:lang w:eastAsia="cs-CZ"/>
    </w:rPr>
  </w:style>
  <w:style w:type="character" w:styleId="Pagenumber">
    <w:name w:val="page number"/>
    <w:basedOn w:val="DefaultParagraphFont"/>
    <w:uiPriority w:val="99"/>
    <w:qFormat/>
    <w:rsid w:val="0072048d"/>
    <w:rPr/>
  </w:style>
  <w:style w:type="character" w:styleId="Strong">
    <w:name w:val="Strong"/>
    <w:basedOn w:val="DefaultParagraphFont"/>
    <w:uiPriority w:val="99"/>
    <w:qFormat/>
    <w:rsid w:val="00db3c2d"/>
    <w:rPr>
      <w:b/>
      <w:bCs/>
    </w:rPr>
  </w:style>
  <w:style w:type="character" w:styleId="ZkladntextChar" w:customStyle="1">
    <w:name w:val="Základný text Char"/>
    <w:basedOn w:val="DefaultParagraphFont"/>
    <w:link w:val="Zkladntext"/>
    <w:uiPriority w:val="99"/>
    <w:qFormat/>
    <w:rsid w:val="00497323"/>
    <w:rPr>
      <w:rFonts w:ascii="Arial" w:hAnsi="Arial" w:cs="Arial"/>
      <w:sz w:val="24"/>
      <w:szCs w:val="24"/>
      <w:lang w:val="de-DE" w:eastAsia="cs-CZ"/>
    </w:rPr>
  </w:style>
  <w:style w:type="character" w:styleId="HlavikaChar" w:customStyle="1">
    <w:name w:val="Hlavička Char"/>
    <w:basedOn w:val="DefaultParagraphFont"/>
    <w:link w:val="Hlavika"/>
    <w:uiPriority w:val="99"/>
    <w:qFormat/>
    <w:rsid w:val="00804636"/>
    <w:rPr>
      <w:rFonts w:ascii="Arial Narrow" w:hAnsi="Arial Narrow" w:cs="Arial Narrow"/>
      <w:sz w:val="24"/>
      <w:szCs w:val="24"/>
      <w:lang w:eastAsia="cs-CZ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1058f5"/>
    <w:rPr>
      <w:rFonts w:ascii="Tahoma" w:hAnsi="Tahoma" w:cs="Tahoma"/>
      <w:sz w:val="16"/>
      <w:szCs w:val="16"/>
      <w:lang w:eastAsia="cs-CZ"/>
    </w:rPr>
  </w:style>
  <w:style w:type="character" w:styleId="ListLabel1" w:customStyle="1">
    <w:name w:val="ListLabel 1"/>
    <w:qFormat/>
    <w:rPr>
      <w:rFonts w:cs="Arial"/>
      <w:b/>
      <w:bCs/>
      <w:i w:val="false"/>
      <w:iCs w:val="false"/>
      <w:sz w:val="24"/>
      <w:szCs w:val="24"/>
    </w:rPr>
  </w:style>
  <w:style w:type="character" w:styleId="ListLabel2" w:customStyle="1">
    <w:name w:val="ListLabel 2"/>
    <w:qFormat/>
    <w:rPr>
      <w:b w:val="false"/>
      <w:bCs w:val="false"/>
      <w:i w:val="false"/>
      <w:iCs w:val="false"/>
    </w:rPr>
  </w:style>
  <w:style w:type="character" w:styleId="ListLabel3" w:customStyle="1">
    <w:name w:val="ListLabel 3"/>
    <w:qFormat/>
    <w:rPr>
      <w:rFonts w:cs="Arial"/>
      <w:b/>
      <w:bCs/>
      <w:i w:val="false"/>
      <w:iCs w:val="false"/>
      <w:sz w:val="24"/>
      <w:szCs w:val="24"/>
    </w:rPr>
  </w:style>
  <w:style w:type="character" w:styleId="ListLabel4" w:customStyle="1">
    <w:name w:val="ListLabel 4"/>
    <w:qFormat/>
    <w:rPr>
      <w:b w:val="false"/>
      <w:bCs w:val="false"/>
      <w:i w:val="false"/>
      <w:iCs w:val="false"/>
    </w:rPr>
  </w:style>
  <w:style w:type="character" w:styleId="ListLabel5" w:customStyle="1">
    <w:name w:val="ListLabel 5"/>
    <w:qFormat/>
    <w:rPr>
      <w:b/>
      <w:bCs/>
      <w:i w:val="false"/>
      <w:iCs w:val="false"/>
    </w:rPr>
  </w:style>
  <w:style w:type="character" w:styleId="ListLabel6" w:customStyle="1">
    <w:name w:val="ListLabel 6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7" w:customStyle="1">
    <w:name w:val="ListLabel 7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8" w:customStyle="1">
    <w:name w:val="ListLabel 8"/>
    <w:qFormat/>
    <w:rPr>
      <w:b/>
      <w:bCs/>
      <w:i w:val="false"/>
      <w:iCs w:val="false"/>
    </w:rPr>
  </w:style>
  <w:style w:type="character" w:styleId="ListLabel9" w:customStyle="1">
    <w:name w:val="ListLabel 9"/>
    <w:qFormat/>
    <w:rPr>
      <w:b w:val="false"/>
      <w:bCs w:val="false"/>
      <w:i w:val="false"/>
      <w:iCs w:val="false"/>
      <w:sz w:val="16"/>
    </w:rPr>
  </w:style>
  <w:style w:type="character" w:styleId="ListLabel10" w:customStyle="1">
    <w:name w:val="ListLabel 10"/>
    <w:qFormat/>
    <w:rPr>
      <w:b w:val="false"/>
      <w:bCs w:val="false"/>
      <w:i w:val="false"/>
      <w:iCs w:val="false"/>
      <w:sz w:val="18"/>
    </w:rPr>
  </w:style>
  <w:style w:type="character" w:styleId="ListLabel11" w:customStyle="1">
    <w:name w:val="ListLabel 11"/>
    <w:qFormat/>
    <w:rPr>
      <w:rFonts w:cs="Symbol"/>
      <w:b/>
      <w:sz w:val="16"/>
    </w:rPr>
  </w:style>
  <w:style w:type="character" w:styleId="ListLabel12" w:customStyle="1">
    <w:name w:val="ListLabel 12"/>
    <w:qFormat/>
    <w:rPr>
      <w:rFonts w:cs="Courier New"/>
    </w:rPr>
  </w:style>
  <w:style w:type="character" w:styleId="ListLabel13" w:customStyle="1">
    <w:name w:val="ListLabel 13"/>
    <w:qFormat/>
    <w:rPr>
      <w:rFonts w:cs="Wingdings"/>
    </w:rPr>
  </w:style>
  <w:style w:type="character" w:styleId="ListLabel14" w:customStyle="1">
    <w:name w:val="ListLabel 14"/>
    <w:qFormat/>
    <w:rPr>
      <w:rFonts w:cs="Symbol"/>
    </w:rPr>
  </w:style>
  <w:style w:type="character" w:styleId="ListLabel15" w:customStyle="1">
    <w:name w:val="ListLabel 15"/>
    <w:qFormat/>
    <w:rPr>
      <w:rFonts w:cs="Courier New"/>
    </w:rPr>
  </w:style>
  <w:style w:type="character" w:styleId="ListLabel16" w:customStyle="1">
    <w:name w:val="ListLabel 16"/>
    <w:qFormat/>
    <w:rPr>
      <w:rFonts w:cs="Wingdings"/>
    </w:rPr>
  </w:style>
  <w:style w:type="character" w:styleId="ListLabel17" w:customStyle="1">
    <w:name w:val="ListLabel 17"/>
    <w:qFormat/>
    <w:rPr>
      <w:rFonts w:cs="Symbol"/>
    </w:rPr>
  </w:style>
  <w:style w:type="character" w:styleId="ListLabel18" w:customStyle="1">
    <w:name w:val="ListLabel 18"/>
    <w:qFormat/>
    <w:rPr>
      <w:rFonts w:cs="Courier New"/>
    </w:rPr>
  </w:style>
  <w:style w:type="character" w:styleId="ListLabel19" w:customStyle="1">
    <w:name w:val="ListLabel 19"/>
    <w:qFormat/>
    <w:rPr>
      <w:rFonts w:cs="Wingdings"/>
    </w:rPr>
  </w:style>
  <w:style w:type="character" w:styleId="ListLabel20" w:customStyle="1">
    <w:name w:val="ListLabel 20"/>
    <w:qFormat/>
    <w:rPr>
      <w:rFonts w:cs="Symbol"/>
      <w:sz w:val="16"/>
    </w:rPr>
  </w:style>
  <w:style w:type="character" w:styleId="ListLabel21" w:customStyle="1">
    <w:name w:val="ListLabel 21"/>
    <w:qFormat/>
    <w:rPr>
      <w:rFonts w:cs="Courier New"/>
    </w:rPr>
  </w:style>
  <w:style w:type="character" w:styleId="ListLabel22" w:customStyle="1">
    <w:name w:val="ListLabel 22"/>
    <w:qFormat/>
    <w:rPr>
      <w:rFonts w:cs="Wingdings"/>
    </w:rPr>
  </w:style>
  <w:style w:type="character" w:styleId="ListLabel23" w:customStyle="1">
    <w:name w:val="ListLabel 23"/>
    <w:qFormat/>
    <w:rPr>
      <w:rFonts w:cs="Symbol"/>
    </w:rPr>
  </w:style>
  <w:style w:type="character" w:styleId="ListLabel24" w:customStyle="1">
    <w:name w:val="ListLabel 24"/>
    <w:qFormat/>
    <w:rPr>
      <w:rFonts w:cs="Courier New"/>
    </w:rPr>
  </w:style>
  <w:style w:type="character" w:styleId="ListLabel25" w:customStyle="1">
    <w:name w:val="ListLabel 25"/>
    <w:qFormat/>
    <w:rPr>
      <w:rFonts w:cs="Wingdings"/>
    </w:rPr>
  </w:style>
  <w:style w:type="character" w:styleId="ListLabel26" w:customStyle="1">
    <w:name w:val="ListLabel 26"/>
    <w:qFormat/>
    <w:rPr>
      <w:rFonts w:cs="Symbol"/>
    </w:rPr>
  </w:style>
  <w:style w:type="character" w:styleId="ListLabel27" w:customStyle="1">
    <w:name w:val="ListLabel 27"/>
    <w:qFormat/>
    <w:rPr>
      <w:rFonts w:cs="Courier New"/>
    </w:rPr>
  </w:style>
  <w:style w:type="character" w:styleId="ListLabel28" w:customStyle="1">
    <w:name w:val="ListLabel 28"/>
    <w:qFormat/>
    <w:rPr>
      <w:rFonts w:cs="Wingdings"/>
    </w:rPr>
  </w:style>
  <w:style w:type="character" w:styleId="ListLabel29" w:customStyle="1">
    <w:name w:val="ListLabel 29"/>
    <w:qFormat/>
    <w:rPr>
      <w:rFonts w:cs="Symbol"/>
      <w:sz w:val="16"/>
    </w:rPr>
  </w:style>
  <w:style w:type="character" w:styleId="ListLabel30" w:customStyle="1">
    <w:name w:val="ListLabel 30"/>
    <w:qFormat/>
    <w:rPr>
      <w:rFonts w:cs="Courier New"/>
    </w:rPr>
  </w:style>
  <w:style w:type="character" w:styleId="ListLabel31" w:customStyle="1">
    <w:name w:val="ListLabel 31"/>
    <w:qFormat/>
    <w:rPr>
      <w:rFonts w:cs="Wingdings"/>
    </w:rPr>
  </w:style>
  <w:style w:type="character" w:styleId="ListLabel32" w:customStyle="1">
    <w:name w:val="ListLabel 32"/>
    <w:qFormat/>
    <w:rPr>
      <w:rFonts w:cs="Symbol"/>
    </w:rPr>
  </w:style>
  <w:style w:type="character" w:styleId="ListLabel33" w:customStyle="1">
    <w:name w:val="ListLabel 33"/>
    <w:qFormat/>
    <w:rPr>
      <w:rFonts w:cs="Courier New"/>
    </w:rPr>
  </w:style>
  <w:style w:type="character" w:styleId="ListLabel34" w:customStyle="1">
    <w:name w:val="ListLabel 34"/>
    <w:qFormat/>
    <w:rPr>
      <w:rFonts w:cs="Wingdings"/>
    </w:rPr>
  </w:style>
  <w:style w:type="character" w:styleId="ListLabel35" w:customStyle="1">
    <w:name w:val="ListLabel 35"/>
    <w:qFormat/>
    <w:rPr>
      <w:rFonts w:cs="Symbol"/>
    </w:rPr>
  </w:style>
  <w:style w:type="character" w:styleId="ListLabel36" w:customStyle="1">
    <w:name w:val="ListLabel 36"/>
    <w:qFormat/>
    <w:rPr>
      <w:rFonts w:cs="Courier New"/>
    </w:rPr>
  </w:style>
  <w:style w:type="character" w:styleId="ListLabel37" w:customStyle="1">
    <w:name w:val="ListLabel 37"/>
    <w:qFormat/>
    <w:rPr>
      <w:rFonts w:cs="Wingdings"/>
    </w:rPr>
  </w:style>
  <w:style w:type="character" w:styleId="ListLabel38" w:customStyle="1">
    <w:name w:val="ListLabel 38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39" w:customStyle="1">
    <w:name w:val="ListLabel 39"/>
    <w:qFormat/>
    <w:rPr>
      <w:rFonts w:cs="Arial"/>
      <w:b/>
      <w:bCs/>
      <w:i w:val="false"/>
      <w:iCs w:val="false"/>
      <w:sz w:val="24"/>
      <w:szCs w:val="24"/>
    </w:rPr>
  </w:style>
  <w:style w:type="character" w:styleId="ListLabel40" w:customStyle="1">
    <w:name w:val="ListLabel 40"/>
    <w:qFormat/>
    <w:rPr>
      <w:b/>
      <w:bCs/>
      <w:i w:val="false"/>
      <w:iCs w:val="false"/>
    </w:rPr>
  </w:style>
  <w:style w:type="character" w:styleId="ListLabel41" w:customStyle="1">
    <w:name w:val="ListLabel 41"/>
    <w:qFormat/>
    <w:rPr>
      <w:b w:val="false"/>
      <w:bCs w:val="false"/>
      <w:i w:val="false"/>
      <w:iCs w:val="false"/>
      <w:sz w:val="16"/>
    </w:rPr>
  </w:style>
  <w:style w:type="character" w:styleId="ListLabel42" w:customStyle="1">
    <w:name w:val="ListLabel 42"/>
    <w:qFormat/>
    <w:rPr>
      <w:b w:val="false"/>
      <w:bCs w:val="false"/>
      <w:i w:val="false"/>
      <w:iCs w:val="false"/>
      <w:sz w:val="18"/>
    </w:rPr>
  </w:style>
  <w:style w:type="character" w:styleId="ListLabel43" w:customStyle="1">
    <w:name w:val="ListLabel 43"/>
    <w:qFormat/>
    <w:rPr>
      <w:rFonts w:cs="Symbol"/>
      <w:b/>
      <w:sz w:val="16"/>
    </w:rPr>
  </w:style>
  <w:style w:type="character" w:styleId="ListLabel44" w:customStyle="1">
    <w:name w:val="ListLabel 44"/>
    <w:qFormat/>
    <w:rPr>
      <w:rFonts w:cs="Courier New"/>
    </w:rPr>
  </w:style>
  <w:style w:type="character" w:styleId="ListLabel45" w:customStyle="1">
    <w:name w:val="ListLabel 45"/>
    <w:qFormat/>
    <w:rPr>
      <w:rFonts w:cs="Wingdings"/>
    </w:rPr>
  </w:style>
  <w:style w:type="character" w:styleId="ListLabel46" w:customStyle="1">
    <w:name w:val="ListLabel 46"/>
    <w:qFormat/>
    <w:rPr>
      <w:rFonts w:cs="Symbol"/>
    </w:rPr>
  </w:style>
  <w:style w:type="character" w:styleId="ListLabel47" w:customStyle="1">
    <w:name w:val="ListLabel 47"/>
    <w:qFormat/>
    <w:rPr>
      <w:rFonts w:cs="Courier New"/>
    </w:rPr>
  </w:style>
  <w:style w:type="character" w:styleId="ListLabel48" w:customStyle="1">
    <w:name w:val="ListLabel 48"/>
    <w:qFormat/>
    <w:rPr>
      <w:rFonts w:cs="Wingdings"/>
    </w:rPr>
  </w:style>
  <w:style w:type="character" w:styleId="ListLabel49" w:customStyle="1">
    <w:name w:val="ListLabel 49"/>
    <w:qFormat/>
    <w:rPr>
      <w:rFonts w:cs="Symbol"/>
    </w:rPr>
  </w:style>
  <w:style w:type="character" w:styleId="ListLabel50" w:customStyle="1">
    <w:name w:val="ListLabel 50"/>
    <w:qFormat/>
    <w:rPr>
      <w:rFonts w:cs="Courier New"/>
    </w:rPr>
  </w:style>
  <w:style w:type="character" w:styleId="ListLabel51" w:customStyle="1">
    <w:name w:val="ListLabel 51"/>
    <w:qFormat/>
    <w:rPr>
      <w:rFonts w:cs="Wingdings"/>
    </w:rPr>
  </w:style>
  <w:style w:type="character" w:styleId="ListLabel52" w:customStyle="1">
    <w:name w:val="ListLabel 52"/>
    <w:qFormat/>
    <w:rPr>
      <w:rFonts w:cs="Symbol"/>
      <w:sz w:val="16"/>
    </w:rPr>
  </w:style>
  <w:style w:type="character" w:styleId="ListLabel53" w:customStyle="1">
    <w:name w:val="ListLabel 53"/>
    <w:qFormat/>
    <w:rPr>
      <w:rFonts w:cs="Courier New"/>
    </w:rPr>
  </w:style>
  <w:style w:type="character" w:styleId="ListLabel54" w:customStyle="1">
    <w:name w:val="ListLabel 54"/>
    <w:qFormat/>
    <w:rPr>
      <w:rFonts w:cs="Wingdings"/>
    </w:rPr>
  </w:style>
  <w:style w:type="character" w:styleId="ListLabel55" w:customStyle="1">
    <w:name w:val="ListLabel 55"/>
    <w:qFormat/>
    <w:rPr>
      <w:rFonts w:cs="Symbol"/>
    </w:rPr>
  </w:style>
  <w:style w:type="character" w:styleId="ListLabel56" w:customStyle="1">
    <w:name w:val="ListLabel 56"/>
    <w:qFormat/>
    <w:rPr>
      <w:rFonts w:cs="Courier New"/>
    </w:rPr>
  </w:style>
  <w:style w:type="character" w:styleId="ListLabel57" w:customStyle="1">
    <w:name w:val="ListLabel 57"/>
    <w:qFormat/>
    <w:rPr>
      <w:rFonts w:cs="Wingdings"/>
    </w:rPr>
  </w:style>
  <w:style w:type="character" w:styleId="ListLabel58" w:customStyle="1">
    <w:name w:val="ListLabel 58"/>
    <w:qFormat/>
    <w:rPr>
      <w:rFonts w:cs="Symbol"/>
    </w:rPr>
  </w:style>
  <w:style w:type="character" w:styleId="ListLabel59" w:customStyle="1">
    <w:name w:val="ListLabel 59"/>
    <w:qFormat/>
    <w:rPr>
      <w:rFonts w:cs="Courier New"/>
    </w:rPr>
  </w:style>
  <w:style w:type="character" w:styleId="ListLabel60" w:customStyle="1">
    <w:name w:val="ListLabel 60"/>
    <w:qFormat/>
    <w:rPr>
      <w:rFonts w:cs="Wingdings"/>
    </w:rPr>
  </w:style>
  <w:style w:type="character" w:styleId="ListLabel61" w:customStyle="1">
    <w:name w:val="ListLabel 61"/>
    <w:qFormat/>
    <w:rPr>
      <w:rFonts w:cs="Symbol"/>
      <w:sz w:val="16"/>
    </w:rPr>
  </w:style>
  <w:style w:type="character" w:styleId="ListLabel62" w:customStyle="1">
    <w:name w:val="ListLabel 62"/>
    <w:qFormat/>
    <w:rPr>
      <w:rFonts w:cs="Courier New"/>
    </w:rPr>
  </w:style>
  <w:style w:type="character" w:styleId="ListLabel63" w:customStyle="1">
    <w:name w:val="ListLabel 63"/>
    <w:qFormat/>
    <w:rPr>
      <w:rFonts w:cs="Wingdings"/>
    </w:rPr>
  </w:style>
  <w:style w:type="character" w:styleId="ListLabel64" w:customStyle="1">
    <w:name w:val="ListLabel 64"/>
    <w:qFormat/>
    <w:rPr>
      <w:rFonts w:cs="Symbol"/>
    </w:rPr>
  </w:style>
  <w:style w:type="character" w:styleId="ListLabel65" w:customStyle="1">
    <w:name w:val="ListLabel 65"/>
    <w:qFormat/>
    <w:rPr>
      <w:rFonts w:cs="Courier New"/>
    </w:rPr>
  </w:style>
  <w:style w:type="character" w:styleId="ListLabel66" w:customStyle="1">
    <w:name w:val="ListLabel 66"/>
    <w:qFormat/>
    <w:rPr>
      <w:rFonts w:cs="Wingdings"/>
    </w:rPr>
  </w:style>
  <w:style w:type="character" w:styleId="ListLabel67" w:customStyle="1">
    <w:name w:val="ListLabel 67"/>
    <w:qFormat/>
    <w:rPr>
      <w:rFonts w:cs="Symbol"/>
    </w:rPr>
  </w:style>
  <w:style w:type="character" w:styleId="ListLabel68" w:customStyle="1">
    <w:name w:val="ListLabel 68"/>
    <w:qFormat/>
    <w:rPr>
      <w:rFonts w:cs="Courier New"/>
    </w:rPr>
  </w:style>
  <w:style w:type="character" w:styleId="ListLabel69" w:customStyle="1">
    <w:name w:val="ListLabel 69"/>
    <w:qFormat/>
    <w:rPr>
      <w:rFonts w:cs="Wingdings"/>
    </w:rPr>
  </w:style>
  <w:style w:type="character" w:styleId="ListLabel70">
    <w:name w:val="ListLabel 70"/>
    <w:qFormat/>
    <w:rPr>
      <w:rFonts w:cs="Arial"/>
      <w:b/>
      <w:bCs/>
      <w:i w:val="false"/>
      <w:iCs w:val="false"/>
      <w:sz w:val="24"/>
      <w:szCs w:val="24"/>
    </w:rPr>
  </w:style>
  <w:style w:type="character" w:styleId="ListLabel71">
    <w:name w:val="ListLabel 71"/>
    <w:qFormat/>
    <w:rPr>
      <w:b/>
      <w:bCs/>
      <w:i w:val="false"/>
      <w:iCs w:val="false"/>
    </w:rPr>
  </w:style>
  <w:style w:type="character" w:styleId="ListLabel72">
    <w:name w:val="ListLabel 72"/>
    <w:qFormat/>
    <w:rPr>
      <w:b w:val="false"/>
      <w:bCs w:val="false"/>
      <w:i w:val="false"/>
      <w:iCs w:val="false"/>
      <w:sz w:val="16"/>
    </w:rPr>
  </w:style>
  <w:style w:type="character" w:styleId="ListLabel73">
    <w:name w:val="ListLabel 73"/>
    <w:qFormat/>
    <w:rPr>
      <w:b w:val="false"/>
      <w:bCs w:val="false"/>
      <w:i w:val="false"/>
      <w:iCs w:val="false"/>
      <w:sz w:val="18"/>
    </w:rPr>
  </w:style>
  <w:style w:type="character" w:styleId="ListLabel74">
    <w:name w:val="ListLabel 74"/>
    <w:qFormat/>
    <w:rPr>
      <w:rFonts w:cs="Symbol"/>
      <w:b/>
      <w:sz w:val="16"/>
    </w:rPr>
  </w:style>
  <w:style w:type="character" w:styleId="ListLabel75">
    <w:name w:val="ListLabel 75"/>
    <w:qFormat/>
    <w:rPr>
      <w:rFonts w:cs="Courier New"/>
    </w:rPr>
  </w:style>
  <w:style w:type="character" w:styleId="ListLabel76">
    <w:name w:val="ListLabel 76"/>
    <w:qFormat/>
    <w:rPr>
      <w:rFonts w:cs="Wingdings"/>
    </w:rPr>
  </w:style>
  <w:style w:type="character" w:styleId="ListLabel77">
    <w:name w:val="ListLabel 77"/>
    <w:qFormat/>
    <w:rPr>
      <w:rFonts w:cs="Symbol"/>
    </w:rPr>
  </w:style>
  <w:style w:type="character" w:styleId="ListLabel78">
    <w:name w:val="ListLabel 78"/>
    <w:qFormat/>
    <w:rPr>
      <w:rFonts w:cs="Courier New"/>
    </w:rPr>
  </w:style>
  <w:style w:type="character" w:styleId="ListLabel79">
    <w:name w:val="ListLabel 79"/>
    <w:qFormat/>
    <w:rPr>
      <w:rFonts w:cs="Wingdings"/>
    </w:rPr>
  </w:style>
  <w:style w:type="character" w:styleId="ListLabel80">
    <w:name w:val="ListLabel 80"/>
    <w:qFormat/>
    <w:rPr>
      <w:rFonts w:cs="Symbol"/>
    </w:rPr>
  </w:style>
  <w:style w:type="character" w:styleId="ListLabel81">
    <w:name w:val="ListLabel 81"/>
    <w:qFormat/>
    <w:rPr>
      <w:rFonts w:cs="Courier New"/>
    </w:rPr>
  </w:style>
  <w:style w:type="character" w:styleId="ListLabel82">
    <w:name w:val="ListLabel 82"/>
    <w:qFormat/>
    <w:rPr>
      <w:rFonts w:cs="Wingdings"/>
    </w:rPr>
  </w:style>
  <w:style w:type="character" w:styleId="ListLabel83">
    <w:name w:val="ListLabel 83"/>
    <w:qFormat/>
    <w:rPr>
      <w:rFonts w:cs="Symbol"/>
      <w:sz w:val="16"/>
    </w:rPr>
  </w:style>
  <w:style w:type="character" w:styleId="ListLabel84">
    <w:name w:val="ListLabel 84"/>
    <w:qFormat/>
    <w:rPr>
      <w:rFonts w:cs="Courier New"/>
    </w:rPr>
  </w:style>
  <w:style w:type="character" w:styleId="ListLabel85">
    <w:name w:val="ListLabel 85"/>
    <w:qFormat/>
    <w:rPr>
      <w:rFonts w:cs="Wingdings"/>
    </w:rPr>
  </w:style>
  <w:style w:type="character" w:styleId="ListLabel86">
    <w:name w:val="ListLabel 86"/>
    <w:qFormat/>
    <w:rPr>
      <w:rFonts w:cs="Symbol"/>
    </w:rPr>
  </w:style>
  <w:style w:type="character" w:styleId="ListLabel87">
    <w:name w:val="ListLabel 87"/>
    <w:qFormat/>
    <w:rPr>
      <w:rFonts w:cs="Courier New"/>
    </w:rPr>
  </w:style>
  <w:style w:type="character" w:styleId="ListLabel88">
    <w:name w:val="ListLabel 88"/>
    <w:qFormat/>
    <w:rPr>
      <w:rFonts w:cs="Wingdings"/>
    </w:rPr>
  </w:style>
  <w:style w:type="character" w:styleId="ListLabel89">
    <w:name w:val="ListLabel 89"/>
    <w:qFormat/>
    <w:rPr>
      <w:rFonts w:cs="Symbol"/>
    </w:rPr>
  </w:style>
  <w:style w:type="character" w:styleId="ListLabel90">
    <w:name w:val="ListLabel 90"/>
    <w:qFormat/>
    <w:rPr>
      <w:rFonts w:cs="Courier New"/>
    </w:rPr>
  </w:style>
  <w:style w:type="character" w:styleId="ListLabel91">
    <w:name w:val="ListLabel 91"/>
    <w:qFormat/>
    <w:rPr>
      <w:rFonts w:cs="Wingdings"/>
    </w:rPr>
  </w:style>
  <w:style w:type="character" w:styleId="ListLabel92">
    <w:name w:val="ListLabel 92"/>
    <w:qFormat/>
    <w:rPr>
      <w:rFonts w:cs="Symbol"/>
      <w:sz w:val="16"/>
    </w:rPr>
  </w:style>
  <w:style w:type="character" w:styleId="ListLabel93">
    <w:name w:val="ListLabel 93"/>
    <w:qFormat/>
    <w:rPr>
      <w:rFonts w:cs="Courier New"/>
    </w:rPr>
  </w:style>
  <w:style w:type="character" w:styleId="ListLabel94">
    <w:name w:val="ListLabel 94"/>
    <w:qFormat/>
    <w:rPr>
      <w:rFonts w:cs="Wingdings"/>
    </w:rPr>
  </w:style>
  <w:style w:type="character" w:styleId="ListLabel95">
    <w:name w:val="ListLabel 95"/>
    <w:qFormat/>
    <w:rPr>
      <w:rFonts w:cs="Symbol"/>
    </w:rPr>
  </w:style>
  <w:style w:type="character" w:styleId="ListLabel96">
    <w:name w:val="ListLabel 96"/>
    <w:qFormat/>
    <w:rPr>
      <w:rFonts w:cs="Courier New"/>
    </w:rPr>
  </w:style>
  <w:style w:type="character" w:styleId="ListLabel97">
    <w:name w:val="ListLabel 97"/>
    <w:qFormat/>
    <w:rPr>
      <w:rFonts w:cs="Wingdings"/>
    </w:rPr>
  </w:style>
  <w:style w:type="character" w:styleId="ListLabel98">
    <w:name w:val="ListLabel 98"/>
    <w:qFormat/>
    <w:rPr>
      <w:rFonts w:cs="Symbol"/>
    </w:rPr>
  </w:style>
  <w:style w:type="character" w:styleId="ListLabel99">
    <w:name w:val="ListLabel 99"/>
    <w:qFormat/>
    <w:rPr>
      <w:rFonts w:cs="Courier New"/>
    </w:rPr>
  </w:style>
  <w:style w:type="character" w:styleId="ListLabel100">
    <w:name w:val="ListLabel 100"/>
    <w:qFormat/>
    <w:rPr>
      <w:rFonts w:cs="Wingdings"/>
    </w:rPr>
  </w:style>
  <w:style w:type="character" w:styleId="ListLabel101">
    <w:name w:val="ListLabel 101"/>
    <w:qFormat/>
    <w:rPr>
      <w:sz w:val="18"/>
      <w:szCs w:val="16"/>
    </w:rPr>
  </w:style>
  <w:style w:type="character" w:styleId="ListLabel102">
    <w:name w:val="ListLabel 102"/>
    <w:qFormat/>
    <w:rPr>
      <w:rFonts w:cs="Times New Roman"/>
      <w:b w:val="false"/>
      <w:bCs w:val="false"/>
      <w:i w:val="false"/>
      <w:iCs w:val="false"/>
      <w:caps w:val="false"/>
      <w:smallCaps w:val="false"/>
      <w:strike w:val="false"/>
      <w:dstrike w:val="false"/>
      <w:outline w:val="false"/>
      <w:shadow w:val="false"/>
      <w:emboss w:val="false"/>
      <w:imprint w:val="false"/>
      <w:vanish w:val="false"/>
      <w:color w:val="00000A"/>
      <w:spacing w:val="0"/>
      <w:w w:val="100"/>
      <w:position w:val="0"/>
      <w:sz w:val="24"/>
      <w:sz w:val="24"/>
      <w:szCs w:val="24"/>
      <w:u w:val="none" w:color="000000"/>
      <w:vertAlign w:val="baseline"/>
    </w:rPr>
  </w:style>
  <w:style w:type="character" w:styleId="ListLabel103">
    <w:name w:val="ListLabel 103"/>
    <w:qFormat/>
    <w:rPr>
      <w:rFonts w:cs="Times New Roman"/>
    </w:rPr>
  </w:style>
  <w:style w:type="character" w:styleId="ListLabel104">
    <w:name w:val="ListLabel 104"/>
    <w:qFormat/>
    <w:rPr>
      <w:rFonts w:cs="Times New Roman"/>
    </w:rPr>
  </w:style>
  <w:style w:type="character" w:styleId="ListLabel105">
    <w:name w:val="ListLabel 105"/>
    <w:qFormat/>
    <w:rPr>
      <w:rFonts w:cs="Times New Roman"/>
    </w:rPr>
  </w:style>
  <w:style w:type="character" w:styleId="ListLabel106">
    <w:name w:val="ListLabel 106"/>
    <w:qFormat/>
    <w:rPr>
      <w:rFonts w:cs="Times New Roman"/>
    </w:rPr>
  </w:style>
  <w:style w:type="character" w:styleId="ListLabel107">
    <w:name w:val="ListLabel 107"/>
    <w:qFormat/>
    <w:rPr>
      <w:rFonts w:cs="Times New Roman"/>
    </w:rPr>
  </w:style>
  <w:style w:type="character" w:styleId="ListLabel108">
    <w:name w:val="ListLabel 108"/>
    <w:qFormat/>
    <w:rPr>
      <w:rFonts w:cs="Times New Roman"/>
    </w:rPr>
  </w:style>
  <w:style w:type="character" w:styleId="ListLabel109">
    <w:name w:val="ListLabel 109"/>
    <w:qFormat/>
    <w:rPr>
      <w:rFonts w:cs="Times New Roman"/>
    </w:rPr>
  </w:style>
  <w:style w:type="character" w:styleId="ListLabel110">
    <w:name w:val="ListLabel 110"/>
    <w:qFormat/>
    <w:rPr>
      <w:rFonts w:cs="Times New Roman"/>
    </w:rPr>
  </w:style>
  <w:style w:type="paragraph" w:styleId="Nadpis" w:customStyle="1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rsid w:val="00497323"/>
    <w:pPr>
      <w:spacing w:lineRule="auto" w:line="240" w:before="0" w:after="0"/>
    </w:pPr>
    <w:rPr>
      <w:rFonts w:ascii="Arial" w:hAnsi="Arial" w:cs="Arial"/>
      <w:sz w:val="24"/>
      <w:szCs w:val="24"/>
      <w:lang w:val="de-DE"/>
    </w:rPr>
  </w:style>
  <w:style w:type="paragraph" w:styleId="Zoznam">
    <w:name w:val="List"/>
    <w:basedOn w:val="Telotextu"/>
    <w:pPr/>
    <w:rPr/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Arial"/>
    </w:rPr>
  </w:style>
  <w:style w:type="paragraph" w:styleId="Caption">
    <w:name w:val="caption"/>
    <w:basedOn w:val="Normal"/>
    <w:qFormat/>
    <w:pPr>
      <w:suppressLineNumbers/>
    </w:pPr>
    <w:rPr>
      <w:rFonts w:cs="Arial"/>
      <w:i/>
      <w:iCs/>
      <w:sz w:val="24"/>
      <w:szCs w:val="24"/>
    </w:rPr>
  </w:style>
  <w:style w:type="paragraph" w:styleId="Tl11ptTuniernaPodaokrajaVavo019cmRiadkova" w:customStyle="1">
    <w:name w:val="Štýl 11 pt Tučné Čierna Podľa okraja Vľavo:  019 cm Riadkova..."/>
    <w:uiPriority w:val="99"/>
    <w:qFormat/>
    <w:rsid w:val="00d71ffb"/>
    <w:pPr>
      <w:widowControl/>
      <w:bidi w:val="0"/>
      <w:spacing w:lineRule="auto" w:line="360"/>
      <w:jc w:val="both"/>
    </w:pPr>
    <w:rPr>
      <w:rFonts w:ascii="Arial" w:hAnsi="Arial" w:cs="Arial" w:eastAsia="Times New Roman"/>
      <w:color w:val="000000"/>
      <w:sz w:val="24"/>
      <w:szCs w:val="24"/>
      <w:lang w:eastAsia="cs-CZ" w:val="sk-SK" w:bidi="ar-SA"/>
    </w:rPr>
  </w:style>
  <w:style w:type="paragraph" w:styleId="TlPodaokrajaVavo019cmRiadkovanie15riadka" w:customStyle="1">
    <w:name w:val="Štýl Podľa okraja Vľavo:  019 cm Riadkovanie:  15 riadka"/>
    <w:basedOn w:val="Normal"/>
    <w:autoRedefine/>
    <w:uiPriority w:val="99"/>
    <w:qFormat/>
    <w:rsid w:val="00d71ffb"/>
    <w:pPr>
      <w:ind w:left="108" w:hanging="0"/>
    </w:pPr>
    <w:rPr/>
  </w:style>
  <w:style w:type="paragraph" w:styleId="Bododvodnenie" w:customStyle="1">
    <w:name w:val="Bod odôvodnenie"/>
    <w:uiPriority w:val="99"/>
    <w:qFormat/>
    <w:rsid w:val="00d440d5"/>
    <w:pPr>
      <w:widowControl/>
      <w:bidi w:val="0"/>
      <w:spacing w:before="120" w:after="120"/>
      <w:jc w:val="left"/>
    </w:pPr>
    <w:rPr>
      <w:rFonts w:ascii="Arial" w:hAnsi="Arial" w:cs="Arial" w:eastAsia="Times New Roman"/>
      <w:b/>
      <w:bCs/>
      <w:color w:val="00000A"/>
      <w:sz w:val="24"/>
      <w:szCs w:val="24"/>
      <w:lang w:eastAsia="cs-CZ" w:val="sk-SK" w:bidi="ar-SA"/>
    </w:rPr>
  </w:style>
  <w:style w:type="paragraph" w:styleId="TlArialPodaokraja" w:customStyle="1">
    <w:name w:val="Štýl Arial Podľa okraja"/>
    <w:autoRedefine/>
    <w:uiPriority w:val="99"/>
    <w:qFormat/>
    <w:rsid w:val="004337d2"/>
    <w:pPr>
      <w:widowControl/>
      <w:bidi w:val="0"/>
      <w:jc w:val="both"/>
    </w:pPr>
    <w:rPr>
      <w:rFonts w:ascii="Arial" w:hAnsi="Arial" w:cs="Arial" w:eastAsia="Times New Roman"/>
      <w:color w:val="00000A"/>
      <w:sz w:val="16"/>
      <w:szCs w:val="16"/>
      <w:lang w:eastAsia="cs-CZ" w:val="sk-SK" w:bidi="ar-SA"/>
    </w:rPr>
  </w:style>
  <w:style w:type="paragraph" w:styleId="Textpoznmky" w:customStyle="1">
    <w:name w:val="Text poznámky"/>
    <w:basedOn w:val="Normal"/>
    <w:autoRedefine/>
    <w:uiPriority w:val="99"/>
    <w:qFormat/>
    <w:rsid w:val="001f67e7"/>
    <w:pPr>
      <w:spacing w:lineRule="auto" w:line="240"/>
    </w:pPr>
    <w:rPr/>
  </w:style>
  <w:style w:type="paragraph" w:styleId="Pta">
    <w:name w:val="Footer"/>
    <w:basedOn w:val="Normal"/>
    <w:link w:val="PtaChar"/>
    <w:uiPriority w:val="99"/>
    <w:rsid w:val="0072048d"/>
    <w:pPr>
      <w:tabs>
        <w:tab w:val="center" w:pos="4536" w:leader="none"/>
        <w:tab w:val="right" w:pos="9072" w:leader="none"/>
      </w:tabs>
    </w:pPr>
    <w:rPr>
      <w:rFonts w:ascii="Arial" w:hAnsi="Arial" w:cs="Arial"/>
      <w:sz w:val="24"/>
      <w:szCs w:val="24"/>
    </w:rPr>
  </w:style>
  <w:style w:type="paragraph" w:styleId="Normlny1" w:customStyle="1">
    <w:name w:val="Normálny1"/>
    <w:uiPriority w:val="99"/>
    <w:qFormat/>
    <w:rsid w:val="00a40be6"/>
    <w:pPr>
      <w:widowControl/>
      <w:bidi w:val="0"/>
      <w:spacing w:lineRule="auto" w:line="360" w:before="120" w:after="120"/>
      <w:ind w:firstLine="709"/>
      <w:jc w:val="both"/>
    </w:pPr>
    <w:rPr>
      <w:rFonts w:ascii="Arial" w:hAnsi="Arial" w:cs="Arial" w:eastAsia="Times New Roman"/>
      <w:color w:val="00000A"/>
      <w:sz w:val="24"/>
      <w:szCs w:val="24"/>
      <w:lang w:eastAsia="cs-CZ" w:val="sk-SK" w:bidi="ar-SA"/>
    </w:rPr>
  </w:style>
  <w:style w:type="paragraph" w:styleId="Textopatrenia" w:customStyle="1">
    <w:name w:val="Text opatrenia"/>
    <w:qFormat/>
    <w:rsid w:val="00503a66"/>
    <w:pPr>
      <w:widowControl/>
      <w:bidi w:val="0"/>
      <w:spacing w:before="120" w:after="120"/>
      <w:jc w:val="both"/>
    </w:pPr>
    <w:rPr>
      <w:rFonts w:ascii="Arial Narrow" w:hAnsi="Arial Narrow" w:cs="Arial Narrow" w:eastAsia="Times New Roman"/>
      <w:color w:val="00000A"/>
      <w:sz w:val="20"/>
      <w:szCs w:val="22"/>
      <w:lang w:eastAsia="cs-CZ" w:val="sk-SK" w:bidi="ar-SA"/>
    </w:rPr>
  </w:style>
  <w:style w:type="paragraph" w:styleId="TopHeader" w:customStyle="1">
    <w:name w:val="Top Header"/>
    <w:basedOn w:val="Normal"/>
    <w:uiPriority w:val="99"/>
    <w:qFormat/>
    <w:rsid w:val="00322d87"/>
    <w:pPr>
      <w:spacing w:lineRule="auto" w:line="240" w:before="0" w:after="0"/>
      <w:jc w:val="center"/>
    </w:pPr>
    <w:rPr>
      <w:b/>
      <w:bCs/>
      <w:sz w:val="22"/>
      <w:szCs w:val="22"/>
      <w:lang w:eastAsia="en-US"/>
    </w:rPr>
  </w:style>
  <w:style w:type="paragraph" w:styleId="ListParagraph">
    <w:name w:val="List Paragraph"/>
    <w:basedOn w:val="Normal"/>
    <w:uiPriority w:val="99"/>
    <w:qFormat/>
    <w:rsid w:val="00497323"/>
    <w:pPr>
      <w:ind w:left="708" w:hanging="0"/>
    </w:pPr>
    <w:rPr/>
  </w:style>
  <w:style w:type="paragraph" w:styleId="Hlavika">
    <w:name w:val="Header"/>
    <w:basedOn w:val="Normal"/>
    <w:link w:val="HlavikaChar"/>
    <w:uiPriority w:val="99"/>
    <w:rsid w:val="00804636"/>
    <w:pPr>
      <w:tabs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xtbublinyChar"/>
    <w:uiPriority w:val="99"/>
    <w:semiHidden/>
    <w:qFormat/>
    <w:rsid w:val="001058f5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Obsahtabuky" w:customStyle="1">
    <w:name w:val="Obsah tabuľky"/>
    <w:basedOn w:val="Normal"/>
    <w:qFormat/>
    <w:pPr/>
    <w:rPr/>
  </w:style>
  <w:style w:type="paragraph" w:styleId="Nadpistabuky" w:customStyle="1">
    <w:name w:val="Nadpis tabuľky"/>
    <w:basedOn w:val="Obsahtabuky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db1285"/>
    <w:rPr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274</TotalTime>
  <Application>LibreOffice/5.3.3.2$Windows_X86_64 LibreOffice_project/3d9a8b4b4e538a85e0782bd6c2d430bafe583448</Application>
  <Pages>25</Pages>
  <Words>3609</Words>
  <Characters>21563</Characters>
  <CharactersWithSpaces>24670</CharactersWithSpaces>
  <Paragraphs>712</Paragraphs>
  <Company>MF-SR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2018-03-26T09:24:00Z</dcterms:created>
  <dc:creator>Vlaďka</dc:creator>
  <dc:description/>
  <dc:language>sk-SK</dc:language>
  <cp:lastModifiedBy>Martin Johanes| MANDAT</cp:lastModifiedBy>
  <cp:lastPrinted>2014-01-20T21:18:00Z</cp:lastPrinted>
  <dcterms:modified xsi:type="dcterms:W3CDTF">2019-03-24T14:43:00Z</dcterms:modified>
  <cp:revision>258</cp:revision>
  <dc:subject/>
  <dc:title>Príloha č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