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23187" w:rsidRDefault="00923187" w:rsidP="00923187">
      <w:pPr>
        <w:pStyle w:val="Default"/>
      </w:pPr>
    </w:p>
    <w:p w:rsidR="00923187" w:rsidRDefault="00923187" w:rsidP="00923187">
      <w:pPr>
        <w:pStyle w:val="Default"/>
        <w:jc w:val="center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Poznámky </w:t>
      </w:r>
      <w:proofErr w:type="spellStart"/>
      <w:r>
        <w:rPr>
          <w:b/>
          <w:bCs/>
          <w:sz w:val="23"/>
          <w:szCs w:val="23"/>
        </w:rPr>
        <w:t>Úč</w:t>
      </w:r>
      <w:proofErr w:type="spellEnd"/>
      <w:r>
        <w:rPr>
          <w:b/>
          <w:bCs/>
          <w:sz w:val="23"/>
          <w:szCs w:val="23"/>
        </w:rPr>
        <w:t xml:space="preserve"> MÚJ 3 – 01 IČO: 44750838 DIČ: 2022835166</w:t>
      </w:r>
    </w:p>
    <w:p w:rsidR="00923187" w:rsidRDefault="00923187" w:rsidP="00923187">
      <w:pPr>
        <w:pStyle w:val="Default"/>
        <w:rPr>
          <w:sz w:val="23"/>
          <w:szCs w:val="23"/>
        </w:rPr>
      </w:pPr>
    </w:p>
    <w:p w:rsidR="00923187" w:rsidRDefault="00923187" w:rsidP="0092318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Čl. I</w:t>
      </w:r>
    </w:p>
    <w:p w:rsidR="00923187" w:rsidRDefault="00923187" w:rsidP="00923187">
      <w:pPr>
        <w:pStyle w:val="Default"/>
        <w:rPr>
          <w:sz w:val="23"/>
          <w:szCs w:val="23"/>
        </w:rPr>
      </w:pPr>
    </w:p>
    <w:p w:rsidR="00923187" w:rsidRDefault="00923187" w:rsidP="00923187">
      <w:pPr>
        <w:pStyle w:val="Default"/>
        <w:rPr>
          <w:sz w:val="23"/>
          <w:szCs w:val="23"/>
        </w:rPr>
      </w:pP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Všeobecné údaje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Obchodné meno: </w:t>
      </w:r>
      <w:r>
        <w:rPr>
          <w:b/>
          <w:bCs/>
          <w:sz w:val="23"/>
          <w:szCs w:val="23"/>
        </w:rPr>
        <w:t xml:space="preserve">CRAZY-LAZY, s.r.o., sídlo: Mandľová 69, 85110 Bratislava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Spoločnosť nie je súčasťou konsolidovaného celku.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Priemerný prepočítaný počet zamestnancov: 2 </w:t>
      </w:r>
    </w:p>
    <w:p w:rsidR="00923187" w:rsidRDefault="00923187" w:rsidP="00923187">
      <w:pPr>
        <w:pStyle w:val="Default"/>
        <w:rPr>
          <w:sz w:val="23"/>
          <w:szCs w:val="23"/>
        </w:rPr>
      </w:pPr>
    </w:p>
    <w:p w:rsidR="00923187" w:rsidRDefault="00923187" w:rsidP="0092318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Čl. II</w:t>
      </w:r>
    </w:p>
    <w:p w:rsidR="00923187" w:rsidRDefault="00923187" w:rsidP="00923187">
      <w:pPr>
        <w:pStyle w:val="Default"/>
        <w:rPr>
          <w:b/>
          <w:bCs/>
          <w:sz w:val="23"/>
          <w:szCs w:val="23"/>
        </w:rPr>
      </w:pP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 o prijatých postupoch: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>1. Účtovná závierka bola zostavená k 31.12.201</w:t>
      </w:r>
      <w:r>
        <w:rPr>
          <w:sz w:val="23"/>
          <w:szCs w:val="23"/>
        </w:rPr>
        <w:t>8</w:t>
      </w:r>
      <w:r>
        <w:rPr>
          <w:sz w:val="23"/>
          <w:szCs w:val="23"/>
        </w:rPr>
        <w:t xml:space="preserve">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Spôsob oceňovania jednotlivých položiek majetku a záväzkov: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dlhodobého nehmotného majetku, dlhodobého hmotného majetku a dlhodobého finančného majetku – </w:t>
      </w:r>
      <w:r>
        <w:rPr>
          <w:b/>
          <w:bCs/>
          <w:sz w:val="23"/>
          <w:szCs w:val="23"/>
        </w:rPr>
        <w:t>majetok sa oceňuje obst</w:t>
      </w:r>
      <w:bookmarkStart w:id="0" w:name="_GoBack"/>
      <w:bookmarkEnd w:id="0"/>
      <w:r>
        <w:rPr>
          <w:b/>
          <w:bCs/>
          <w:sz w:val="23"/>
          <w:szCs w:val="23"/>
        </w:rPr>
        <w:t xml:space="preserve">arávacou cenou v zmysle § 25 zák. č. 595/2003 </w:t>
      </w:r>
      <w:proofErr w:type="spellStart"/>
      <w:r>
        <w:rPr>
          <w:b/>
          <w:bCs/>
          <w:sz w:val="23"/>
          <w:szCs w:val="23"/>
        </w:rPr>
        <w:t>Z.z</w:t>
      </w:r>
      <w:proofErr w:type="spellEnd"/>
      <w:r>
        <w:rPr>
          <w:b/>
          <w:bCs/>
          <w:sz w:val="23"/>
          <w:szCs w:val="23"/>
        </w:rPr>
        <w:t xml:space="preserve">. Spoločnosť nevlastní žiaden dlhodobý hmotný, nehmotný alebo finančný majetok,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zásob obstaraných kúpou </w:t>
      </w:r>
      <w:r>
        <w:rPr>
          <w:b/>
          <w:bCs/>
          <w:sz w:val="23"/>
          <w:szCs w:val="23"/>
        </w:rPr>
        <w:t xml:space="preserve">– spoločnosť oceňuje obstarávacou cenou, metódou FIFO,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zásob vytvorených vlastnou činnosťou – </w:t>
      </w:r>
      <w:r>
        <w:rPr>
          <w:b/>
          <w:bCs/>
          <w:sz w:val="23"/>
          <w:szCs w:val="23"/>
        </w:rPr>
        <w:t xml:space="preserve">spoločnosť nevytvára zásoby vlastnou činnosťou,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Pohľadávok – </w:t>
      </w:r>
      <w:r>
        <w:rPr>
          <w:b/>
          <w:bCs/>
          <w:sz w:val="23"/>
          <w:szCs w:val="23"/>
        </w:rPr>
        <w:t xml:space="preserve">menovitou hodnotou sumy, na ktorú pohľadávka znie,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krátkodobého finančného majetku </w:t>
      </w:r>
      <w:r>
        <w:rPr>
          <w:b/>
          <w:bCs/>
          <w:sz w:val="23"/>
          <w:szCs w:val="23"/>
        </w:rPr>
        <w:t xml:space="preserve">– menovitou hodnotou, ktorá je uvedená na peňažných prostriedkoch a ceninách.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záväzkov vrátane rezerv, dlhopisov, pôžičiek a úverov </w:t>
      </w:r>
      <w:r>
        <w:rPr>
          <w:b/>
          <w:bCs/>
          <w:sz w:val="23"/>
          <w:szCs w:val="23"/>
        </w:rPr>
        <w:t xml:space="preserve">- menovitou hodnotou sumy, na ktorú pohľadávka znie,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Spôsob zostavenia odpisového plánu pre jednotlivé druhy dlhodobého hmotného majetku a dlhodobého nehmotného majetku </w:t>
      </w:r>
      <w:r>
        <w:rPr>
          <w:b/>
          <w:bCs/>
          <w:sz w:val="23"/>
          <w:szCs w:val="23"/>
        </w:rPr>
        <w:t xml:space="preserve">– spoločnosť nevlastní žiaden odpisovaný dlhodobý hmotný a nehmotný majetok,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 – </w:t>
      </w:r>
      <w:r>
        <w:rPr>
          <w:b/>
          <w:bCs/>
          <w:sz w:val="23"/>
          <w:szCs w:val="23"/>
        </w:rPr>
        <w:t xml:space="preserve">neboli uskutočnené. </w:t>
      </w:r>
    </w:p>
    <w:p w:rsidR="00923187" w:rsidRDefault="00923187" w:rsidP="00923187">
      <w:pPr>
        <w:pStyle w:val="Default"/>
        <w:rPr>
          <w:sz w:val="22"/>
          <w:szCs w:val="22"/>
        </w:rPr>
      </w:pPr>
      <w:r>
        <w:rPr>
          <w:sz w:val="23"/>
          <w:szCs w:val="23"/>
        </w:rPr>
        <w:t xml:space="preserve">5. Informácie o dotáciách a ich oceňovanie v účtovníctve </w:t>
      </w:r>
      <w:r>
        <w:rPr>
          <w:sz w:val="22"/>
          <w:szCs w:val="22"/>
        </w:rPr>
        <w:t xml:space="preserve">– </w:t>
      </w:r>
      <w:r>
        <w:rPr>
          <w:b/>
          <w:bCs/>
          <w:sz w:val="22"/>
          <w:szCs w:val="22"/>
        </w:rPr>
        <w:t xml:space="preserve">spoločnosti nebola poskytnutá žiadna dotácia.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–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spoločnosť nevykonala žiadne účtovanie významných ani nevýznamných chýb minulých účtovných období. </w:t>
      </w:r>
    </w:p>
    <w:p w:rsidR="00923187" w:rsidRDefault="00923187" w:rsidP="00923187">
      <w:pPr>
        <w:pStyle w:val="Default"/>
        <w:rPr>
          <w:sz w:val="23"/>
          <w:szCs w:val="23"/>
        </w:rPr>
      </w:pPr>
    </w:p>
    <w:p w:rsidR="00923187" w:rsidRDefault="00923187" w:rsidP="00923187">
      <w:pPr>
        <w:pStyle w:val="Default"/>
        <w:jc w:val="center"/>
        <w:rPr>
          <w:sz w:val="23"/>
          <w:szCs w:val="23"/>
        </w:rPr>
      </w:pPr>
      <w:r>
        <w:rPr>
          <w:sz w:val="23"/>
          <w:szCs w:val="23"/>
        </w:rPr>
        <w:t>Čl. III</w:t>
      </w:r>
    </w:p>
    <w:p w:rsidR="00923187" w:rsidRDefault="00923187" w:rsidP="00923187">
      <w:pPr>
        <w:pStyle w:val="Default"/>
        <w:rPr>
          <w:b/>
          <w:bCs/>
          <w:sz w:val="23"/>
          <w:szCs w:val="23"/>
        </w:rPr>
      </w:pPr>
    </w:p>
    <w:p w:rsidR="00923187" w:rsidRDefault="00923187" w:rsidP="00923187">
      <w:pPr>
        <w:pStyle w:val="Default"/>
        <w:rPr>
          <w:b/>
          <w:bCs/>
          <w:sz w:val="23"/>
          <w:szCs w:val="23"/>
        </w:rPr>
      </w:pP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Informácie, ktoré dopĺňajú a vysvetľujú súvahu a výkaz ziskov a strát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1. </w:t>
      </w:r>
      <w:r>
        <w:rPr>
          <w:sz w:val="23"/>
          <w:szCs w:val="23"/>
        </w:rPr>
        <w:t xml:space="preserve">Informácie o sume a dôvodoch vzniku jednotlivých položiek nákladov alebo výnosov, ktoré majú výnimočný rozsah alebo výskyt, napríklad výnosy z predaja podniku alebo </w:t>
      </w:r>
      <w:r>
        <w:rPr>
          <w:sz w:val="23"/>
          <w:szCs w:val="23"/>
        </w:rPr>
        <w:lastRenderedPageBreak/>
        <w:t xml:space="preserve">časti podniku, náklady z dôvodu predaja podniku alebo časti podniku, škody z dôvodu živelných pohrôm. </w:t>
      </w:r>
      <w:r>
        <w:rPr>
          <w:b/>
          <w:bCs/>
          <w:sz w:val="23"/>
          <w:szCs w:val="23"/>
        </w:rPr>
        <w:t xml:space="preserve">– spoločnosť nemá v účtovníctve položky výnimočného rozsahu. </w:t>
      </w:r>
    </w:p>
    <w:p w:rsidR="00923187" w:rsidRDefault="00923187" w:rsidP="00923187">
      <w:pPr>
        <w:pStyle w:val="Default"/>
        <w:pageBreakBefore/>
        <w:rPr>
          <w:sz w:val="23"/>
          <w:szCs w:val="23"/>
        </w:rPr>
      </w:pPr>
      <w:r>
        <w:rPr>
          <w:b/>
          <w:bCs/>
          <w:sz w:val="23"/>
          <w:szCs w:val="23"/>
        </w:rPr>
        <w:lastRenderedPageBreak/>
        <w:t xml:space="preserve">2. </w:t>
      </w:r>
      <w:r>
        <w:rPr>
          <w:sz w:val="23"/>
          <w:szCs w:val="23"/>
        </w:rPr>
        <w:t xml:space="preserve">Informácie o záväzkoch, a to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celkovej sume záväzkov so zostatkovou dobou splatnosti dlhšou ako päť rokov - </w:t>
      </w:r>
      <w:r>
        <w:rPr>
          <w:b/>
          <w:bCs/>
          <w:sz w:val="23"/>
          <w:szCs w:val="23"/>
        </w:rPr>
        <w:t>spoločnosť nemá záväzky s dobou splatnosti dlhšou ako päť rokov</w:t>
      </w:r>
      <w:r>
        <w:rPr>
          <w:sz w:val="23"/>
          <w:szCs w:val="23"/>
        </w:rPr>
        <w:t xml:space="preserve">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celkovej sume zabezpečených záväzkov, opis a spôsoby zabezpečenia záväzkov – </w:t>
      </w:r>
      <w:r>
        <w:rPr>
          <w:b/>
          <w:bCs/>
          <w:sz w:val="23"/>
          <w:szCs w:val="23"/>
        </w:rPr>
        <w:t xml:space="preserve">spoločnosť nemá zabezpečené záväzky,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3. Informácie o orgánoch účtovnej jednotky, a to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  <w:r>
        <w:rPr>
          <w:b/>
          <w:bCs/>
          <w:sz w:val="23"/>
          <w:szCs w:val="23"/>
        </w:rPr>
        <w:t xml:space="preserve">- spoločnosť neposkytla žiadne záruky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pôžičkách poskytnutých členom štatutárneho orgánu, dozorného orgánu a iného orgánu účtovnej jednotky – </w:t>
      </w:r>
      <w:r>
        <w:rPr>
          <w:b/>
          <w:bCs/>
          <w:sz w:val="23"/>
          <w:szCs w:val="23"/>
        </w:rPr>
        <w:t xml:space="preserve">spoločnosť neposkytla žiadne pôžičky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4. Informácie o povinnostiach účtovnej jednotky, a to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b) celkovej sume významných podmienených záväzkov, ktorými sa rozumie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2a. nie je pravdepodobné, že na splnenie tejto povinnosti bude potrebný úbytok ekonomických úžitkov, alebo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2b. výška tejto povinnosti sa nedá spoľahlivo oceniť,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c) opise významných finančných povinností a významných podmienených záväzkov,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d) celkovej sume významných finančných povinností a významných podmienených záväzkoch voči dcérskej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účtovnej jednotke a účtovnej jednotke s podstatným vplyvom,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sz w:val="23"/>
          <w:szCs w:val="23"/>
        </w:rPr>
        <w:t xml:space="preserve">e) opise významných povinností účtovnej jednotky vyplývajúcich z dôchodkových programov pre zamestnancov. </w:t>
      </w:r>
    </w:p>
    <w:p w:rsidR="00923187" w:rsidRDefault="00923187" w:rsidP="00923187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>Spoločnosť nemá žiadne finančné povinnosti, ktoré nevykazuje v súvahe, podmienené záväzky ani významné povinnosti z dôchodkových programov pre zamestnancov</w:t>
      </w:r>
      <w:r>
        <w:rPr>
          <w:sz w:val="23"/>
          <w:szCs w:val="23"/>
        </w:rPr>
        <w:t xml:space="preserve">. </w:t>
      </w:r>
    </w:p>
    <w:p w:rsidR="001C13B8" w:rsidRDefault="00923187" w:rsidP="00923187">
      <w:r>
        <w:rPr>
          <w:rFonts w:ascii="Calibri" w:hAnsi="Calibri" w:cs="Calibri"/>
          <w:sz w:val="23"/>
          <w:szCs w:val="23"/>
        </w:rPr>
        <w:t xml:space="preserve">(6) Informácie o udelení výlučného práva alebo osobitného práva, ktorým sa udelilo právo poskytovať služby vo verejnom záujme – </w:t>
      </w:r>
      <w:r>
        <w:rPr>
          <w:rFonts w:ascii="Calibri" w:hAnsi="Calibri" w:cs="Calibri"/>
          <w:b/>
          <w:bCs/>
          <w:sz w:val="23"/>
          <w:szCs w:val="23"/>
        </w:rPr>
        <w:t>neboli spoločnosti poskytnuté.</w:t>
      </w:r>
    </w:p>
    <w:sectPr w:rsidR="001C13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Calibri"/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altName w:val="Arial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3187"/>
    <w:rsid w:val="001C13B8"/>
    <w:rsid w:val="009231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231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923187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744</Words>
  <Characters>4246</Characters>
  <Application>Microsoft Office Word</Application>
  <DocSecurity>0</DocSecurity>
  <Lines>35</Lines>
  <Paragraphs>9</Paragraphs>
  <ScaleCrop>false</ScaleCrop>
  <Company/>
  <LinksUpToDate>false</LinksUpToDate>
  <CharactersWithSpaces>4981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mihinka mihinka</dc:creator>
  <cp:lastModifiedBy>mihinka mihinka</cp:lastModifiedBy>
  <cp:revision>1</cp:revision>
  <dcterms:created xsi:type="dcterms:W3CDTF">2019-03-26T09:52:00Z</dcterms:created>
  <dcterms:modified xsi:type="dcterms:W3CDTF">2019-03-26T09:53:00Z</dcterms:modified>
</cp:coreProperties>
</file>