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left"/>
        <w:rPr/>
      </w:pPr>
      <w:r>
        <w:rPr/>
      </w:r>
    </w:p>
    <w:p>
      <w:pPr>
        <w:pStyle w:val="style0"/>
        <w:jc w:val="left"/>
        <w:rPr>
          <w:b/>
          <w:bCs/>
          <w:shd w:fill="99FF66" w:val="clear"/>
        </w:rPr>
      </w:pPr>
      <w:r>
        <w:rPr>
          <w:b/>
          <w:bCs/>
          <w:shd w:fill="99FF66" w:val="clear"/>
        </w:rPr>
        <w:t>–</w:t>
      </w:r>
      <w:r>
        <w:rPr>
          <w:b/>
          <w:bCs/>
          <w:shd w:fill="99FF66" w:val="clear"/>
        </w:rPr>
        <w:t>-------------------------------------------------------------------------------------------------------------</w:t>
      </w:r>
    </w:p>
    <w:p>
      <w:pPr>
        <w:pStyle w:val="style0"/>
        <w:jc w:val="left"/>
        <w:rPr>
          <w:b/>
          <w:bCs/>
          <w:u w:val="single"/>
        </w:rPr>
      </w:pPr>
      <w:r>
        <w:rPr>
          <w:b/>
          <w:bCs/>
          <w:u w:val="single"/>
          <w:shd w:fill="99FF66" w:val="clear"/>
        </w:rPr>
        <w:t>Poznámky Úč PODV 3-01                               IČO: 47364688                             DIČ: 2023829753</w:t>
      </w:r>
      <w:r>
        <w:rPr>
          <w:b/>
          <w:bCs/>
          <w:u w:val="single"/>
        </w:rPr>
        <w:t xml:space="preserve">     </w:t>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b/>
          <w:bCs/>
          <w:sz w:val="26"/>
          <w:szCs w:val="26"/>
          <w:u w:val="none"/>
        </w:rPr>
      </w:pPr>
      <w:r>
        <w:rPr>
          <w:b/>
          <w:bCs/>
          <w:sz w:val="26"/>
          <w:szCs w:val="26"/>
          <w:u w:val="none"/>
        </w:rPr>
        <w:t>Poznámky individuálnej účtovnej závierky</w:t>
      </w:r>
    </w:p>
    <w:p>
      <w:pPr>
        <w:pStyle w:val="style0"/>
        <w:jc w:val="left"/>
        <w:rPr>
          <w:b/>
          <w:bCs/>
          <w:sz w:val="26"/>
          <w:szCs w:val="26"/>
          <w:u w:val="none"/>
        </w:rPr>
      </w:pPr>
      <w:r>
        <w:rPr>
          <w:b/>
          <w:bCs/>
          <w:sz w:val="26"/>
          <w:szCs w:val="26"/>
          <w:u w:val="none"/>
        </w:rPr>
      </w:r>
    </w:p>
    <w:p>
      <w:pPr>
        <w:pStyle w:val="style0"/>
        <w:jc w:val="left"/>
        <w:rPr>
          <w:b w:val="false"/>
          <w:bCs w:val="false"/>
          <w:i/>
          <w:iCs/>
          <w:sz w:val="21"/>
          <w:szCs w:val="21"/>
          <w:u w:val="none"/>
        </w:rPr>
      </w:pPr>
      <w:r>
        <w:rPr>
          <w:b w:val="false"/>
          <w:bCs w:val="false"/>
          <w:i/>
          <w:iCs/>
          <w:sz w:val="21"/>
          <w:szCs w:val="21"/>
          <w:u w:val="none"/>
        </w:rPr>
        <w:t>Zostavenej k 31. decembru 2018</w:t>
      </w:r>
    </w:p>
    <w:p>
      <w:pPr>
        <w:pStyle w:val="style0"/>
        <w:jc w:val="left"/>
        <w:rPr>
          <w:b w:val="false"/>
          <w:bCs w:val="false"/>
          <w:i/>
          <w:iCs/>
          <w:sz w:val="21"/>
          <w:szCs w:val="21"/>
          <w:u w:val="none"/>
        </w:rPr>
      </w:pPr>
      <w:r>
        <w:rPr>
          <w:b w:val="false"/>
          <w:bCs w:val="false"/>
          <w:i/>
          <w:iCs/>
          <w:sz w:val="21"/>
          <w:szCs w:val="21"/>
          <w:u w:val="none"/>
        </w:rPr>
        <w:t>(údaje v tabuľkách sú uvedené v celých eurách, ak nie je uvedené inak)</w:t>
      </w:r>
    </w:p>
    <w:p>
      <w:pPr>
        <w:pStyle w:val="style0"/>
        <w:jc w:val="left"/>
        <w:rPr>
          <w:b w:val="false"/>
          <w:bCs w:val="false"/>
          <w:i/>
          <w:iCs/>
          <w:u w:val="single"/>
        </w:rPr>
      </w:pPr>
      <w:r>
        <w:rPr>
          <w:b w:val="false"/>
          <w:bCs w:val="false"/>
          <w:i/>
          <w:iCs/>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t>Poznámka:</w:t>
      </w:r>
    </w:p>
    <w:p>
      <w:pPr>
        <w:pStyle w:val="style0"/>
        <w:rPr>
          <w:sz w:val="14"/>
          <w:szCs w:val="14"/>
          <w:lang w:eastAsia="sk-SK"/>
        </w:rPr>
      </w:pPr>
      <w:r>
        <w:rPr>
          <w:sz w:val="14"/>
          <w:szCs w:val="14"/>
          <w:lang w:eastAsia="sk-SK"/>
        </w:rPr>
      </w:r>
    </w:p>
    <w:p>
      <w:pPr>
        <w:pStyle w:val="style0"/>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rPr>
      </w:pPr>
      <w:r>
        <w:rPr>
          <w:sz w:val="14"/>
          <w:szCs w:val="14"/>
        </w:rPr>
      </w:r>
    </w:p>
    <w:p>
      <w:pPr>
        <w:pStyle w:val="style1"/>
        <w:numPr>
          <w:ilvl w:val="0"/>
          <w:numId w:val="1"/>
        </w:numPr>
        <w:rPr/>
      </w:pPr>
      <w:r>
        <w:rPr/>
        <w:t>VŠEOBECNÉ INFORMÁCIE</w:t>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2"/>
        <w:numPr>
          <w:ilvl w:val="1"/>
          <w:numId w:val="1"/>
        </w:numPr>
        <w:rPr/>
      </w:pPr>
      <w:r>
        <w:rPr/>
        <w:t>Základné údaje o spoločnosti</w:t>
      </w:r>
    </w:p>
    <w:p>
      <w:pPr>
        <w:pStyle w:val="style0"/>
        <w:rPr>
          <w:b/>
          <w:sz w:val="14"/>
          <w:szCs w:val="14"/>
          <w:u w:val="single"/>
          <w:lang w:eastAsia="sk-SK"/>
        </w:rPr>
      </w:pPr>
      <w:r>
        <w:rPr>
          <w:b/>
          <w:sz w:val="14"/>
          <w:szCs w:val="14"/>
          <w:u w:val="single"/>
          <w:lang w:eastAsia="sk-SK"/>
        </w:rPr>
      </w:r>
    </w:p>
    <w:tbl>
      <w:tblPr>
        <w:jc w:val="left"/>
        <w:tblInd w:type="dxa" w:w="109"/>
        <w:tblBorders>
          <w:top w:color="00000A" w:space="0" w:sz="8" w:val="single"/>
          <w:left w:val="nil"/>
          <w:bottom w:color="00000A" w:space="0" w:sz="4" w:val="dotted"/>
          <w:insideH w:color="00000A" w:space="0" w:sz="4" w:val="dotted"/>
          <w:right w:val="nil"/>
          <w:insideV w:val="nil"/>
        </w:tblBorders>
        <w:tblCellMar>
          <w:top w:type="dxa" w:w="0"/>
          <w:left w:type="dxa" w:w="108"/>
          <w:bottom w:type="dxa" w:w="0"/>
          <w:right w:type="dxa" w:w="108"/>
        </w:tblCellMar>
      </w:tblPr>
      <w:tblGrid>
        <w:gridCol w:w="3960"/>
        <w:gridCol w:w="5101"/>
      </w:tblGrid>
      <w:tr>
        <w:trPr>
          <w:cantSplit w:val="false"/>
        </w:trPr>
        <w:tc>
          <w:tcPr>
            <w:tcW w:type="dxa" w:w="3960"/>
            <w:tcBorders>
              <w:top w:color="00000A" w:space="0" w:sz="8" w:val="single"/>
              <w:left w:val="nil"/>
              <w:bottom w:color="00000A" w:space="0" w:sz="4" w:val="dotted"/>
              <w:right w:val="nil"/>
            </w:tcBorders>
            <w:shd w:fill="FFFFFF" w:val="clear"/>
          </w:tcPr>
          <w:p>
            <w:pPr>
              <w:pStyle w:val="style0"/>
              <w:rPr/>
            </w:pPr>
            <w:r>
              <w:rPr/>
            </w:r>
          </w:p>
          <w:p>
            <w:pPr>
              <w:pStyle w:val="style0"/>
              <w:rPr>
                <w:b/>
                <w:sz w:val="20"/>
                <w:szCs w:val="20"/>
              </w:rPr>
            </w:pPr>
            <w:r>
              <w:rPr>
                <w:b/>
                <w:sz w:val="20"/>
                <w:szCs w:val="20"/>
              </w:rPr>
              <w:t>Obchodné meno a sídlo</w:t>
            </w:r>
          </w:p>
          <w:p>
            <w:pPr>
              <w:pStyle w:val="style0"/>
              <w:rPr>
                <w:sz w:val="20"/>
                <w:szCs w:val="20"/>
              </w:rPr>
            </w:pPr>
            <w:r>
              <w:rPr>
                <w:sz w:val="20"/>
                <w:szCs w:val="20"/>
              </w:rPr>
            </w:r>
          </w:p>
          <w:p>
            <w:pPr>
              <w:pStyle w:val="style0"/>
              <w:rPr/>
            </w:pPr>
            <w:r>
              <w:rPr/>
            </w:r>
          </w:p>
          <w:p>
            <w:pPr>
              <w:pStyle w:val="style0"/>
              <w:rPr>
                <w:b/>
                <w:sz w:val="15"/>
                <w:szCs w:val="15"/>
              </w:rPr>
            </w:pPr>
            <w:r>
              <w:rPr>
                <w:b/>
                <w:sz w:val="15"/>
                <w:szCs w:val="15"/>
              </w:rPr>
              <w:t>Dátum vzniku podľa OR</w:t>
            </w:r>
          </w:p>
        </w:tc>
        <w:tc>
          <w:tcPr>
            <w:tcW w:type="dxa" w:w="5101"/>
            <w:tcBorders>
              <w:top w:color="00000A" w:space="0" w:sz="8" w:val="single"/>
              <w:left w:val="nil"/>
              <w:bottom w:color="00000A" w:space="0" w:sz="4" w:val="dotted"/>
              <w:right w:val="nil"/>
            </w:tcBorders>
            <w:shd w:fill="FFFFFF" w:val="clear"/>
          </w:tcPr>
          <w:p>
            <w:pPr>
              <w:pStyle w:val="style0"/>
              <w:rPr>
                <w:b/>
                <w:bCs/>
                <w:color w:val="000000"/>
              </w:rPr>
            </w:pPr>
            <w:r>
              <w:rPr>
                <w:b/>
                <w:bCs/>
                <w:color w:val="000000"/>
              </w:rPr>
            </w:r>
          </w:p>
          <w:p>
            <w:pPr>
              <w:pStyle w:val="style0"/>
              <w:rPr>
                <w:b/>
                <w:bCs/>
                <w:color w:val="000000"/>
                <w:sz w:val="20"/>
                <w:szCs w:val="20"/>
                <w:lang w:eastAsia="sk-SK"/>
              </w:rPr>
            </w:pPr>
            <w:r>
              <w:rPr>
                <w:b/>
                <w:bCs/>
                <w:color w:val="000000"/>
                <w:sz w:val="20"/>
                <w:szCs w:val="20"/>
                <w:lang w:eastAsia="sk-SK"/>
              </w:rPr>
              <w:t xml:space="preserve">FERKON s.r.o. </w:t>
            </w:r>
          </w:p>
          <w:p>
            <w:pPr>
              <w:pStyle w:val="style0"/>
              <w:rPr>
                <w:b/>
                <w:bCs/>
                <w:color w:val="000000"/>
              </w:rPr>
            </w:pPr>
            <w:r>
              <w:rPr>
                <w:b/>
                <w:bCs/>
                <w:color w:val="000000"/>
              </w:rPr>
              <w:t>Závodná 264/13</w:t>
            </w:r>
          </w:p>
          <w:p>
            <w:pPr>
              <w:pStyle w:val="style0"/>
              <w:rPr>
                <w:b/>
                <w:bCs/>
                <w:color w:val="000000"/>
                <w:sz w:val="15"/>
                <w:szCs w:val="15"/>
              </w:rPr>
            </w:pPr>
            <w:r>
              <w:rPr>
                <w:b/>
                <w:bCs/>
                <w:color w:val="000000"/>
                <w:sz w:val="15"/>
                <w:szCs w:val="15"/>
              </w:rPr>
              <w:t>14.08.2013</w:t>
            </w:r>
          </w:p>
          <w:p>
            <w:pPr>
              <w:pStyle w:val="style0"/>
              <w:rPr>
                <w:b/>
                <w:bCs/>
                <w:color w:val="000000"/>
              </w:rPr>
            </w:pPr>
            <w:r>
              <w:rPr>
                <w:b/>
                <w:bCs/>
                <w:color w:val="000000"/>
              </w:rPr>
            </w:r>
          </w:p>
        </w:tc>
      </w:tr>
      <w:tr>
        <w:trPr>
          <w:cantSplit w:val="false"/>
        </w:trPr>
        <w:tc>
          <w:tcPr>
            <w:tcW w:type="dxa" w:w="3960"/>
            <w:tcBorders>
              <w:top w:color="00000A" w:space="0" w:sz="4" w:val="dotted"/>
              <w:left w:val="nil"/>
              <w:bottom w:color="00000A" w:space="0" w:sz="8" w:val="single"/>
              <w:right w:val="nil"/>
            </w:tcBorders>
            <w:shd w:fill="FFFFFF" w:val="clear"/>
          </w:tcPr>
          <w:p>
            <w:pPr>
              <w:pStyle w:val="style0"/>
              <w:rPr>
                <w:b/>
                <w:sz w:val="15"/>
                <w:szCs w:val="15"/>
              </w:rPr>
            </w:pPr>
            <w:r>
              <w:rPr>
                <w:b/>
                <w:sz w:val="15"/>
                <w:szCs w:val="15"/>
              </w:rPr>
              <w:t>Hospodárska činnosť</w:t>
            </w:r>
          </w:p>
        </w:tc>
        <w:tc>
          <w:tcPr>
            <w:tcW w:type="dxa" w:w="5101"/>
            <w:tcBorders>
              <w:top w:color="00000A" w:space="0" w:sz="4" w:val="dotted"/>
              <w:left w:val="nil"/>
              <w:bottom w:color="00000A" w:space="0" w:sz="8" w:val="single"/>
              <w:right w:val="nil"/>
            </w:tcBorders>
            <w:shd w:fill="FFFFFF" w:val="clear"/>
          </w:tcPr>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Kúpa tovaru na účely jeho predaja konečnému spotrebiteľovi (maloobchod) alebo iným prevádzkovateľom živnosti (veľkoobchod)</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zásielkový predaj a ďalších 15 činností</w:t>
            </w:r>
          </w:p>
          <w:p>
            <w:pPr>
              <w:pStyle w:val="style0"/>
              <w:tabs>
                <w:tab w:leader="none" w:pos="243" w:val="left"/>
              </w:tabs>
              <w:ind w:hanging="360" w:left="720" w:right="0"/>
              <w:rPr/>
            </w:pPr>
            <w:r>
              <w:rPr/>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Zamestnanci</w:t>
      </w:r>
    </w:p>
    <w:p>
      <w:pPr>
        <w:pStyle w:val="style0"/>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jc w:val="left"/>
        <w:tblInd w:type="dxa" w:w="0"/>
        <w:tblBorders>
          <w:top w:color="00000A" w:space="0" w:sz="8" w:val="single"/>
          <w:left w:val="nil"/>
          <w:bottom w:color="00000A" w:space="0" w:sz="4" w:val="single"/>
          <w:insideH w:color="00000A" w:space="0" w:sz="4" w:val="single"/>
          <w:right w:val="nil"/>
          <w:insideV w:val="nil"/>
        </w:tblBorders>
        <w:tblCellMar>
          <w:top w:type="dxa" w:w="0"/>
          <w:left w:type="dxa" w:w="70"/>
          <w:bottom w:type="dxa" w:w="0"/>
          <w:right w:type="dxa" w:w="70"/>
        </w:tblCellMar>
      </w:tblPr>
      <w:tblGrid>
        <w:gridCol w:w="6435"/>
        <w:gridCol w:w="1309"/>
        <w:gridCol w:w="1326"/>
      </w:tblGrid>
      <w:tr>
        <w:trPr>
          <w:cantSplit w:val="false"/>
        </w:trPr>
        <w:tc>
          <w:tcPr>
            <w:tcW w:type="dxa" w:w="6435"/>
            <w:tcBorders>
              <w:top w:color="00000A" w:space="0" w:sz="8" w:val="single"/>
              <w:left w:val="nil"/>
              <w:bottom w:color="00000A" w:space="0" w:sz="4" w:val="single"/>
              <w:right w:val="nil"/>
            </w:tcBorders>
            <w:shd w:fill="FFFFFF" w:val="clear"/>
            <w:vAlign w:val="center"/>
          </w:tcPr>
          <w:p>
            <w:pPr>
              <w:pStyle w:val="style0"/>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type="dxa" w:w="1309"/>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2018</w:t>
            </w:r>
          </w:p>
        </w:tc>
        <w:tc>
          <w:tcPr>
            <w:tcW w:type="dxa" w:w="1326"/>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2017</w:t>
            </w:r>
          </w:p>
        </w:tc>
      </w:tr>
      <w:tr>
        <w:trPr>
          <w:cantSplit w:val="false"/>
        </w:trPr>
        <w:tc>
          <w:tcPr>
            <w:tcW w:type="dxa" w:w="6435"/>
            <w:tcBorders>
              <w:top w:color="00000A" w:space="0" w:sz="4" w:val="single"/>
              <w:left w:val="nil"/>
              <w:bottom w:color="00000A" w:space="0" w:sz="8" w:val="single"/>
              <w:right w:val="nil"/>
            </w:tcBorders>
            <w:shd w:fill="FFFFFF" w:val="clear"/>
            <w:vAlign w:val="center"/>
          </w:tcPr>
          <w:p>
            <w:pPr>
              <w:pStyle w:val="style0"/>
              <w:jc w:val="left"/>
              <w:rPr>
                <w:rFonts w:cs="Arial"/>
                <w:sz w:val="15"/>
                <w:szCs w:val="15"/>
                <w:lang w:eastAsia="sk-SK"/>
              </w:rPr>
            </w:pPr>
            <w:r>
              <w:rPr>
                <w:rFonts w:cs="Arial"/>
                <w:sz w:val="15"/>
                <w:szCs w:val="15"/>
                <w:lang w:eastAsia="sk-SK"/>
              </w:rPr>
              <w:t>Priemerný prepočítaný počet zamestnancov</w:t>
            </w:r>
          </w:p>
        </w:tc>
        <w:tc>
          <w:tcPr>
            <w:tcW w:type="dxa" w:w="1309"/>
            <w:tcBorders>
              <w:top w:color="00000A" w:space="0" w:sz="4" w:val="single"/>
              <w:left w:val="nil"/>
              <w:bottom w:color="00000A" w:space="0" w:sz="8" w:val="single"/>
              <w:right w:val="nil"/>
            </w:tcBorders>
            <w:shd w:fill="FFFFFF" w:val="clear"/>
            <w:vAlign w:val="bottom"/>
          </w:tcPr>
          <w:p>
            <w:pPr>
              <w:pStyle w:val="style0"/>
              <w:jc w:val="center"/>
              <w:rPr>
                <w:rFonts w:cs="Arial"/>
                <w:sz w:val="15"/>
                <w:szCs w:val="15"/>
                <w:lang w:eastAsia="sk-SK"/>
              </w:rPr>
            </w:pPr>
            <w:r>
              <w:rPr>
                <w:rFonts w:cs="Arial"/>
                <w:sz w:val="15"/>
                <w:szCs w:val="15"/>
                <w:lang w:eastAsia="sk-SK"/>
              </w:rPr>
              <w:t>2</w:t>
            </w:r>
          </w:p>
        </w:tc>
        <w:tc>
          <w:tcPr>
            <w:tcW w:type="dxa" w:w="1326"/>
            <w:tcBorders>
              <w:top w:color="00000A" w:space="0" w:sz="4" w:val="single"/>
              <w:left w:val="nil"/>
              <w:bottom w:color="00000A" w:space="0" w:sz="8" w:val="single"/>
              <w:right w:val="nil"/>
            </w:tcBorders>
            <w:shd w:fill="FFFFFF" w:val="clear"/>
            <w:vAlign w:val="bottom"/>
          </w:tcPr>
          <w:p>
            <w:pPr>
              <w:pStyle w:val="style0"/>
              <w:jc w:val="center"/>
              <w:rPr>
                <w:rFonts w:cs="Arial"/>
                <w:sz w:val="15"/>
                <w:szCs w:val="15"/>
                <w:lang w:eastAsia="sk-SK"/>
              </w:rPr>
            </w:pPr>
            <w:r>
              <w:rPr>
                <w:rFonts w:cs="Arial"/>
                <w:sz w:val="15"/>
                <w:szCs w:val="15"/>
                <w:lang w:eastAsia="sk-SK"/>
              </w:rPr>
              <w:t>2</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t xml:space="preserve">Spoločnosť počas roka 2018 zamestnávala dvoch pracovníkov. </w:t>
      </w:r>
    </w:p>
    <w:p>
      <w:pPr>
        <w:pStyle w:val="style0"/>
        <w:rPr>
          <w:sz w:val="14"/>
          <w:szCs w:val="14"/>
          <w:lang w:eastAsia="sk-SK"/>
        </w:rPr>
      </w:pPr>
      <w:r>
        <w:rPr>
          <w:sz w:val="14"/>
          <w:szCs w:val="14"/>
          <w:lang w:eastAsia="sk-SK"/>
        </w:rPr>
      </w:r>
    </w:p>
    <w:p>
      <w:pPr>
        <w:pStyle w:val="style0"/>
        <w:rPr>
          <w:sz w:val="14"/>
          <w:szCs w:val="14"/>
          <w:lang w:eastAsia="sk-SK"/>
        </w:rPr>
      </w:pPr>
      <w:bookmarkStart w:id="2" w:name="T_number_of_employees1"/>
      <w:bookmarkStart w:id="3" w:name="T_number_of_employees1"/>
      <w:bookmarkEnd w:id="3"/>
      <w:r>
        <w:rPr>
          <w:sz w:val="14"/>
          <w:szCs w:val="14"/>
          <w:lang w:eastAsia="sk-SK"/>
        </w:rPr>
      </w:r>
    </w:p>
    <w:p>
      <w:pPr>
        <w:pStyle w:val="style2"/>
        <w:numPr>
          <w:ilvl w:val="1"/>
          <w:numId w:val="1"/>
        </w:numPr>
        <w:rPr/>
      </w:pPr>
      <w:r>
        <w:rPr/>
        <w:t>Právny dôvod zostavenia účtovnej závierky</w:t>
      </w:r>
    </w:p>
    <w:p>
      <w:pPr>
        <w:pStyle w:val="style0"/>
        <w:rPr>
          <w:sz w:val="14"/>
          <w:szCs w:val="14"/>
          <w:lang w:eastAsia="sk-SK"/>
        </w:rPr>
      </w:pPr>
      <w:r>
        <w:rPr>
          <w:sz w:val="14"/>
          <w:szCs w:val="14"/>
          <w:lang w:eastAsia="sk-SK"/>
        </w:rPr>
      </w:r>
    </w:p>
    <w:p>
      <w:pPr>
        <w:pStyle w:val="style0"/>
        <w:rPr>
          <w:lang w:eastAsia="sk-SK"/>
        </w:rPr>
      </w:pPr>
      <w:r>
        <w:rPr>
          <w:lang w:eastAsia="sk-SK"/>
        </w:rPr>
        <w:t>Táto účtovná závierka je riadna individuálna účtovná závierka spoločnosti FERKON s.r.o., bola zostavená za účtovné obdobie od 1.januára2018 o 31. decembra 2018 podľa slovenských právnych predpisov, a to zákona o</w:t>
      </w:r>
      <w:r>
        <w:rPr/>
        <w:t> </w:t>
      </w:r>
      <w:r>
        <w:rPr>
          <w:lang w:eastAsia="sk-SK"/>
        </w:rPr>
        <w:t xml:space="preserve">účtovníctve a postupov účtovania pre podnikateľov. </w:t>
      </w:r>
    </w:p>
    <w:p>
      <w:pPr>
        <w:pStyle w:val="style0"/>
        <w:rPr>
          <w:sz w:val="14"/>
          <w:szCs w:val="14"/>
          <w:lang w:eastAsia="sk-SK"/>
        </w:rPr>
      </w:pPr>
      <w:r>
        <w:rPr>
          <w:sz w:val="14"/>
          <w:szCs w:val="14"/>
          <w:lang w:eastAsia="sk-SK"/>
        </w:rPr>
      </w:r>
    </w:p>
    <w:p>
      <w:pPr>
        <w:pStyle w:val="style0"/>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Schválenie účtovnej závierky za rok 2017</w:t>
      </w:r>
    </w:p>
    <w:p>
      <w:pPr>
        <w:pStyle w:val="style0"/>
        <w:rPr>
          <w:sz w:val="14"/>
          <w:szCs w:val="14"/>
          <w:lang w:eastAsia="sk-SK"/>
        </w:rPr>
      </w:pPr>
      <w:r>
        <w:rPr>
          <w:sz w:val="14"/>
          <w:szCs w:val="14"/>
          <w:lang w:eastAsia="sk-SK"/>
        </w:rPr>
      </w:r>
    </w:p>
    <w:p>
      <w:pPr>
        <w:pStyle w:val="style0"/>
        <w:rPr>
          <w:lang w:eastAsia="sk-SK"/>
        </w:rPr>
      </w:pPr>
      <w:r>
        <w:rPr>
          <w:lang w:eastAsia="sk-SK"/>
        </w:rPr>
        <w:t xml:space="preserve">Účtovná závierka spoločnosti FERKON s.r.o. bola schválená Valným zhromaždením dňa 30.04.2018. </w:t>
      </w:r>
    </w:p>
    <w:p>
      <w:pPr>
        <w:pStyle w:val="style0"/>
        <w:rPr>
          <w:sz w:val="14"/>
          <w:szCs w:val="14"/>
          <w:lang w:eastAsia="sk-SK"/>
        </w:rPr>
      </w:pPr>
      <w:r>
        <w:rPr>
          <w:sz w:val="14"/>
          <w:szCs w:val="14"/>
          <w:lang w:eastAsia="sk-SK"/>
        </w:rPr>
      </w:r>
    </w:p>
    <w:p>
      <w:pPr>
        <w:pStyle w:val="style0"/>
        <w:jc w:val="both"/>
        <w:rPr>
          <w:sz w:val="14"/>
          <w:szCs w:val="14"/>
          <w:lang w:eastAsia="sk-SK"/>
        </w:rPr>
      </w:pPr>
      <w:r>
        <w:rPr>
          <w:sz w:val="14"/>
          <w:szCs w:val="14"/>
          <w:lang w:eastAsia="sk-SK"/>
        </w:rPr>
        <w:t xml:space="preserve">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jc w:val="left"/>
        <w:rPr>
          <w:rFonts w:cs="Arial"/>
          <w:b/>
          <w:bCs/>
          <w:iCs/>
          <w:szCs w:val="28"/>
        </w:rPr>
      </w:pPr>
      <w:r>
        <w:rPr>
          <w:rFonts w:cs="Arial"/>
          <w:b/>
          <w:bCs/>
          <w:iCs/>
          <w:szCs w:val="28"/>
        </w:rPr>
        <w:t>5.      Neobmedzené ručenie</w:t>
      </w:r>
    </w:p>
    <w:p>
      <w:pPr>
        <w:pStyle w:val="style0"/>
        <w:jc w:val="left"/>
        <w:rPr>
          <w:rFonts w:cs="Arial"/>
          <w:b w:val="false"/>
          <w:bCs w:val="false"/>
          <w:iCs/>
          <w:szCs w:val="28"/>
        </w:rPr>
      </w:pPr>
      <w:r>
        <w:rPr>
          <w:rFonts w:cs="Arial"/>
          <w:b/>
          <w:bCs/>
          <w:iCs/>
          <w:szCs w:val="28"/>
        </w:rPr>
        <w:t>FERKON  s r. o.</w:t>
      </w:r>
      <w:r>
        <w:rPr>
          <w:rFonts w:cs="Arial"/>
          <w:b w:val="false"/>
          <w:bCs w:val="false"/>
          <w:iCs/>
          <w:szCs w:val="28"/>
        </w:rPr>
        <w:t xml:space="preserve"> nie je neobmedzene ručiacim spoločníkom v iných účtovných jednotkách podľa § 56 ods. 5 Obchodného zákonníka.</w:t>
      </w:r>
    </w:p>
    <w:p>
      <w:pPr>
        <w:pStyle w:val="style0"/>
        <w:jc w:val="left"/>
        <w:rPr/>
      </w:pPr>
      <w:r>
        <w:rPr/>
      </w:r>
    </w:p>
    <w:p>
      <w:pPr>
        <w:pStyle w:val="style0"/>
        <w:jc w:val="left"/>
        <w:rPr/>
      </w:pPr>
      <w:r>
        <w:rPr/>
      </w:r>
    </w:p>
    <w:p>
      <w:pPr>
        <w:pStyle w:val="style0"/>
        <w:jc w:val="left"/>
        <w:rPr>
          <w:b/>
          <w:bCs/>
        </w:rPr>
      </w:pPr>
      <w:r>
        <w:rPr>
          <w:b/>
          <w:bCs/>
        </w:rPr>
        <w:t>6.      Konsolidovaná účtovná závierka</w:t>
      </w:r>
    </w:p>
    <w:p>
      <w:pPr>
        <w:pStyle w:val="style0"/>
        <w:jc w:val="left"/>
        <w:rPr>
          <w:b/>
          <w:bCs/>
        </w:rPr>
      </w:pPr>
      <w:r>
        <w:rPr>
          <w:b/>
          <w:bCs/>
        </w:rPr>
      </w:r>
    </w:p>
    <w:p>
      <w:pPr>
        <w:pStyle w:val="style0"/>
        <w:jc w:val="left"/>
        <w:rPr>
          <w:b w:val="false"/>
          <w:bCs w:val="false"/>
        </w:rPr>
      </w:pPr>
      <w:r>
        <w:rPr>
          <w:b/>
          <w:bCs/>
        </w:rPr>
        <w:t xml:space="preserve">- </w:t>
      </w:r>
      <w:r>
        <w:rPr>
          <w:b w:val="false"/>
          <w:bCs w:val="false"/>
        </w:rPr>
        <w:t>Spoločnosť v účtovnom období nevlastnila podiely v iných spoločnostiach,</w:t>
      </w:r>
    </w:p>
    <w:p>
      <w:pPr>
        <w:pStyle w:val="style0"/>
        <w:jc w:val="left"/>
        <w:rPr>
          <w:b w:val="false"/>
          <w:bCs w:val="false"/>
        </w:rPr>
      </w:pPr>
      <w:r>
        <w:rPr>
          <w:b w:val="false"/>
          <w:bCs w:val="false"/>
        </w:rPr>
        <w:t>- Spoločnosť v účtovnom období nezostavovala konsolidovanú účtovnú závierku</w:t>
      </w:r>
    </w:p>
    <w:p>
      <w:pPr>
        <w:pStyle w:val="style2"/>
        <w:rPr/>
      </w:pPr>
      <w:r>
        <w:rPr/>
      </w:r>
    </w:p>
    <w:p>
      <w:pPr>
        <w:pStyle w:val="style0"/>
        <w:rPr>
          <w:sz w:val="10"/>
          <w:szCs w:val="10"/>
          <w:lang w:eastAsia="sk-SK"/>
        </w:rPr>
      </w:pPr>
      <w:r>
        <w:rPr>
          <w:sz w:val="10"/>
          <w:szCs w:val="10"/>
          <w:lang w:eastAsia="sk-SK"/>
        </w:rPr>
      </w:r>
    </w:p>
    <w:p>
      <w:pPr>
        <w:pStyle w:val="style0"/>
        <w:rPr>
          <w:sz w:val="10"/>
          <w:szCs w:val="10"/>
          <w:lang w:eastAsia="sk-SK"/>
        </w:rPr>
      </w:pPr>
      <w:r>
        <w:rPr>
          <w:sz w:val="10"/>
          <w:szCs w:val="10"/>
          <w:lang w:eastAsia="sk-SK"/>
        </w:rPr>
      </w:r>
    </w:p>
    <w:p>
      <w:pPr>
        <w:pStyle w:val="style1"/>
        <w:tabs>
          <w:tab w:leader="none" w:pos="75" w:val="left"/>
        </w:tabs>
        <w:rPr>
          <w:rFonts w:cs="Arial"/>
          <w:b/>
          <w:bCs/>
          <w:iCs/>
          <w:szCs w:val="28"/>
        </w:rPr>
      </w:pPr>
      <w:r>
        <w:rPr>
          <w:rFonts w:cs="Arial"/>
          <w:b/>
          <w:bCs/>
          <w:iCs/>
          <w:szCs w:val="28"/>
          <w:u w:val="none"/>
        </w:rPr>
        <w:t xml:space="preserve">II.  </w:t>
      </w:r>
      <w:r>
        <w:rPr>
          <w:rFonts w:cs="Arial"/>
          <w:b/>
          <w:bCs/>
          <w:iCs/>
          <w:szCs w:val="28"/>
        </w:rPr>
        <w:t>NFORMÁCIE O ORGÁNOCH SPOLOČNOSTI</w:t>
      </w:r>
    </w:p>
    <w:p>
      <w:pPr>
        <w:pStyle w:val="style1"/>
        <w:rPr>
          <w:rFonts w:cs="Arial"/>
          <w:b/>
          <w:bCs/>
          <w:iCs/>
          <w:szCs w:val="28"/>
        </w:rPr>
      </w:pPr>
      <w:r>
        <w:rPr>
          <w:rFonts w:cs="Arial"/>
          <w:b/>
          <w:bCs/>
          <w:iCs/>
          <w:szCs w:val="28"/>
        </w:rPr>
      </w:r>
    </w:p>
    <w:p>
      <w:pPr>
        <w:pStyle w:val="style1"/>
        <w:rPr>
          <w:rFonts w:cs="Arial"/>
          <w:b/>
          <w:bCs/>
          <w:iCs/>
          <w:szCs w:val="28"/>
        </w:rPr>
      </w:pPr>
      <w:r>
        <w:rPr>
          <w:rFonts w:cs="Arial"/>
          <w:b/>
          <w:bCs/>
          <w:iCs/>
          <w:szCs w:val="28"/>
        </w:rPr>
      </w:r>
    </w:p>
    <w:p>
      <w:pPr>
        <w:pStyle w:val="style61"/>
        <w:rPr>
          <w:b/>
          <w:bCs/>
          <w:sz w:val="16"/>
          <w:szCs w:val="16"/>
        </w:rPr>
      </w:pPr>
      <w:r>
        <w:rPr>
          <w:sz w:val="20"/>
          <w:szCs w:val="20"/>
        </w:rPr>
        <w:t>1.</w:t>
      </w:r>
      <w:r>
        <w:rPr/>
        <w:t xml:space="preserve"> </w:t>
      </w:r>
      <w:r>
        <w:rPr>
          <w:b/>
          <w:bCs/>
          <w:sz w:val="16"/>
          <w:szCs w:val="16"/>
        </w:rPr>
        <w:t>Záruky a iné zabezpečenia poskytnuté členom a orgánom spoločnosti</w:t>
      </w:r>
    </w:p>
    <w:p>
      <w:pPr>
        <w:pStyle w:val="style61"/>
        <w:rPr>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style61"/>
        <w:rPr>
          <w:b w:val="false"/>
          <w:bCs w:val="false"/>
        </w:rPr>
      </w:pPr>
      <w:r>
        <w:rPr>
          <w:b w:val="false"/>
          <w:bCs w:val="false"/>
        </w:rPr>
      </w:r>
    </w:p>
    <w:p>
      <w:pPr>
        <w:pStyle w:val="style61"/>
        <w:rPr>
          <w:b/>
          <w:bCs/>
          <w:sz w:val="16"/>
          <w:szCs w:val="16"/>
        </w:rPr>
      </w:pPr>
      <w:r>
        <w:rPr>
          <w:b/>
          <w:bCs/>
          <w:sz w:val="16"/>
          <w:szCs w:val="16"/>
        </w:rPr>
        <w:t>2.  Pôžičky poskytnuté členom orgánov spoločnosti</w:t>
      </w:r>
    </w:p>
    <w:p>
      <w:pPr>
        <w:pStyle w:val="style61"/>
        <w:rPr>
          <w:b w:val="false"/>
          <w:bCs w:val="false"/>
          <w:sz w:val="18"/>
          <w:szCs w:val="18"/>
        </w:rPr>
      </w:pPr>
      <w:r>
        <w:rPr>
          <w:b w:val="false"/>
          <w:bCs w:val="false"/>
          <w:sz w:val="18"/>
          <w:szCs w:val="18"/>
        </w:rPr>
        <w:t>Spoločnosť v účtovnom období 2018 neposkytla členom orgánov spoločnosti žiadne záruky alebo iné zabezpečenie a poskytnuté pôžičky.</w:t>
      </w:r>
    </w:p>
    <w:p>
      <w:pPr>
        <w:pStyle w:val="style61"/>
        <w:rPr>
          <w:b w:val="false"/>
          <w:bCs w:val="false"/>
        </w:rPr>
      </w:pPr>
      <w:r>
        <w:rPr>
          <w:b w:val="false"/>
          <w:bCs w:val="false"/>
        </w:rPr>
      </w:r>
    </w:p>
    <w:p>
      <w:pPr>
        <w:pStyle w:val="style61"/>
        <w:rPr>
          <w:b/>
          <w:bCs/>
          <w:sz w:val="16"/>
          <w:szCs w:val="16"/>
          <w:u w:val="single"/>
        </w:rPr>
      </w:pPr>
      <w:r>
        <w:rPr>
          <w:b/>
          <w:bCs/>
          <w:sz w:val="16"/>
          <w:szCs w:val="16"/>
        </w:rPr>
        <w:t xml:space="preserve">III.    </w:t>
      </w:r>
      <w:r>
        <w:rPr>
          <w:b/>
          <w:bCs/>
          <w:sz w:val="16"/>
          <w:szCs w:val="16"/>
          <w:u w:val="single"/>
        </w:rPr>
        <w:t>POUŽITÉ ÚČTOVNÉ ZÁSADY A ÚČTOVNÉ METÓDY</w:t>
      </w:r>
    </w:p>
    <w:p>
      <w:pPr>
        <w:pStyle w:val="style61"/>
        <w:rPr>
          <w:b/>
          <w:bCs/>
        </w:rPr>
      </w:pPr>
      <w:r>
        <w:rPr>
          <w:b/>
          <w:bCs/>
        </w:rPr>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2. Účtovná závierka za rok 2018 bola spracovaná za predpokladu nepretržitého pokračovania činnosti.</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style6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61"/>
        <w:widowControl/>
        <w:suppressAutoHyphens w:val="true"/>
        <w:spacing w:after="120" w:before="0"/>
        <w:ind w:hanging="214" w:left="246" w:right="0"/>
        <w:contextualSpacing w:val="false"/>
        <w:jc w:val="both"/>
        <w:rPr>
          <w:b/>
          <w:bCs/>
          <w:u w:val="none"/>
        </w:rPr>
      </w:pPr>
      <w:r>
        <w:rPr>
          <w:b/>
          <w:bCs/>
          <w:u w:val="none"/>
        </w:rPr>
      </w:r>
    </w:p>
    <w:p>
      <w:pPr>
        <w:pStyle w:val="style61"/>
        <w:widowControl/>
        <w:suppressAutoHyphens w:val="true"/>
        <w:spacing w:after="120" w:before="0"/>
        <w:ind w:hanging="214" w:left="246" w:right="0"/>
        <w:contextualSpacing w:val="false"/>
        <w:jc w:val="both"/>
        <w:rPr>
          <w:b/>
          <w:bCs/>
          <w:u w:val="none"/>
        </w:rPr>
      </w:pPr>
      <w:r>
        <w:rPr>
          <w:b/>
          <w:bCs/>
          <w:u w:val="none"/>
        </w:rPr>
      </w:r>
    </w:p>
    <w:p>
      <w:pPr>
        <w:pStyle w:val="style61"/>
        <w:widowControl/>
        <w:suppressAutoHyphens w:val="true"/>
        <w:spacing w:after="120" w:before="0"/>
        <w:ind w:hanging="214" w:left="246" w:right="0"/>
        <w:contextualSpacing w:val="false"/>
        <w:jc w:val="both"/>
        <w:rPr>
          <w:b/>
          <w:bCs/>
          <w:sz w:val="18"/>
          <w:szCs w:val="18"/>
          <w:u w:val="none"/>
        </w:rPr>
      </w:pPr>
      <w:r>
        <w:rPr>
          <w:b/>
          <w:bCs/>
          <w:sz w:val="18"/>
          <w:szCs w:val="18"/>
          <w:u w:val="none"/>
        </w:rPr>
        <w:t>1. Spôsob ocenenia jednotlivých zložiek majetku a záväzkov – prvé ocenenie</w:t>
      </w:r>
    </w:p>
    <w:p>
      <w:pPr>
        <w:pStyle w:val="style61"/>
        <w:widowControl/>
        <w:suppressAutoHyphens w:val="true"/>
        <w:spacing w:after="120" w:before="0"/>
        <w:ind w:hanging="214" w:left="246" w:right="0"/>
        <w:contextualSpacing w:val="false"/>
        <w:jc w:val="both"/>
        <w:rPr>
          <w:b/>
          <w:bCs/>
          <w:u w:val="none"/>
        </w:rPr>
      </w:pPr>
      <w:r>
        <w:rPr>
          <w:b/>
          <w:bCs/>
          <w:u w:val="none"/>
        </w:rPr>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style6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c) Zásoby obstarané kúpou:</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e) Pohľadávky:</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alebo bezodplatnom nadobudnutí – menovitou hodnotou.</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g) Časové rozlíšenie na strane aktív súvahy – očakávanou menovitou hodnotou.</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h) Záväzky:</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 menovitou hodnotou.</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pervzatí – obstarávacou cenou.</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i) Rezervy – v očakávanej výške záväzku alebo poistnomatematickými metódami.</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j) Časové rozlíšenie na strane pasív súvahy – očakávanou menovitou hodnotou.</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21% po úpravách o niektoré položky na daňové účely.</w:t>
      </w:r>
    </w:p>
    <w:p>
      <w:pPr>
        <w:pStyle w:val="style6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61"/>
        <w:widowControl/>
        <w:suppressAutoHyphens w:val="true"/>
        <w:spacing w:after="120" w:before="0"/>
        <w:ind w:hanging="214" w:left="246" w:right="0"/>
        <w:contextualSpacing w:val="false"/>
        <w:jc w:val="both"/>
        <w:rPr>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style6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2018 nevyplynula povinnosť tvorby rezervy.</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2016 nevyplynula povinnosť tvoriť opravné položky.</w:t>
      </w:r>
    </w:p>
    <w:p>
      <w:pPr>
        <w:pStyle w:val="style6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Plán odpisov</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style6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Podiely na základnom imaní sa ponechávajú v pôvodnom ocenení.</w:t>
      </w:r>
    </w:p>
    <w:p>
      <w:pPr>
        <w:pStyle w:val="style6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6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61"/>
        <w:widowControl/>
        <w:suppressAutoHyphens w:val="true"/>
        <w:spacing w:after="120" w:before="0"/>
        <w:ind w:hanging="214" w:left="246" w:right="0"/>
        <w:contextualSpacing w:val="false"/>
        <w:jc w:val="both"/>
        <w:rPr>
          <w:b/>
          <w:bCs/>
          <w:sz w:val="18"/>
          <w:szCs w:val="18"/>
          <w:u w:val="none"/>
        </w:rPr>
      </w:pPr>
      <w:r>
        <w:rPr>
          <w:b/>
          <w:bCs/>
          <w:sz w:val="18"/>
          <w:szCs w:val="18"/>
          <w:u w:val="none"/>
        </w:rPr>
        <w:t>2. Prepočet údajov v cudzích menách na slovenskú menu</w:t>
      </w:r>
    </w:p>
    <w:p>
      <w:pPr>
        <w:pStyle w:val="style61"/>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6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style6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style6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style6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style6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style61"/>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61"/>
        <w:widowControl/>
        <w:suppressAutoHyphens w:val="true"/>
        <w:spacing w:after="120" w:before="0"/>
        <w:ind w:firstLine="11" w:left="-11" w:right="0"/>
        <w:contextualSpacing w:val="false"/>
        <w:jc w:val="both"/>
        <w:rPr>
          <w:b/>
          <w:bCs/>
          <w:sz w:val="18"/>
          <w:szCs w:val="18"/>
          <w:u w:val="none"/>
        </w:rPr>
      </w:pPr>
      <w:r>
        <w:rPr>
          <w:b/>
          <w:bCs/>
          <w:sz w:val="18"/>
          <w:szCs w:val="18"/>
          <w:u w:val="none"/>
        </w:rPr>
        <w:t>3. Zmeny účtovných zásad a účtovných metód</w:t>
      </w:r>
    </w:p>
    <w:p>
      <w:pPr>
        <w:pStyle w:val="style61"/>
        <w:widowControl/>
        <w:suppressAutoHyphens w:val="true"/>
        <w:spacing w:after="120" w:before="0"/>
        <w:ind w:firstLine="11" w:left="-11" w:right="0"/>
        <w:contextualSpacing w:val="false"/>
        <w:jc w:val="both"/>
        <w:rPr>
          <w:b/>
          <w:bCs/>
          <w:sz w:val="18"/>
          <w:szCs w:val="18"/>
          <w:u w:val="none"/>
        </w:rPr>
      </w:pPr>
      <w:r>
        <w:rPr>
          <w:b/>
          <w:bCs/>
          <w:sz w:val="18"/>
          <w:szCs w:val="18"/>
          <w:u w:val="none"/>
        </w:rPr>
      </w:r>
    </w:p>
    <w:p>
      <w:pPr>
        <w:pStyle w:val="style6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účtovnom období roku 2018 nenastali v spoločnosti FERKON s. r. o., žiadne zmeny týkajúce sa účtovných zásad a účtovných metód.</w:t>
      </w:r>
    </w:p>
    <w:p>
      <w:pPr>
        <w:pStyle w:val="style6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r>
    </w:p>
    <w:p>
      <w:pPr>
        <w:pStyle w:val="style61"/>
        <w:widowControl/>
        <w:suppressAutoHyphens w:val="true"/>
        <w:spacing w:after="120" w:before="0"/>
        <w:ind w:firstLine="11" w:left="-11" w:right="0"/>
        <w:contextualSpacing w:val="false"/>
        <w:jc w:val="both"/>
        <w:rPr>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style61"/>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6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spoločnosti FERKON s. r. o., nedošlo v účtovnom období roku 2018 k žiadnzm opravám významných chýb minulých období., nakoľko spoločnosť počas celého hodnotiaceho obdobia nevykonávala žiadnu činnosť.</w:t>
      </w:r>
    </w:p>
    <w:p>
      <w:pPr>
        <w:pStyle w:val="style61"/>
        <w:widowControl/>
        <w:suppressAutoHyphens w:val="true"/>
        <w:spacing w:after="120" w:before="0"/>
        <w:ind w:hanging="214" w:left="246" w:right="0"/>
        <w:contextualSpacing w:val="false"/>
        <w:jc w:val="both"/>
        <w:rPr>
          <w:b w:val="false"/>
          <w:bCs w:val="false"/>
          <w:sz w:val="20"/>
          <w:szCs w:val="20"/>
          <w:u w:val="none"/>
        </w:rPr>
      </w:pPr>
      <w:r>
        <w:rPr>
          <w:b w:val="false"/>
          <w:bCs w:val="false"/>
          <w:sz w:val="20"/>
          <w:szCs w:val="20"/>
          <w:u w:val="none"/>
        </w:rPr>
      </w:r>
    </w:p>
    <w:p>
      <w:pPr>
        <w:pStyle w:val="style61"/>
        <w:widowControl/>
        <w:suppressAutoHyphens w:val="true"/>
        <w:spacing w:after="120" w:before="0"/>
        <w:ind w:hanging="214" w:left="246" w:right="0"/>
        <w:contextualSpacing w:val="false"/>
        <w:jc w:val="both"/>
        <w:rPr>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style61"/>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61"/>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61"/>
        <w:widowControl/>
        <w:suppressAutoHyphens w:val="true"/>
        <w:spacing w:after="120" w:before="0"/>
        <w:ind w:hanging="214" w:left="246" w:right="0"/>
        <w:contextualSpacing w:val="false"/>
        <w:jc w:val="both"/>
        <w:rPr>
          <w:b/>
          <w:bCs/>
          <w:sz w:val="18"/>
          <w:szCs w:val="18"/>
          <w:u w:val="none"/>
        </w:rPr>
      </w:pPr>
      <w:r>
        <w:rPr>
          <w:b/>
          <w:bCs/>
          <w:sz w:val="18"/>
          <w:szCs w:val="18"/>
          <w:u w:val="none"/>
        </w:rPr>
        <w:t>1. Dlhodobý nehmotný a hmotný majetok</w:t>
      </w:r>
    </w:p>
    <w:p>
      <w:pPr>
        <w:pStyle w:val="style61"/>
        <w:widowControl/>
        <w:suppressAutoHyphens w:val="true"/>
        <w:spacing w:after="120" w:before="0"/>
        <w:ind w:hanging="214" w:left="246" w:right="0"/>
        <w:contextualSpacing w:val="false"/>
        <w:jc w:val="both"/>
        <w:rPr>
          <w:b/>
          <w:bCs/>
          <w:u w:val="none"/>
        </w:rPr>
      </w:pPr>
      <w:r>
        <w:rPr>
          <w:b/>
          <w:bCs/>
          <w:u w:val="none"/>
        </w:rPr>
      </w:r>
    </w:p>
    <w:p>
      <w:pPr>
        <w:pStyle w:val="style61"/>
        <w:widowControl/>
        <w:suppressAutoHyphens w:val="true"/>
        <w:spacing w:after="120" w:before="0"/>
        <w:ind w:hanging="214" w:left="75"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style61"/>
        <w:rPr>
          <w:b w:val="false"/>
          <w:bCs w:val="false"/>
          <w:sz w:val="18"/>
          <w:szCs w:val="18"/>
        </w:rPr>
      </w:pPr>
      <w:r>
        <w:rPr>
          <w:b w:val="false"/>
          <w:bCs w:val="false"/>
          <w:sz w:val="18"/>
          <w:szCs w:val="18"/>
        </w:rPr>
      </w:r>
    </w:p>
    <w:p>
      <w:pPr>
        <w:pStyle w:val="style61"/>
        <w:rPr>
          <w:b w:val="false"/>
          <w:bCs w:val="false"/>
        </w:rPr>
      </w:pPr>
      <w:r>
        <w:rPr>
          <w:b w:val="false"/>
          <w:bCs w:val="false"/>
        </w:rPr>
      </w:r>
    </w:p>
    <w:p>
      <w:pPr>
        <w:pStyle w:val="style61"/>
        <w:rPr>
          <w:b w:val="false"/>
          <w:bCs w:val="false"/>
        </w:rPr>
      </w:pPr>
      <w:r>
        <w:rPr>
          <w:b w:val="false"/>
          <w:bCs w:val="false"/>
        </w:rPr>
      </w:r>
    </w:p>
    <w:p>
      <w:pPr>
        <w:pStyle w:val="style61"/>
        <w:rPr>
          <w:b w:val="false"/>
          <w:bCs w:val="false"/>
        </w:rPr>
      </w:pPr>
      <w:r>
        <w:rPr>
          <w:b w:val="false"/>
          <w:bCs w:val="false"/>
        </w:rPr>
      </w:r>
    </w:p>
    <w:p>
      <w:pPr>
        <w:pStyle w:val="style61"/>
        <w:rPr>
          <w:b/>
          <w:bCs/>
          <w:sz w:val="18"/>
          <w:szCs w:val="18"/>
        </w:rPr>
      </w:pPr>
      <w:r>
        <w:rPr>
          <w:b/>
          <w:bCs/>
          <w:sz w:val="18"/>
          <w:szCs w:val="18"/>
        </w:rPr>
        <w:t>2.  Pohľadávky</w:t>
      </w:r>
    </w:p>
    <w:p>
      <w:pPr>
        <w:pStyle w:val="style61"/>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77"/>
        <w:gridCol w:w="2393"/>
      </w:tblGrid>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 </w:t>
            </w:r>
          </w:p>
        </w:tc>
        <w:tc>
          <w:tcPr>
            <w:tcW w:type="dxa" w:w="2377"/>
            <w:tcBorders>
              <w:top w:val="nil"/>
              <w:left w:val="nil"/>
              <w:bottom w:val="nil"/>
              <w:right w:val="nil"/>
            </w:tcBorders>
            <w:shd w:fill="FFFFFF" w:val="clear"/>
            <w:vAlign w:val="center"/>
          </w:tcPr>
          <w:p>
            <w:pPr>
              <w:pStyle w:val="style76"/>
              <w:rPr>
                <w:b/>
                <w:bCs/>
              </w:rPr>
            </w:pPr>
            <w:r>
              <w:rPr>
                <w:b/>
                <w:bCs/>
              </w:rPr>
              <w:t>bežné účtovné obdobie</w:t>
            </w:r>
          </w:p>
        </w:tc>
        <w:tc>
          <w:tcPr>
            <w:tcW w:type="dxa" w:w="2393"/>
            <w:tcBorders>
              <w:top w:val="nil"/>
              <w:left w:val="nil"/>
              <w:bottom w:val="nil"/>
              <w:right w:val="nil"/>
            </w:tcBorders>
            <w:shd w:fill="FFFFFF" w:val="clear"/>
            <w:vAlign w:val="center"/>
          </w:tcPr>
          <w:p>
            <w:pPr>
              <w:pStyle w:val="style76"/>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 </w:t>
            </w:r>
          </w:p>
        </w:tc>
        <w:tc>
          <w:tcPr>
            <w:tcW w:type="dxa" w:w="2377"/>
            <w:tcBorders>
              <w:top w:val="nil"/>
              <w:left w:val="nil"/>
              <w:bottom w:val="nil"/>
              <w:right w:val="nil"/>
            </w:tcBorders>
            <w:shd w:fill="FFFFFF" w:val="clear"/>
            <w:vAlign w:val="center"/>
          </w:tcPr>
          <w:p>
            <w:pPr>
              <w:pStyle w:val="style76"/>
              <w:rPr>
                <w:b/>
                <w:bCs/>
              </w:rPr>
            </w:pPr>
            <w:r>
              <w:rPr>
                <w:b/>
                <w:bCs/>
              </w:rPr>
              <w:t>obdobie</w:t>
            </w:r>
          </w:p>
        </w:tc>
        <w:tc>
          <w:tcPr>
            <w:tcW w:type="dxa" w:w="2393"/>
            <w:tcBorders>
              <w:top w:val="nil"/>
              <w:left w:val="nil"/>
              <w:bottom w:val="nil"/>
              <w:right w:val="nil"/>
            </w:tcBorders>
            <w:shd w:fill="FFFFFF" w:val="clear"/>
            <w:vAlign w:val="center"/>
          </w:tcPr>
          <w:p>
            <w:pPr>
              <w:pStyle w:val="style76"/>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76"/>
              <w:rPr/>
            </w:pPr>
            <w:r>
              <w:rPr/>
              <w:t>Názov položky</w:t>
            </w:r>
          </w:p>
        </w:tc>
        <w:tc>
          <w:tcPr>
            <w:tcW w:type="dxa" w:w="2377"/>
            <w:tcBorders>
              <w:top w:val="nil"/>
              <w:left w:val="nil"/>
              <w:bottom w:val="nil"/>
              <w:right w:val="nil"/>
            </w:tcBorders>
            <w:shd w:fill="FFFFFF" w:val="clear"/>
            <w:vAlign w:val="center"/>
          </w:tcPr>
          <w:p>
            <w:pPr>
              <w:pStyle w:val="style76"/>
              <w:rPr/>
            </w:pPr>
            <w:r>
              <w:rPr/>
              <w:t> </w:t>
            </w:r>
          </w:p>
        </w:tc>
        <w:tc>
          <w:tcPr>
            <w:tcW w:type="dxa" w:w="2393"/>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 </w:t>
            </w:r>
          </w:p>
        </w:tc>
        <w:tc>
          <w:tcPr>
            <w:tcW w:type="dxa" w:w="2377"/>
            <w:tcBorders>
              <w:top w:val="nil"/>
              <w:left w:val="nil"/>
              <w:bottom w:val="nil"/>
              <w:right w:val="nil"/>
            </w:tcBorders>
            <w:shd w:fill="FFFFFF" w:val="clear"/>
            <w:vAlign w:val="center"/>
          </w:tcPr>
          <w:p>
            <w:pPr>
              <w:pStyle w:val="style76"/>
              <w:rPr/>
            </w:pPr>
            <w:r>
              <w:rPr/>
              <w:t> </w:t>
            </w:r>
          </w:p>
        </w:tc>
        <w:tc>
          <w:tcPr>
            <w:tcW w:type="dxa" w:w="2393"/>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Pohľadávky z obchodného styku</w:t>
            </w:r>
          </w:p>
        </w:tc>
        <w:tc>
          <w:tcPr>
            <w:tcW w:type="dxa" w:w="2377"/>
            <w:tcBorders>
              <w:top w:val="nil"/>
              <w:left w:val="nil"/>
              <w:bottom w:val="nil"/>
              <w:right w:val="nil"/>
            </w:tcBorders>
            <w:shd w:fill="FFFFFF" w:val="clear"/>
            <w:vAlign w:val="center"/>
          </w:tcPr>
          <w:p>
            <w:pPr>
              <w:pStyle w:val="style76"/>
              <w:rPr/>
            </w:pPr>
            <w:r>
              <w:rPr/>
              <w:t xml:space="preserve">                  </w:t>
            </w:r>
            <w:r>
              <w:rPr/>
              <w:t>2041</w:t>
            </w:r>
          </w:p>
        </w:tc>
        <w:tc>
          <w:tcPr>
            <w:tcW w:type="dxa" w:w="2393"/>
            <w:tcBorders>
              <w:top w:val="nil"/>
              <w:left w:val="nil"/>
              <w:bottom w:val="nil"/>
              <w:right w:val="nil"/>
            </w:tcBorders>
            <w:shd w:fill="FFFFFF" w:val="clear"/>
            <w:vAlign w:val="center"/>
          </w:tcPr>
          <w:p>
            <w:pPr>
              <w:pStyle w:val="style76"/>
              <w:jc w:val="center"/>
              <w:rPr/>
            </w:pPr>
            <w:r>
              <w:rPr/>
              <w:t>305</w:t>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Daňové pohľadávky</w:t>
            </w:r>
          </w:p>
        </w:tc>
        <w:tc>
          <w:tcPr>
            <w:tcW w:type="dxa" w:w="2377"/>
            <w:tcBorders>
              <w:top w:val="nil"/>
              <w:left w:val="nil"/>
              <w:bottom w:val="nil"/>
              <w:right w:val="nil"/>
            </w:tcBorders>
            <w:shd w:fill="FFFFFF" w:val="clear"/>
            <w:vAlign w:val="center"/>
          </w:tcPr>
          <w:p>
            <w:pPr>
              <w:pStyle w:val="style76"/>
              <w:rPr/>
            </w:pPr>
            <w:r>
              <w:rPr/>
              <w:t xml:space="preserve">                   </w:t>
            </w:r>
            <w:r>
              <w:rPr/>
              <w:t>0</w:t>
            </w:r>
          </w:p>
        </w:tc>
        <w:tc>
          <w:tcPr>
            <w:tcW w:type="dxa" w:w="2393"/>
            <w:tcBorders>
              <w:top w:val="nil"/>
              <w:left w:val="nil"/>
              <w:bottom w:val="nil"/>
              <w:right w:val="nil"/>
            </w:tcBorders>
            <w:shd w:fill="FFFFFF" w:val="clear"/>
            <w:vAlign w:val="center"/>
          </w:tcPr>
          <w:p>
            <w:pPr>
              <w:pStyle w:val="style76"/>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Ostatné pohľadávky</w:t>
            </w:r>
          </w:p>
        </w:tc>
        <w:tc>
          <w:tcPr>
            <w:tcW w:type="dxa" w:w="2377"/>
            <w:tcBorders>
              <w:top w:val="nil"/>
              <w:left w:val="nil"/>
              <w:bottom w:val="nil"/>
              <w:right w:val="nil"/>
            </w:tcBorders>
            <w:shd w:fill="FFFFFF" w:val="clear"/>
            <w:vAlign w:val="center"/>
          </w:tcPr>
          <w:p>
            <w:pPr>
              <w:pStyle w:val="style76"/>
              <w:rPr/>
            </w:pPr>
            <w:r>
              <w:rPr/>
              <w:t> </w:t>
            </w:r>
          </w:p>
        </w:tc>
        <w:tc>
          <w:tcPr>
            <w:tcW w:type="dxa" w:w="2393"/>
            <w:tcBorders>
              <w:top w:val="nil"/>
              <w:left w:val="nil"/>
              <w:bottom w:val="nil"/>
              <w:right w:val="nil"/>
            </w:tcBorders>
            <w:shd w:fill="FFFFFF" w:val="clear"/>
            <w:vAlign w:val="center"/>
          </w:tcPr>
          <w:p>
            <w:pPr>
              <w:pStyle w:val="style76"/>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76"/>
              <w:rPr/>
            </w:pPr>
            <w:r>
              <w:rPr/>
              <w:t> </w:t>
            </w:r>
          </w:p>
        </w:tc>
        <w:tc>
          <w:tcPr>
            <w:tcW w:type="dxa" w:w="2377"/>
            <w:tcBorders>
              <w:top w:val="nil"/>
              <w:left w:val="nil"/>
              <w:bottom w:val="nil"/>
              <w:right w:val="nil"/>
            </w:tcBorders>
            <w:shd w:fill="FFFFFF" w:val="clear"/>
            <w:vAlign w:val="center"/>
          </w:tcPr>
          <w:p>
            <w:pPr>
              <w:pStyle w:val="style76"/>
              <w:rPr/>
            </w:pPr>
            <w:r>
              <w:rPr/>
              <w:t> </w:t>
            </w:r>
          </w:p>
        </w:tc>
        <w:tc>
          <w:tcPr>
            <w:tcW w:type="dxa" w:w="2393"/>
            <w:tcBorders>
              <w:top w:val="nil"/>
              <w:left w:val="nil"/>
              <w:bottom w:val="nil"/>
              <w:right w:val="nil"/>
            </w:tcBorders>
            <w:shd w:fill="FFFFFF" w:val="clear"/>
            <w:vAlign w:val="center"/>
          </w:tcPr>
          <w:p>
            <w:pPr>
              <w:pStyle w:val="style76"/>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b/>
                <w:bCs/>
              </w:rPr>
            </w:pPr>
            <w:r>
              <w:rPr>
                <w:b/>
                <w:bCs/>
              </w:rPr>
              <w:t>Pohľadávky spolu:</w:t>
            </w:r>
          </w:p>
        </w:tc>
        <w:tc>
          <w:tcPr>
            <w:tcW w:type="dxa" w:w="2377"/>
            <w:tcBorders>
              <w:top w:val="nil"/>
              <w:left w:val="nil"/>
              <w:bottom w:val="nil"/>
              <w:right w:val="nil"/>
            </w:tcBorders>
            <w:shd w:fill="FFFFFF" w:val="clear"/>
            <w:vAlign w:val="center"/>
          </w:tcPr>
          <w:p>
            <w:pPr>
              <w:pStyle w:val="style76"/>
              <w:rPr>
                <w:b/>
                <w:bCs/>
              </w:rPr>
            </w:pPr>
            <w:r>
              <w:rPr>
                <w:b/>
                <w:bCs/>
              </w:rPr>
              <w:t xml:space="preserve">                   </w:t>
            </w:r>
            <w:r>
              <w:rPr>
                <w:b/>
                <w:bCs/>
              </w:rPr>
              <w:t>2041</w:t>
            </w:r>
          </w:p>
        </w:tc>
        <w:tc>
          <w:tcPr>
            <w:tcW w:type="dxa" w:w="2393"/>
            <w:tcBorders>
              <w:top w:val="nil"/>
              <w:left w:val="nil"/>
              <w:bottom w:val="nil"/>
              <w:right w:val="nil"/>
            </w:tcBorders>
            <w:shd w:fill="FFFFFF" w:val="clear"/>
            <w:vAlign w:val="center"/>
          </w:tcPr>
          <w:p>
            <w:pPr>
              <w:pStyle w:val="style76"/>
              <w:jc w:val="center"/>
              <w:rPr>
                <w:b/>
                <w:bCs/>
              </w:rPr>
            </w:pPr>
            <w:r>
              <w:rPr>
                <w:b/>
                <w:bCs/>
              </w:rPr>
              <w:t>2205</w:t>
            </w:r>
          </w:p>
        </w:tc>
      </w:tr>
      <w:tr>
        <w:trPr>
          <w:trHeight w:hRule="atLeast" w:val="315"/>
          <w:cantSplit w:val="false"/>
        </w:trPr>
        <w:tc>
          <w:tcPr>
            <w:tcW w:type="dxa" w:w="2805"/>
            <w:tcBorders>
              <w:top w:val="nil"/>
              <w:left w:val="nil"/>
              <w:bottom w:val="nil"/>
              <w:right w:val="nil"/>
            </w:tcBorders>
            <w:shd w:fill="FFFFFF" w:val="clear"/>
            <w:vAlign w:val="center"/>
          </w:tcPr>
          <w:p>
            <w:pPr>
              <w:pStyle w:val="style76"/>
              <w:rPr/>
            </w:pPr>
            <w:r>
              <w:rPr/>
              <w:t> </w:t>
            </w:r>
          </w:p>
        </w:tc>
        <w:tc>
          <w:tcPr>
            <w:tcW w:type="dxa" w:w="2377"/>
            <w:tcBorders>
              <w:top w:val="nil"/>
              <w:left w:val="nil"/>
              <w:bottom w:val="nil"/>
              <w:right w:val="nil"/>
            </w:tcBorders>
            <w:shd w:fill="FFFFFF" w:val="clear"/>
            <w:vAlign w:val="center"/>
          </w:tcPr>
          <w:p>
            <w:pPr>
              <w:pStyle w:val="style76"/>
              <w:rPr/>
            </w:pPr>
            <w:r>
              <w:rPr/>
              <w:t> </w:t>
            </w:r>
          </w:p>
        </w:tc>
        <w:tc>
          <w:tcPr>
            <w:tcW w:type="dxa" w:w="2393"/>
            <w:tcBorders>
              <w:top w:val="nil"/>
              <w:left w:val="nil"/>
              <w:bottom w:val="nil"/>
              <w:right w:val="nil"/>
            </w:tcBorders>
            <w:shd w:fill="FFFFFF" w:val="clear"/>
            <w:vAlign w:val="center"/>
          </w:tcPr>
          <w:p>
            <w:pPr>
              <w:pStyle w:val="style76"/>
              <w:jc w:val="center"/>
              <w:rPr/>
            </w:pPr>
            <w:r>
              <w:rPr/>
              <w:t> </w:t>
            </w:r>
          </w:p>
        </w:tc>
      </w:tr>
    </w:tbl>
    <w:p>
      <w:pPr>
        <w:pStyle w:val="style61"/>
        <w:rPr>
          <w:b/>
          <w:bCs/>
          <w:sz w:val="18"/>
          <w:szCs w:val="18"/>
        </w:rPr>
      </w:pPr>
      <w:r>
        <w:rPr>
          <w:b/>
          <w:bCs/>
          <w:sz w:val="18"/>
          <w:szCs w:val="18"/>
        </w:rPr>
      </w:r>
    </w:p>
    <w:p>
      <w:pPr>
        <w:pStyle w:val="style61"/>
        <w:rPr>
          <w:b w:val="false"/>
          <w:bCs w:val="false"/>
          <w:sz w:val="18"/>
          <w:szCs w:val="18"/>
        </w:rPr>
      </w:pPr>
      <w:r>
        <w:rPr>
          <w:b w:val="false"/>
          <w:bCs w:val="false"/>
          <w:sz w:val="18"/>
          <w:szCs w:val="18"/>
        </w:rPr>
        <w:t>V časti pohľadávok spoločnosť vykazuje pohľadávky v lehote splatnosti. Po lehote splatnosti spoločnosť  nevykazuje žiadne pohľadávky.</w:t>
      </w:r>
    </w:p>
    <w:p>
      <w:pPr>
        <w:pStyle w:val="style61"/>
        <w:rPr/>
      </w:pPr>
      <w:r>
        <w:rPr/>
      </w:r>
    </w:p>
    <w:p>
      <w:pPr>
        <w:pStyle w:val="style61"/>
        <w:rPr>
          <w:b w:val="false"/>
          <w:bCs w:val="false"/>
          <w:sz w:val="18"/>
          <w:szCs w:val="18"/>
        </w:rPr>
      </w:pPr>
      <w:r>
        <w:rPr>
          <w:b w:val="false"/>
          <w:bCs w:val="false"/>
          <w:sz w:val="18"/>
          <w:szCs w:val="18"/>
        </w:rPr>
        <w:t xml:space="preserve">Tým, že spoločnosť neeviduje k 31.12.2018 pohľadávky po lehote splatnosti, nebolo </w:t>
      </w:r>
    </w:p>
    <w:p>
      <w:pPr>
        <w:pStyle w:val="style61"/>
        <w:rPr>
          <w:b w:val="false"/>
          <w:bCs w:val="false"/>
          <w:sz w:val="18"/>
          <w:szCs w:val="18"/>
        </w:rPr>
      </w:pPr>
      <w:r>
        <w:rPr>
          <w:b w:val="false"/>
          <w:bCs w:val="false"/>
          <w:sz w:val="18"/>
          <w:szCs w:val="18"/>
        </w:rPr>
        <w:t>potrebné tvoriť opravné položky k pohľadávkam.</w:t>
      </w:r>
    </w:p>
    <w:p>
      <w:pPr>
        <w:pStyle w:val="style61"/>
        <w:rPr>
          <w:b w:val="false"/>
          <w:bCs w:val="false"/>
          <w:sz w:val="18"/>
          <w:szCs w:val="18"/>
        </w:rPr>
      </w:pPr>
      <w:r>
        <w:rPr>
          <w:b w:val="false"/>
          <w:bCs w:val="false"/>
          <w:sz w:val="18"/>
          <w:szCs w:val="18"/>
        </w:rPr>
      </w:r>
    </w:p>
    <w:p>
      <w:pPr>
        <w:pStyle w:val="style61"/>
        <w:rPr>
          <w:b/>
          <w:bCs/>
          <w:sz w:val="18"/>
          <w:szCs w:val="18"/>
        </w:rPr>
      </w:pPr>
      <w:r>
        <w:rPr>
          <w:b/>
          <w:bCs/>
          <w:sz w:val="18"/>
          <w:szCs w:val="18"/>
        </w:rPr>
        <w:t>3.  Krátkodobý finančný majetok</w:t>
      </w:r>
    </w:p>
    <w:p>
      <w:pPr>
        <w:pStyle w:val="style61"/>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77"/>
        <w:gridCol w:w="2393"/>
      </w:tblGrid>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 </w:t>
            </w:r>
          </w:p>
        </w:tc>
        <w:tc>
          <w:tcPr>
            <w:tcW w:type="dxa" w:w="2377"/>
            <w:tcBorders>
              <w:top w:val="nil"/>
              <w:left w:val="nil"/>
              <w:bottom w:val="nil"/>
              <w:right w:val="nil"/>
            </w:tcBorders>
            <w:shd w:fill="FFFFFF" w:val="clear"/>
            <w:vAlign w:val="center"/>
          </w:tcPr>
          <w:p>
            <w:pPr>
              <w:pStyle w:val="style76"/>
              <w:rPr>
                <w:b/>
                <w:bCs/>
              </w:rPr>
            </w:pPr>
            <w:r>
              <w:rPr>
                <w:b/>
                <w:bCs/>
              </w:rPr>
              <w:t>bežné účtovné obdobie</w:t>
            </w:r>
          </w:p>
        </w:tc>
        <w:tc>
          <w:tcPr>
            <w:tcW w:type="dxa" w:w="2393"/>
            <w:tcBorders>
              <w:top w:val="nil"/>
              <w:left w:val="nil"/>
              <w:bottom w:val="nil"/>
              <w:right w:val="nil"/>
            </w:tcBorders>
            <w:shd w:fill="FFFFFF" w:val="clear"/>
            <w:vAlign w:val="center"/>
          </w:tcPr>
          <w:p>
            <w:pPr>
              <w:pStyle w:val="style76"/>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 </w:t>
            </w:r>
          </w:p>
        </w:tc>
        <w:tc>
          <w:tcPr>
            <w:tcW w:type="dxa" w:w="2377"/>
            <w:tcBorders>
              <w:top w:val="nil"/>
              <w:left w:val="nil"/>
              <w:bottom w:val="nil"/>
              <w:right w:val="nil"/>
            </w:tcBorders>
            <w:shd w:fill="FFFFFF" w:val="clear"/>
            <w:vAlign w:val="center"/>
          </w:tcPr>
          <w:p>
            <w:pPr>
              <w:pStyle w:val="style76"/>
              <w:rPr>
                <w:b/>
                <w:bCs/>
              </w:rPr>
            </w:pPr>
            <w:r>
              <w:rPr>
                <w:b/>
                <w:bCs/>
              </w:rPr>
              <w:t>obdobie</w:t>
            </w:r>
          </w:p>
        </w:tc>
        <w:tc>
          <w:tcPr>
            <w:tcW w:type="dxa" w:w="2393"/>
            <w:tcBorders>
              <w:top w:val="nil"/>
              <w:left w:val="nil"/>
              <w:bottom w:val="nil"/>
              <w:right w:val="nil"/>
            </w:tcBorders>
            <w:shd w:fill="FFFFFF" w:val="clear"/>
            <w:vAlign w:val="center"/>
          </w:tcPr>
          <w:p>
            <w:pPr>
              <w:pStyle w:val="style76"/>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76"/>
              <w:rPr/>
            </w:pPr>
            <w:r>
              <w:rPr/>
              <w:t>Názov položky</w:t>
            </w:r>
          </w:p>
        </w:tc>
        <w:tc>
          <w:tcPr>
            <w:tcW w:type="dxa" w:w="2377"/>
            <w:tcBorders>
              <w:top w:val="nil"/>
              <w:left w:val="nil"/>
              <w:bottom w:val="nil"/>
              <w:right w:val="nil"/>
            </w:tcBorders>
            <w:shd w:fill="FFFFFF" w:val="clear"/>
            <w:vAlign w:val="center"/>
          </w:tcPr>
          <w:p>
            <w:pPr>
              <w:pStyle w:val="style76"/>
              <w:rPr/>
            </w:pPr>
            <w:r>
              <w:rPr/>
              <w:t> </w:t>
            </w:r>
          </w:p>
        </w:tc>
        <w:tc>
          <w:tcPr>
            <w:tcW w:type="dxa" w:w="2393"/>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 </w:t>
            </w:r>
          </w:p>
        </w:tc>
        <w:tc>
          <w:tcPr>
            <w:tcW w:type="dxa" w:w="2377"/>
            <w:tcBorders>
              <w:top w:val="nil"/>
              <w:left w:val="nil"/>
              <w:bottom w:val="nil"/>
              <w:right w:val="nil"/>
            </w:tcBorders>
            <w:shd w:fill="FFFFFF" w:val="clear"/>
            <w:vAlign w:val="center"/>
          </w:tcPr>
          <w:p>
            <w:pPr>
              <w:pStyle w:val="style76"/>
              <w:rPr/>
            </w:pPr>
            <w:r>
              <w:rPr/>
              <w:t> </w:t>
            </w:r>
          </w:p>
        </w:tc>
        <w:tc>
          <w:tcPr>
            <w:tcW w:type="dxa" w:w="2393"/>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Pokladnica</w:t>
            </w:r>
          </w:p>
        </w:tc>
        <w:tc>
          <w:tcPr>
            <w:tcW w:type="dxa" w:w="2377"/>
            <w:tcBorders>
              <w:top w:val="nil"/>
              <w:left w:val="nil"/>
              <w:bottom w:val="nil"/>
              <w:right w:val="nil"/>
            </w:tcBorders>
            <w:shd w:fill="FFFFFF" w:val="clear"/>
            <w:vAlign w:val="center"/>
          </w:tcPr>
          <w:p>
            <w:pPr>
              <w:pStyle w:val="style76"/>
              <w:rPr/>
            </w:pPr>
            <w:r>
              <w:rPr/>
              <w:t xml:space="preserve">                   </w:t>
            </w:r>
            <w:r>
              <w:rPr/>
              <w:t>392</w:t>
            </w:r>
          </w:p>
        </w:tc>
        <w:tc>
          <w:tcPr>
            <w:tcW w:type="dxa" w:w="2393"/>
            <w:tcBorders>
              <w:top w:val="nil"/>
              <w:left w:val="nil"/>
              <w:bottom w:val="nil"/>
              <w:right w:val="nil"/>
            </w:tcBorders>
            <w:shd w:fill="FFFFFF" w:val="clear"/>
            <w:vAlign w:val="center"/>
          </w:tcPr>
          <w:p>
            <w:pPr>
              <w:pStyle w:val="style76"/>
              <w:jc w:val="center"/>
              <w:rPr/>
            </w:pPr>
            <w:r>
              <w:rPr/>
              <w:t>279</w:t>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Ceniny</w:t>
            </w:r>
          </w:p>
        </w:tc>
        <w:tc>
          <w:tcPr>
            <w:tcW w:type="dxa" w:w="2377"/>
            <w:tcBorders>
              <w:top w:val="nil"/>
              <w:left w:val="nil"/>
              <w:bottom w:val="nil"/>
              <w:right w:val="nil"/>
            </w:tcBorders>
            <w:shd w:fill="FFFFFF" w:val="clear"/>
            <w:vAlign w:val="center"/>
          </w:tcPr>
          <w:p>
            <w:pPr>
              <w:pStyle w:val="style76"/>
              <w:rPr/>
            </w:pPr>
            <w:r>
              <w:rPr/>
            </w:r>
          </w:p>
        </w:tc>
        <w:tc>
          <w:tcPr>
            <w:tcW w:type="dxa" w:w="2393"/>
            <w:tcBorders>
              <w:top w:val="nil"/>
              <w:left w:val="nil"/>
              <w:bottom w:val="nil"/>
              <w:right w:val="nil"/>
            </w:tcBorders>
            <w:shd w:fill="FFFFFF" w:val="clear"/>
            <w:vAlign w:val="center"/>
          </w:tcPr>
          <w:p>
            <w:pPr>
              <w:pStyle w:val="style76"/>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Bankový účet v mene EUR</w:t>
            </w:r>
          </w:p>
        </w:tc>
        <w:tc>
          <w:tcPr>
            <w:tcW w:type="dxa" w:w="2377"/>
            <w:tcBorders>
              <w:top w:val="nil"/>
              <w:left w:val="nil"/>
              <w:bottom w:val="nil"/>
              <w:right w:val="nil"/>
            </w:tcBorders>
            <w:shd w:fill="FFFFFF" w:val="clear"/>
            <w:vAlign w:val="center"/>
          </w:tcPr>
          <w:p>
            <w:pPr>
              <w:pStyle w:val="style76"/>
              <w:rPr/>
            </w:pPr>
            <w:r>
              <w:rPr/>
              <w:t xml:space="preserve">                   </w:t>
            </w:r>
            <w:r>
              <w:rPr/>
              <w:t>138</w:t>
            </w:r>
          </w:p>
        </w:tc>
        <w:tc>
          <w:tcPr>
            <w:tcW w:type="dxa" w:w="2393"/>
            <w:tcBorders>
              <w:top w:val="nil"/>
              <w:left w:val="nil"/>
              <w:bottom w:val="nil"/>
              <w:right w:val="nil"/>
            </w:tcBorders>
            <w:shd w:fill="FFFFFF" w:val="clear"/>
            <w:vAlign w:val="center"/>
          </w:tcPr>
          <w:p>
            <w:pPr>
              <w:pStyle w:val="style76"/>
              <w:jc w:val="center"/>
              <w:rPr/>
            </w:pPr>
            <w:r>
              <w:rPr/>
              <w:t>9145</w:t>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Bankový účet v mene PLN</w:t>
            </w:r>
          </w:p>
        </w:tc>
        <w:tc>
          <w:tcPr>
            <w:tcW w:type="dxa" w:w="2377"/>
            <w:tcBorders>
              <w:top w:val="nil"/>
              <w:left w:val="nil"/>
              <w:bottom w:val="nil"/>
              <w:right w:val="nil"/>
            </w:tcBorders>
            <w:shd w:fill="FFFFFF" w:val="clear"/>
            <w:vAlign w:val="center"/>
          </w:tcPr>
          <w:p>
            <w:pPr>
              <w:pStyle w:val="style76"/>
              <w:jc w:val="center"/>
              <w:rPr/>
            </w:pPr>
            <w:r>
              <w:rPr/>
              <w:t xml:space="preserve">    </w:t>
            </w:r>
            <w:r>
              <w:rPr/>
              <w:t>-12</w:t>
            </w:r>
          </w:p>
        </w:tc>
        <w:tc>
          <w:tcPr>
            <w:tcW w:type="dxa" w:w="2393"/>
            <w:tcBorders>
              <w:top w:val="nil"/>
              <w:left w:val="nil"/>
              <w:bottom w:val="nil"/>
              <w:right w:val="nil"/>
            </w:tcBorders>
            <w:shd w:fill="FFFFFF" w:val="clear"/>
            <w:vAlign w:val="center"/>
          </w:tcPr>
          <w:p>
            <w:pPr>
              <w:pStyle w:val="style76"/>
              <w:jc w:val="center"/>
              <w:rPr/>
            </w:pPr>
            <w:r>
              <w:rPr/>
              <w:t>54</w:t>
            </w:r>
          </w:p>
        </w:tc>
      </w:tr>
      <w:tr>
        <w:trPr>
          <w:trHeight w:hRule="atLeast" w:val="300"/>
          <w:cantSplit w:val="false"/>
        </w:trPr>
        <w:tc>
          <w:tcPr>
            <w:tcW w:type="dxa" w:w="2805"/>
            <w:tcBorders>
              <w:top w:val="nil"/>
              <w:left w:val="nil"/>
              <w:bottom w:val="nil"/>
              <w:right w:val="nil"/>
            </w:tcBorders>
            <w:shd w:fill="FFFFFF" w:val="clear"/>
            <w:vAlign w:val="center"/>
          </w:tcPr>
          <w:p>
            <w:pPr>
              <w:pStyle w:val="style76"/>
              <w:rPr/>
            </w:pPr>
            <w:r>
              <w:rPr/>
              <w:t>PeyPal</w:t>
            </w:r>
          </w:p>
        </w:tc>
        <w:tc>
          <w:tcPr>
            <w:tcW w:type="dxa" w:w="2377"/>
            <w:tcBorders>
              <w:top w:val="nil"/>
              <w:left w:val="nil"/>
              <w:bottom w:val="nil"/>
              <w:right w:val="nil"/>
            </w:tcBorders>
            <w:shd w:fill="FFFFFF" w:val="clear"/>
            <w:vAlign w:val="center"/>
          </w:tcPr>
          <w:p>
            <w:pPr>
              <w:pStyle w:val="style76"/>
              <w:rPr/>
            </w:pPr>
            <w:r>
              <w:rPr/>
            </w:r>
          </w:p>
        </w:tc>
        <w:tc>
          <w:tcPr>
            <w:tcW w:type="dxa" w:w="2393"/>
            <w:tcBorders>
              <w:top w:val="nil"/>
              <w:left w:val="nil"/>
              <w:bottom w:val="nil"/>
              <w:right w:val="nil"/>
            </w:tcBorders>
            <w:shd w:fill="FFFFFF" w:val="clear"/>
            <w:vAlign w:val="center"/>
          </w:tcPr>
          <w:p>
            <w:pPr>
              <w:pStyle w:val="style76"/>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76"/>
              <w:rPr/>
            </w:pPr>
            <w:r>
              <w:rPr/>
              <w:t>Peniaze na ceste</w:t>
            </w:r>
          </w:p>
        </w:tc>
        <w:tc>
          <w:tcPr>
            <w:tcW w:type="dxa" w:w="2377"/>
            <w:tcBorders>
              <w:top w:val="nil"/>
              <w:left w:val="nil"/>
              <w:bottom w:val="nil"/>
              <w:right w:val="nil"/>
            </w:tcBorders>
            <w:shd w:fill="FFFFFF" w:val="clear"/>
            <w:vAlign w:val="center"/>
          </w:tcPr>
          <w:p>
            <w:pPr>
              <w:pStyle w:val="style76"/>
              <w:rPr/>
            </w:pPr>
            <w:r>
              <w:rPr/>
            </w:r>
          </w:p>
        </w:tc>
        <w:tc>
          <w:tcPr>
            <w:tcW w:type="dxa" w:w="2393"/>
            <w:tcBorders>
              <w:top w:val="nil"/>
              <w:left w:val="nil"/>
              <w:bottom w:val="nil"/>
              <w:right w:val="nil"/>
            </w:tcBorders>
            <w:shd w:fill="FFFFFF" w:val="clear"/>
            <w:vAlign w:val="center"/>
          </w:tcPr>
          <w:p>
            <w:pPr>
              <w:pStyle w:val="style76"/>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76"/>
              <w:rPr>
                <w:b/>
                <w:bCs/>
              </w:rPr>
            </w:pPr>
            <w:r>
              <w:rPr/>
              <w:t> </w:t>
            </w:r>
            <w:r>
              <w:rPr>
                <w:b/>
                <w:bCs/>
              </w:rPr>
              <w:t>Spolu:</w:t>
            </w:r>
          </w:p>
        </w:tc>
        <w:tc>
          <w:tcPr>
            <w:tcW w:type="dxa" w:w="2377"/>
            <w:tcBorders>
              <w:top w:val="nil"/>
              <w:left w:val="nil"/>
              <w:bottom w:val="nil"/>
              <w:right w:val="nil"/>
            </w:tcBorders>
            <w:shd w:fill="FFFFFF" w:val="clear"/>
            <w:vAlign w:val="center"/>
          </w:tcPr>
          <w:p>
            <w:pPr>
              <w:pStyle w:val="style76"/>
              <w:rPr>
                <w:b/>
                <w:bCs/>
              </w:rPr>
            </w:pPr>
            <w:r>
              <w:rPr>
                <w:b/>
                <w:bCs/>
              </w:rPr>
              <w:t xml:space="preserve">                   </w:t>
            </w:r>
            <w:r>
              <w:rPr>
                <w:b/>
                <w:bCs/>
              </w:rPr>
              <w:t>518</w:t>
            </w:r>
          </w:p>
        </w:tc>
        <w:tc>
          <w:tcPr>
            <w:tcW w:type="dxa" w:w="2393"/>
            <w:tcBorders>
              <w:top w:val="nil"/>
              <w:left w:val="nil"/>
              <w:bottom w:val="nil"/>
              <w:right w:val="nil"/>
            </w:tcBorders>
            <w:shd w:fill="FFFFFF" w:val="clear"/>
            <w:vAlign w:val="center"/>
          </w:tcPr>
          <w:p>
            <w:pPr>
              <w:pStyle w:val="style76"/>
              <w:jc w:val="center"/>
              <w:rPr>
                <w:b/>
                <w:bCs/>
              </w:rPr>
            </w:pPr>
            <w:r>
              <w:rPr>
                <w:b/>
                <w:bCs/>
              </w:rPr>
              <w:t>478</w:t>
            </w:r>
          </w:p>
        </w:tc>
      </w:tr>
    </w:tbl>
    <w:p>
      <w:pPr>
        <w:pStyle w:val="style61"/>
        <w:rPr>
          <w:b/>
          <w:bCs/>
          <w:sz w:val="18"/>
          <w:szCs w:val="18"/>
        </w:rPr>
      </w:pPr>
      <w:r>
        <w:rPr>
          <w:b/>
          <w:bCs/>
          <w:sz w:val="18"/>
          <w:szCs w:val="18"/>
        </w:rPr>
      </w:r>
    </w:p>
    <w:p>
      <w:pPr>
        <w:pStyle w:val="style61"/>
        <w:rPr>
          <w:b w:val="false"/>
          <w:bCs w:val="false"/>
          <w:sz w:val="18"/>
          <w:szCs w:val="18"/>
        </w:rPr>
      </w:pPr>
      <w:r>
        <w:rPr>
          <w:b w:val="false"/>
          <w:bCs w:val="false"/>
          <w:sz w:val="18"/>
          <w:szCs w:val="18"/>
        </w:rPr>
        <w:t>Spoločnosť má zriadené účty vo VÚB banke, a.s., Mlynské nivy 1, Bratislava.</w:t>
      </w:r>
    </w:p>
    <w:p>
      <w:pPr>
        <w:pStyle w:val="style61"/>
        <w:rPr>
          <w:b w:val="false"/>
          <w:bCs w:val="false"/>
          <w:sz w:val="18"/>
          <w:szCs w:val="18"/>
        </w:rPr>
      </w:pPr>
      <w:r>
        <w:rPr>
          <w:b w:val="false"/>
          <w:bCs w:val="false"/>
          <w:sz w:val="18"/>
          <w:szCs w:val="18"/>
        </w:rPr>
        <w:t>Spoločnosť FERKON s.r.o. má zriadený bežný účet v eur a účet zahraničnej meny v PLN.</w:t>
      </w:r>
    </w:p>
    <w:p>
      <w:pPr>
        <w:pStyle w:val="style61"/>
        <w:rPr/>
      </w:pPr>
      <w:r>
        <w:rPr/>
      </w:r>
    </w:p>
    <w:p>
      <w:pPr>
        <w:pStyle w:val="style61"/>
        <w:rPr/>
      </w:pPr>
      <w:r>
        <w:rPr/>
      </w:r>
    </w:p>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r>
    </w:p>
    <w:p>
      <w:pPr>
        <w:pStyle w:val="style61"/>
        <w:rPr>
          <w:b/>
          <w:bCs/>
          <w:sz w:val="18"/>
          <w:szCs w:val="18"/>
        </w:rPr>
      </w:pPr>
      <w:r>
        <w:rPr>
          <w:b/>
          <w:bCs/>
          <w:sz w:val="18"/>
          <w:szCs w:val="18"/>
        </w:rPr>
        <w:t>4.  Informácie o rozdelení účtovného zisku alebo vysporiadanie účtovnej straty.</w:t>
      </w:r>
    </w:p>
    <w:p>
      <w:pPr>
        <w:pStyle w:val="style61"/>
        <w:rPr>
          <w:b/>
          <w:bCs/>
          <w:sz w:val="18"/>
          <w:szCs w:val="18"/>
        </w:rPr>
      </w:pPr>
      <w:r>
        <w:rPr>
          <w:b/>
          <w:bCs/>
          <w:sz w:val="18"/>
          <w:szCs w:val="18"/>
        </w:rPr>
      </w:r>
    </w:p>
    <w:tbl>
      <w:tblPr>
        <w:jc w:val="left"/>
        <w:tblInd w:type="dxa" w:w="82"/>
        <w:tblBorders>
          <w:top w:val="nil"/>
          <w:left w:val="nil"/>
          <w:bottom w:val="nil"/>
          <w:insideH w:val="nil"/>
          <w:right w:val="nil"/>
          <w:insideV w:val="nil"/>
        </w:tblBorders>
        <w:tblCellMar>
          <w:top w:type="dxa" w:w="0"/>
          <w:left w:type="dxa" w:w="0"/>
          <w:bottom w:type="dxa" w:w="0"/>
          <w:right w:type="dxa" w:w="0"/>
        </w:tblCellMar>
      </w:tblPr>
      <w:tblGrid>
        <w:gridCol w:w="4056"/>
        <w:gridCol w:w="3047"/>
      </w:tblGrid>
      <w:tr>
        <w:trPr>
          <w:trHeight w:hRule="atLeast" w:val="315"/>
          <w:cantSplit w:val="false"/>
        </w:trPr>
        <w:tc>
          <w:tcPr>
            <w:tcW w:type="dxa" w:w="4056"/>
            <w:tcBorders>
              <w:top w:val="nil"/>
              <w:left w:val="nil"/>
              <w:bottom w:val="nil"/>
              <w:right w:val="nil"/>
            </w:tcBorders>
            <w:shd w:fill="FFFFFF" w:val="clear"/>
            <w:vAlign w:val="center"/>
          </w:tcPr>
          <w:p>
            <w:pPr>
              <w:pStyle w:val="style76"/>
              <w:rPr/>
            </w:pPr>
            <w:r>
              <w:rPr/>
              <w:t>tabuľka č. 1</w:t>
            </w:r>
          </w:p>
        </w:tc>
        <w:tc>
          <w:tcPr>
            <w:tcW w:type="dxa" w:w="3047"/>
            <w:tcBorders>
              <w:top w:val="nil"/>
              <w:left w:val="nil"/>
              <w:bottom w:val="nil"/>
              <w:right w:val="nil"/>
            </w:tcBorders>
            <w:shd w:fill="FFFFFF" w:val="clear"/>
            <w:vAlign w:val="center"/>
          </w:tcPr>
          <w:p>
            <w:pPr>
              <w:pStyle w:val="style76"/>
              <w:rPr>
                <w:sz w:val="4"/>
                <w:szCs w:val="4"/>
              </w:rPr>
            </w:pPr>
            <w:r>
              <w:rPr>
                <w:sz w:val="4"/>
                <w:szCs w:val="4"/>
              </w:rPr>
            </w:r>
          </w:p>
        </w:tc>
      </w:tr>
      <w:tr>
        <w:trPr>
          <w:trHeight w:hRule="atLeast" w:val="300"/>
          <w:cantSplit w:val="false"/>
        </w:trPr>
        <w:tc>
          <w:tcPr>
            <w:tcW w:type="dxa" w:w="4056"/>
            <w:tcBorders>
              <w:top w:val="nil"/>
              <w:left w:val="nil"/>
              <w:bottom w:val="nil"/>
              <w:right w:val="nil"/>
            </w:tcBorders>
            <w:shd w:fill="FFFFFF" w:val="clear"/>
            <w:vAlign w:val="center"/>
          </w:tcPr>
          <w:p>
            <w:pPr>
              <w:pStyle w:val="style76"/>
              <w:rPr>
                <w:b/>
                <w:bCs/>
              </w:rPr>
            </w:pPr>
            <w:r>
              <w:rPr/>
              <w:t>N</w:t>
            </w:r>
            <w:r>
              <w:rPr>
                <w:b/>
                <w:bCs/>
              </w:rPr>
              <w:t>ázov položky</w:t>
            </w:r>
          </w:p>
        </w:tc>
        <w:tc>
          <w:tcPr>
            <w:tcW w:type="dxa" w:w="3047"/>
            <w:tcBorders>
              <w:top w:val="nil"/>
              <w:left w:val="nil"/>
              <w:bottom w:val="nil"/>
              <w:right w:val="nil"/>
            </w:tcBorders>
            <w:shd w:fill="FFFFFF" w:val="clear"/>
            <w:vAlign w:val="center"/>
          </w:tcPr>
          <w:p>
            <w:pPr>
              <w:pStyle w:val="style76"/>
              <w:rPr>
                <w:b/>
                <w:bCs/>
              </w:rPr>
            </w:pPr>
            <w:r>
              <w:rPr>
                <w:b/>
                <w:bCs/>
              </w:rPr>
              <w:t>Bezprostredne predchádzajúce</w:t>
            </w:r>
          </w:p>
        </w:tc>
      </w:tr>
      <w:tr>
        <w:trPr>
          <w:trHeight w:hRule="atLeast" w:val="315"/>
          <w:cantSplit w:val="false"/>
        </w:trPr>
        <w:tc>
          <w:tcPr>
            <w:tcW w:type="dxa" w:w="4056"/>
            <w:tcBorders>
              <w:top w:val="nil"/>
              <w:left w:val="nil"/>
              <w:bottom w:val="nil"/>
              <w:right w:val="nil"/>
            </w:tcBorders>
            <w:shd w:fill="FFFFFF" w:val="clear"/>
            <w:vAlign w:val="center"/>
          </w:tcPr>
          <w:p>
            <w:pPr>
              <w:pStyle w:val="style76"/>
              <w:rPr/>
            </w:pPr>
            <w:r>
              <w:rPr/>
              <w:t> </w:t>
            </w:r>
          </w:p>
        </w:tc>
        <w:tc>
          <w:tcPr>
            <w:tcW w:type="dxa" w:w="3047"/>
            <w:tcBorders>
              <w:top w:val="nil"/>
              <w:left w:val="nil"/>
              <w:bottom w:val="nil"/>
              <w:right w:val="nil"/>
            </w:tcBorders>
            <w:shd w:fill="FFFFFF" w:val="clear"/>
            <w:vAlign w:val="center"/>
          </w:tcPr>
          <w:p>
            <w:pPr>
              <w:pStyle w:val="style76"/>
              <w:jc w:val="center"/>
              <w:rPr>
                <w:b/>
                <w:bCs/>
              </w:rPr>
            </w:pPr>
            <w:r>
              <w:rPr>
                <w:b/>
                <w:bCs/>
              </w:rPr>
              <w:t>účtovné obdobie</w:t>
            </w:r>
          </w:p>
        </w:tc>
      </w:tr>
      <w:tr>
        <w:trPr>
          <w:trHeight w:hRule="atLeast" w:val="300"/>
          <w:cantSplit w:val="false"/>
        </w:trPr>
        <w:tc>
          <w:tcPr>
            <w:tcW w:type="dxa" w:w="4056"/>
            <w:tcBorders>
              <w:top w:val="nil"/>
              <w:left w:val="nil"/>
              <w:bottom w:val="nil"/>
              <w:right w:val="nil"/>
            </w:tcBorders>
            <w:shd w:fill="FFFFFF" w:val="clear"/>
            <w:vAlign w:val="center"/>
          </w:tcPr>
          <w:p>
            <w:pPr>
              <w:pStyle w:val="style76"/>
              <w:rPr>
                <w:b/>
                <w:bCs/>
              </w:rPr>
            </w:pPr>
            <w:r>
              <w:rPr>
                <w:b/>
                <w:bCs/>
              </w:rPr>
              <w:t>Účtovný zisk</w:t>
            </w:r>
          </w:p>
        </w:tc>
        <w:tc>
          <w:tcPr>
            <w:tcW w:type="dxa" w:w="3047"/>
            <w:tcBorders>
              <w:top w:val="nil"/>
              <w:left w:val="nil"/>
              <w:bottom w:val="nil"/>
              <w:right w:val="nil"/>
            </w:tcBorders>
            <w:shd w:fill="FFFFFF" w:val="clear"/>
            <w:vAlign w:val="center"/>
          </w:tcPr>
          <w:p>
            <w:pPr>
              <w:pStyle w:val="style76"/>
              <w:rPr/>
            </w:pPr>
            <w:r>
              <w:rPr/>
              <w:t xml:space="preserve">                      </w:t>
            </w:r>
          </w:p>
        </w:tc>
      </w:tr>
      <w:tr>
        <w:trPr>
          <w:trHeight w:hRule="atLeast" w:val="300"/>
          <w:cantSplit w:val="false"/>
        </w:trPr>
        <w:tc>
          <w:tcPr>
            <w:tcW w:type="dxa" w:w="4056"/>
            <w:tcBorders>
              <w:top w:val="nil"/>
              <w:left w:val="nil"/>
              <w:bottom w:val="nil"/>
              <w:right w:val="nil"/>
            </w:tcBorders>
            <w:shd w:fill="FFFFFF" w:val="clear"/>
            <w:vAlign w:val="center"/>
          </w:tcPr>
          <w:p>
            <w:pPr>
              <w:pStyle w:val="style76"/>
              <w:rPr/>
            </w:pPr>
            <w:r>
              <w:rPr/>
              <w:t> </w:t>
            </w:r>
          </w:p>
        </w:tc>
        <w:tc>
          <w:tcPr>
            <w:tcW w:type="dxa" w:w="3047"/>
            <w:tcBorders>
              <w:top w:val="nil"/>
              <w:left w:val="nil"/>
              <w:bottom w:val="nil"/>
              <w:right w:val="nil"/>
            </w:tcBorders>
            <w:shd w:fill="FFFFFF" w:val="clear"/>
            <w:vAlign w:val="center"/>
          </w:tcPr>
          <w:p>
            <w:pPr>
              <w:pStyle w:val="style76"/>
              <w:jc w:val="center"/>
              <w:rPr/>
            </w:pPr>
            <w:r>
              <w:rPr/>
            </w:r>
          </w:p>
        </w:tc>
      </w:tr>
      <w:tr>
        <w:trPr>
          <w:trHeight w:hRule="atLeast" w:val="300"/>
          <w:cantSplit w:val="false"/>
        </w:trPr>
        <w:tc>
          <w:tcPr>
            <w:tcW w:type="dxa" w:w="4056"/>
            <w:tcBorders>
              <w:top w:val="nil"/>
              <w:left w:val="nil"/>
              <w:bottom w:val="nil"/>
              <w:right w:val="nil"/>
            </w:tcBorders>
            <w:shd w:fill="FFFFFF" w:val="clear"/>
            <w:vAlign w:val="center"/>
          </w:tcPr>
          <w:p>
            <w:pPr>
              <w:pStyle w:val="style76"/>
              <w:rPr/>
            </w:pPr>
            <w:r>
              <w:rPr/>
              <w:t>Rozdelenie účtovného zisku</w:t>
            </w:r>
          </w:p>
        </w:tc>
        <w:tc>
          <w:tcPr>
            <w:tcW w:type="dxa" w:w="3047"/>
            <w:tcBorders>
              <w:top w:val="nil"/>
              <w:left w:val="nil"/>
              <w:bottom w:val="nil"/>
              <w:right w:val="nil"/>
            </w:tcBorders>
            <w:shd w:fill="FFFFFF" w:val="clear"/>
            <w:vAlign w:val="center"/>
          </w:tcPr>
          <w:p>
            <w:pPr>
              <w:pStyle w:val="style76"/>
              <w:jc w:val="center"/>
              <w:rPr>
                <w:b/>
                <w:bCs/>
              </w:rPr>
            </w:pPr>
            <w:r>
              <w:rPr>
                <w:b/>
                <w:bCs/>
              </w:rPr>
              <w:t>Bežné účtovné obdobie</w:t>
            </w:r>
          </w:p>
        </w:tc>
      </w:tr>
      <w:tr>
        <w:trPr>
          <w:trHeight w:hRule="atLeast" w:val="300"/>
          <w:cantSplit w:val="false"/>
        </w:trPr>
        <w:tc>
          <w:tcPr>
            <w:tcW w:type="dxa" w:w="4056"/>
            <w:tcBorders>
              <w:top w:val="nil"/>
              <w:left w:val="nil"/>
              <w:bottom w:val="nil"/>
              <w:right w:val="nil"/>
            </w:tcBorders>
            <w:shd w:fill="FFFFFF" w:val="clear"/>
            <w:vAlign w:val="center"/>
          </w:tcPr>
          <w:p>
            <w:pPr>
              <w:pStyle w:val="style76"/>
              <w:rPr/>
            </w:pPr>
            <w:r>
              <w:rPr/>
              <w:t>Prídel do zákonného rezervného fondu</w:t>
            </w:r>
          </w:p>
        </w:tc>
        <w:tc>
          <w:tcPr>
            <w:tcW w:type="dxa" w:w="3047"/>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4056"/>
            <w:tcBorders>
              <w:top w:val="nil"/>
              <w:left w:val="nil"/>
              <w:bottom w:val="nil"/>
              <w:right w:val="nil"/>
            </w:tcBorders>
            <w:shd w:fill="FFFFFF" w:val="clear"/>
            <w:vAlign w:val="center"/>
          </w:tcPr>
          <w:p>
            <w:pPr>
              <w:pStyle w:val="style76"/>
              <w:rPr/>
            </w:pPr>
            <w:r>
              <w:rPr/>
              <w:t>Prídel do štatutárnych a ostatných fondov</w:t>
            </w:r>
          </w:p>
        </w:tc>
        <w:tc>
          <w:tcPr>
            <w:tcW w:type="dxa" w:w="3047"/>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4056"/>
            <w:tcBorders>
              <w:top w:val="nil"/>
              <w:left w:val="nil"/>
              <w:bottom w:val="nil"/>
              <w:right w:val="nil"/>
            </w:tcBorders>
            <w:shd w:fill="FFFFFF" w:val="clear"/>
            <w:vAlign w:val="center"/>
          </w:tcPr>
          <w:p>
            <w:pPr>
              <w:pStyle w:val="style76"/>
              <w:rPr/>
            </w:pPr>
            <w:r>
              <w:rPr/>
              <w:t>Prídel do sociálneho fondu</w:t>
            </w:r>
          </w:p>
        </w:tc>
        <w:tc>
          <w:tcPr>
            <w:tcW w:type="dxa" w:w="3047"/>
            <w:tcBorders>
              <w:top w:val="nil"/>
              <w:left w:val="nil"/>
              <w:bottom w:val="nil"/>
              <w:right w:val="nil"/>
            </w:tcBorders>
            <w:shd w:fill="FFFFFF" w:val="clear"/>
            <w:vAlign w:val="center"/>
          </w:tcPr>
          <w:p>
            <w:pPr>
              <w:pStyle w:val="style76"/>
              <w:rPr/>
            </w:pPr>
            <w:r>
              <w:rPr/>
              <w:t> </w:t>
            </w:r>
          </w:p>
        </w:tc>
      </w:tr>
      <w:tr>
        <w:trPr>
          <w:trHeight w:hRule="atLeast" w:val="270"/>
          <w:cantSplit w:val="false"/>
        </w:trPr>
        <w:tc>
          <w:tcPr>
            <w:tcW w:type="dxa" w:w="4056"/>
            <w:tcBorders>
              <w:top w:val="nil"/>
              <w:left w:val="nil"/>
              <w:bottom w:val="nil"/>
              <w:right w:val="nil"/>
            </w:tcBorders>
            <w:shd w:fill="FFFFFF" w:val="clear"/>
            <w:vAlign w:val="center"/>
          </w:tcPr>
          <w:p>
            <w:pPr>
              <w:pStyle w:val="style76"/>
              <w:rPr/>
            </w:pPr>
            <w:r>
              <w:rPr/>
              <w:t>Prídel na zvýšenie základného imania</w:t>
            </w:r>
          </w:p>
        </w:tc>
        <w:tc>
          <w:tcPr>
            <w:tcW w:type="dxa" w:w="3047"/>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4056"/>
            <w:tcBorders>
              <w:top w:val="nil"/>
              <w:left w:val="nil"/>
              <w:bottom w:val="nil"/>
              <w:right w:val="nil"/>
            </w:tcBorders>
            <w:shd w:fill="FFFFFF" w:val="clear"/>
            <w:vAlign w:val="center"/>
          </w:tcPr>
          <w:p>
            <w:pPr>
              <w:pStyle w:val="style76"/>
              <w:rPr/>
            </w:pPr>
            <w:r>
              <w:rPr/>
              <w:t>Úhrada straty minulých období</w:t>
            </w:r>
          </w:p>
        </w:tc>
        <w:tc>
          <w:tcPr>
            <w:tcW w:type="dxa" w:w="3047"/>
            <w:tcBorders>
              <w:top w:val="nil"/>
              <w:left w:val="nil"/>
              <w:bottom w:val="nil"/>
              <w:right w:val="nil"/>
            </w:tcBorders>
            <w:shd w:fill="FFFFFF" w:val="clear"/>
            <w:vAlign w:val="center"/>
          </w:tcPr>
          <w:p>
            <w:pPr>
              <w:pStyle w:val="style76"/>
              <w:jc w:val="center"/>
              <w:rPr/>
            </w:pPr>
            <w:r>
              <w:rPr/>
            </w:r>
          </w:p>
        </w:tc>
      </w:tr>
      <w:tr>
        <w:trPr>
          <w:trHeight w:hRule="atLeast" w:val="300"/>
          <w:cantSplit w:val="false"/>
        </w:trPr>
        <w:tc>
          <w:tcPr>
            <w:tcW w:type="dxa" w:w="4056"/>
            <w:tcBorders>
              <w:top w:val="nil"/>
              <w:left w:val="nil"/>
              <w:bottom w:val="nil"/>
              <w:right w:val="nil"/>
            </w:tcBorders>
            <w:shd w:fill="FFFFFF" w:val="clear"/>
            <w:vAlign w:val="center"/>
          </w:tcPr>
          <w:p>
            <w:pPr>
              <w:pStyle w:val="style76"/>
              <w:rPr/>
            </w:pPr>
            <w:r>
              <w:rPr/>
              <w:t>Prevod do nerozdeleného zisku minulých rokov</w:t>
            </w:r>
          </w:p>
        </w:tc>
        <w:tc>
          <w:tcPr>
            <w:tcW w:type="dxa" w:w="3047"/>
            <w:tcBorders>
              <w:top w:val="nil"/>
              <w:left w:val="nil"/>
              <w:bottom w:val="nil"/>
              <w:right w:val="nil"/>
            </w:tcBorders>
            <w:shd w:fill="FFFFFF" w:val="clear"/>
            <w:vAlign w:val="center"/>
          </w:tcPr>
          <w:p>
            <w:pPr>
              <w:pStyle w:val="style76"/>
              <w:rPr/>
            </w:pPr>
            <w:r>
              <w:rPr/>
              <w:t xml:space="preserve">                     </w:t>
            </w:r>
          </w:p>
        </w:tc>
      </w:tr>
      <w:tr>
        <w:trPr>
          <w:trHeight w:hRule="atLeast" w:val="300"/>
          <w:cantSplit w:val="false"/>
        </w:trPr>
        <w:tc>
          <w:tcPr>
            <w:tcW w:type="dxa" w:w="4056"/>
            <w:tcBorders>
              <w:top w:val="nil"/>
              <w:left w:val="nil"/>
              <w:bottom w:val="nil"/>
              <w:right w:val="nil"/>
            </w:tcBorders>
            <w:shd w:fill="FFFFFF" w:val="clear"/>
            <w:vAlign w:val="center"/>
          </w:tcPr>
          <w:p>
            <w:pPr>
              <w:pStyle w:val="style76"/>
              <w:rPr/>
            </w:pPr>
            <w:r>
              <w:rPr/>
              <w:t>Rozdelenie podielu na zisku spoločníkom</w:t>
            </w:r>
          </w:p>
        </w:tc>
        <w:tc>
          <w:tcPr>
            <w:tcW w:type="dxa" w:w="3047"/>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4056"/>
            <w:tcBorders>
              <w:top w:val="nil"/>
              <w:left w:val="nil"/>
              <w:bottom w:val="nil"/>
              <w:right w:val="nil"/>
            </w:tcBorders>
            <w:shd w:fill="FFFFFF" w:val="clear"/>
            <w:vAlign w:val="center"/>
          </w:tcPr>
          <w:p>
            <w:pPr>
              <w:pStyle w:val="style76"/>
              <w:rPr/>
            </w:pPr>
            <w:r>
              <w:rPr/>
            </w:r>
          </w:p>
        </w:tc>
        <w:tc>
          <w:tcPr>
            <w:tcW w:type="dxa" w:w="3047"/>
            <w:tcBorders>
              <w:top w:val="nil"/>
              <w:left w:val="nil"/>
              <w:bottom w:val="nil"/>
              <w:right w:val="nil"/>
            </w:tcBorders>
            <w:shd w:fill="FFFFFF" w:val="clear"/>
            <w:vAlign w:val="center"/>
          </w:tcPr>
          <w:p>
            <w:pPr>
              <w:pStyle w:val="style76"/>
              <w:rPr/>
            </w:pPr>
            <w:r>
              <w:rPr/>
              <w:t xml:space="preserve">                      </w:t>
            </w:r>
          </w:p>
        </w:tc>
      </w:tr>
      <w:tr>
        <w:trPr>
          <w:trHeight w:hRule="atLeast" w:val="315"/>
          <w:cantSplit w:val="false"/>
        </w:trPr>
        <w:tc>
          <w:tcPr>
            <w:tcW w:type="dxa" w:w="4056"/>
            <w:tcBorders>
              <w:top w:val="nil"/>
              <w:left w:val="nil"/>
              <w:bottom w:val="nil"/>
              <w:right w:val="nil"/>
            </w:tcBorders>
            <w:shd w:fill="FFFFFF" w:val="clear"/>
            <w:vAlign w:val="center"/>
          </w:tcPr>
          <w:p>
            <w:pPr>
              <w:pStyle w:val="style76"/>
              <w:rPr/>
            </w:pPr>
            <w:r>
              <w:rPr/>
              <w:t>iné</w:t>
            </w:r>
          </w:p>
        </w:tc>
        <w:tc>
          <w:tcPr>
            <w:tcW w:type="dxa" w:w="3047"/>
            <w:tcBorders>
              <w:top w:val="nil"/>
              <w:left w:val="nil"/>
              <w:bottom w:val="nil"/>
              <w:right w:val="nil"/>
            </w:tcBorders>
            <w:shd w:fill="FFFFFF" w:val="clear"/>
            <w:vAlign w:val="center"/>
          </w:tcPr>
          <w:p>
            <w:pPr>
              <w:pStyle w:val="style76"/>
              <w:rPr/>
            </w:pPr>
            <w:r>
              <w:rPr/>
              <w:t> </w:t>
            </w:r>
          </w:p>
        </w:tc>
      </w:tr>
      <w:tr>
        <w:trPr>
          <w:trHeight w:hRule="atLeast" w:val="315"/>
          <w:cantSplit w:val="false"/>
        </w:trPr>
        <w:tc>
          <w:tcPr>
            <w:tcW w:type="dxa" w:w="4056"/>
            <w:tcBorders>
              <w:top w:val="nil"/>
              <w:left w:val="nil"/>
              <w:bottom w:val="nil"/>
              <w:right w:val="nil"/>
            </w:tcBorders>
            <w:shd w:fill="FFFFFF" w:val="clear"/>
            <w:vAlign w:val="center"/>
          </w:tcPr>
          <w:p>
            <w:pPr>
              <w:pStyle w:val="style76"/>
              <w:rPr>
                <w:b/>
                <w:bCs/>
              </w:rPr>
            </w:pPr>
            <w:r>
              <w:rPr>
                <w:b/>
                <w:bCs/>
              </w:rPr>
              <w:t>Spolu:</w:t>
            </w:r>
          </w:p>
        </w:tc>
        <w:tc>
          <w:tcPr>
            <w:tcW w:type="dxa" w:w="3047"/>
            <w:tcBorders>
              <w:top w:val="nil"/>
              <w:left w:val="nil"/>
              <w:bottom w:val="nil"/>
              <w:right w:val="nil"/>
            </w:tcBorders>
            <w:shd w:fill="FFFFFF" w:val="clear"/>
            <w:vAlign w:val="center"/>
          </w:tcPr>
          <w:p>
            <w:pPr>
              <w:pStyle w:val="style76"/>
              <w:rPr>
                <w:b/>
                <w:bCs/>
              </w:rPr>
            </w:pPr>
            <w:r>
              <w:rPr/>
              <w:t xml:space="preserve">              </w:t>
            </w:r>
            <w:r>
              <w:rPr>
                <w:b/>
                <w:bCs/>
              </w:rPr>
              <w:t xml:space="preserve">      </w:t>
            </w:r>
          </w:p>
        </w:tc>
      </w:tr>
    </w:tbl>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t>Spoločnosť v účtovnom období nevykázala zisk, účtovala iba o odloženej dani.</w:t>
      </w:r>
    </w:p>
    <w:p>
      <w:pPr>
        <w:pStyle w:val="style61"/>
        <w:rPr>
          <w:b w:val="false"/>
          <w:bCs w:val="false"/>
          <w:sz w:val="18"/>
          <w:szCs w:val="18"/>
        </w:rPr>
      </w:pPr>
      <w:r>
        <w:rPr>
          <w:b w:val="false"/>
          <w:bCs w:val="false"/>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63"/>
        <w:gridCol w:w="3014"/>
      </w:tblGrid>
      <w:tr>
        <w:trPr>
          <w:trHeight w:hRule="atLeast" w:val="315"/>
          <w:cantSplit w:val="false"/>
        </w:trPr>
        <w:tc>
          <w:tcPr>
            <w:tcW w:type="dxa" w:w="4163"/>
            <w:tcBorders>
              <w:top w:val="nil"/>
              <w:left w:val="nil"/>
              <w:bottom w:val="nil"/>
              <w:right w:val="nil"/>
            </w:tcBorders>
            <w:shd w:fill="FFFFFF" w:val="clear"/>
            <w:vAlign w:val="center"/>
          </w:tcPr>
          <w:p>
            <w:pPr>
              <w:pStyle w:val="style76"/>
              <w:rPr/>
            </w:pPr>
            <w:r>
              <w:rPr/>
              <w:t>tabuľka č. 2</w:t>
            </w:r>
          </w:p>
        </w:tc>
        <w:tc>
          <w:tcPr>
            <w:tcW w:type="dxa" w:w="3014"/>
            <w:tcBorders>
              <w:top w:val="nil"/>
              <w:left w:val="nil"/>
              <w:bottom w:val="nil"/>
              <w:right w:val="nil"/>
            </w:tcBorders>
            <w:shd w:fill="FFFFFF" w:val="clear"/>
            <w:vAlign w:val="center"/>
          </w:tcPr>
          <w:p>
            <w:pPr>
              <w:pStyle w:val="style76"/>
              <w:rPr>
                <w:sz w:val="4"/>
                <w:szCs w:val="4"/>
              </w:rPr>
            </w:pPr>
            <w:r>
              <w:rPr>
                <w:sz w:val="4"/>
                <w:szCs w:val="4"/>
              </w:rPr>
            </w:r>
          </w:p>
        </w:tc>
      </w:tr>
      <w:tr>
        <w:trPr>
          <w:trHeight w:hRule="atLeast" w:val="300"/>
          <w:cantSplit w:val="false"/>
        </w:trPr>
        <w:tc>
          <w:tcPr>
            <w:tcW w:type="dxa" w:w="4163"/>
            <w:tcBorders>
              <w:top w:val="nil"/>
              <w:left w:val="nil"/>
              <w:bottom w:val="nil"/>
              <w:right w:val="nil"/>
            </w:tcBorders>
            <w:shd w:fill="FFFFFF" w:val="clear"/>
            <w:vAlign w:val="center"/>
          </w:tcPr>
          <w:p>
            <w:pPr>
              <w:pStyle w:val="style76"/>
              <w:rPr>
                <w:b/>
                <w:bCs/>
              </w:rPr>
            </w:pPr>
            <w:r>
              <w:rPr>
                <w:b/>
                <w:bCs/>
              </w:rPr>
              <w:t>Názov položky</w:t>
            </w:r>
          </w:p>
        </w:tc>
        <w:tc>
          <w:tcPr>
            <w:tcW w:type="dxa" w:w="3014"/>
            <w:tcBorders>
              <w:top w:val="nil"/>
              <w:left w:val="nil"/>
              <w:bottom w:val="nil"/>
              <w:right w:val="nil"/>
            </w:tcBorders>
            <w:shd w:fill="FFFFFF" w:val="clear"/>
            <w:vAlign w:val="center"/>
          </w:tcPr>
          <w:p>
            <w:pPr>
              <w:pStyle w:val="style76"/>
              <w:rPr>
                <w:b/>
                <w:bCs/>
              </w:rPr>
            </w:pPr>
            <w:r>
              <w:rPr>
                <w:b/>
                <w:bCs/>
              </w:rPr>
              <w:t>Bezprostredne predchádzajúce</w:t>
            </w:r>
          </w:p>
        </w:tc>
      </w:tr>
      <w:tr>
        <w:trPr>
          <w:trHeight w:hRule="atLeast" w:val="315"/>
          <w:cantSplit w:val="false"/>
        </w:trPr>
        <w:tc>
          <w:tcPr>
            <w:tcW w:type="dxa" w:w="4163"/>
            <w:tcBorders>
              <w:top w:val="nil"/>
              <w:left w:val="nil"/>
              <w:bottom w:val="nil"/>
              <w:right w:val="nil"/>
            </w:tcBorders>
            <w:shd w:fill="FFFFFF" w:val="clear"/>
            <w:vAlign w:val="center"/>
          </w:tcPr>
          <w:p>
            <w:pPr>
              <w:pStyle w:val="style76"/>
              <w:rPr/>
            </w:pPr>
            <w:r>
              <w:rPr/>
              <w:t> </w:t>
            </w:r>
          </w:p>
        </w:tc>
        <w:tc>
          <w:tcPr>
            <w:tcW w:type="dxa" w:w="3014"/>
            <w:tcBorders>
              <w:top w:val="nil"/>
              <w:left w:val="nil"/>
              <w:bottom w:val="nil"/>
              <w:right w:val="nil"/>
            </w:tcBorders>
            <w:shd w:fill="FFFFFF" w:val="clear"/>
            <w:vAlign w:val="center"/>
          </w:tcPr>
          <w:p>
            <w:pPr>
              <w:pStyle w:val="style76"/>
              <w:jc w:val="center"/>
              <w:rPr>
                <w:b/>
                <w:bCs/>
              </w:rPr>
            </w:pPr>
            <w:r>
              <w:rPr>
                <w:b/>
                <w:bCs/>
              </w:rPr>
              <w:t>účtovné obdobie</w:t>
            </w:r>
          </w:p>
        </w:tc>
      </w:tr>
      <w:tr>
        <w:trPr>
          <w:trHeight w:hRule="atLeast" w:val="300"/>
          <w:cantSplit w:val="false"/>
        </w:trPr>
        <w:tc>
          <w:tcPr>
            <w:tcW w:type="dxa" w:w="4163"/>
            <w:tcBorders>
              <w:top w:val="nil"/>
              <w:left w:val="nil"/>
              <w:bottom w:val="nil"/>
              <w:right w:val="nil"/>
            </w:tcBorders>
            <w:shd w:fill="FFFFFF" w:val="clear"/>
            <w:vAlign w:val="center"/>
          </w:tcPr>
          <w:p>
            <w:pPr>
              <w:pStyle w:val="style76"/>
              <w:rPr>
                <w:b/>
                <w:bCs/>
              </w:rPr>
            </w:pPr>
            <w:r>
              <w:rPr>
                <w:b/>
                <w:bCs/>
              </w:rPr>
              <w:t>Účtovná strata</w:t>
            </w:r>
          </w:p>
        </w:tc>
        <w:tc>
          <w:tcPr>
            <w:tcW w:type="dxa" w:w="3014"/>
            <w:tcBorders>
              <w:top w:val="nil"/>
              <w:left w:val="nil"/>
              <w:bottom w:val="nil"/>
              <w:right w:val="nil"/>
            </w:tcBorders>
            <w:shd w:fill="FFFFFF" w:val="clear"/>
            <w:vAlign w:val="center"/>
          </w:tcPr>
          <w:p>
            <w:pPr>
              <w:pStyle w:val="style76"/>
              <w:jc w:val="center"/>
              <w:rPr/>
            </w:pPr>
            <w:r>
              <w:rPr/>
              <w:t>14139</w:t>
            </w:r>
          </w:p>
        </w:tc>
      </w:tr>
      <w:tr>
        <w:trPr>
          <w:trHeight w:hRule="atLeast" w:val="300"/>
          <w:cantSplit w:val="false"/>
        </w:trPr>
        <w:tc>
          <w:tcPr>
            <w:tcW w:type="dxa" w:w="4163"/>
            <w:tcBorders>
              <w:top w:val="nil"/>
              <w:left w:val="nil"/>
              <w:bottom w:val="nil"/>
              <w:right w:val="nil"/>
            </w:tcBorders>
            <w:shd w:fill="FFFFFF" w:val="clear"/>
            <w:vAlign w:val="center"/>
          </w:tcPr>
          <w:p>
            <w:pPr>
              <w:pStyle w:val="style76"/>
              <w:rPr/>
            </w:pPr>
            <w:r>
              <w:rPr/>
              <w:t> </w:t>
            </w:r>
          </w:p>
        </w:tc>
        <w:tc>
          <w:tcPr>
            <w:tcW w:type="dxa" w:w="3014"/>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4163"/>
            <w:tcBorders>
              <w:top w:val="nil"/>
              <w:left w:val="nil"/>
              <w:bottom w:val="nil"/>
              <w:right w:val="nil"/>
            </w:tcBorders>
            <w:shd w:fill="FFFFFF" w:val="clear"/>
            <w:vAlign w:val="center"/>
          </w:tcPr>
          <w:p>
            <w:pPr>
              <w:pStyle w:val="style76"/>
              <w:rPr/>
            </w:pPr>
            <w:r>
              <w:rPr/>
              <w:t>vysporiadanie účtovnej straty</w:t>
            </w:r>
          </w:p>
        </w:tc>
        <w:tc>
          <w:tcPr>
            <w:tcW w:type="dxa" w:w="3014"/>
            <w:tcBorders>
              <w:top w:val="nil"/>
              <w:left w:val="nil"/>
              <w:bottom w:val="nil"/>
              <w:right w:val="nil"/>
            </w:tcBorders>
            <w:shd w:fill="FFFFFF" w:val="clear"/>
            <w:vAlign w:val="center"/>
          </w:tcPr>
          <w:p>
            <w:pPr>
              <w:pStyle w:val="style76"/>
              <w:jc w:val="center"/>
              <w:rPr>
                <w:b/>
                <w:bCs/>
              </w:rPr>
            </w:pPr>
            <w:r>
              <w:rPr>
                <w:b/>
                <w:bCs/>
              </w:rPr>
              <w:t>Bežné účtovné obdobie</w:t>
            </w:r>
          </w:p>
        </w:tc>
      </w:tr>
      <w:tr>
        <w:trPr>
          <w:trHeight w:hRule="atLeast" w:val="300"/>
          <w:cantSplit w:val="false"/>
        </w:trPr>
        <w:tc>
          <w:tcPr>
            <w:tcW w:type="dxa" w:w="4163"/>
            <w:tcBorders>
              <w:top w:val="nil"/>
              <w:left w:val="nil"/>
              <w:bottom w:val="nil"/>
              <w:right w:val="nil"/>
            </w:tcBorders>
            <w:shd w:fill="FFFFFF" w:val="clear"/>
            <w:vAlign w:val="center"/>
          </w:tcPr>
          <w:p>
            <w:pPr>
              <w:pStyle w:val="style76"/>
              <w:rPr/>
            </w:pPr>
            <w:r>
              <w:rPr/>
              <w:t>Prídel do zákonného rezervného fondu</w:t>
            </w:r>
          </w:p>
        </w:tc>
        <w:tc>
          <w:tcPr>
            <w:tcW w:type="dxa" w:w="3014"/>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4163"/>
            <w:tcBorders>
              <w:top w:val="nil"/>
              <w:left w:val="nil"/>
              <w:bottom w:val="nil"/>
              <w:right w:val="nil"/>
            </w:tcBorders>
            <w:shd w:fill="FFFFFF" w:val="clear"/>
            <w:vAlign w:val="center"/>
          </w:tcPr>
          <w:p>
            <w:pPr>
              <w:pStyle w:val="style76"/>
              <w:rPr/>
            </w:pPr>
            <w:r>
              <w:rPr/>
              <w:t>Prídel do štatutárnych a ostatných fondov</w:t>
            </w:r>
          </w:p>
        </w:tc>
        <w:tc>
          <w:tcPr>
            <w:tcW w:type="dxa" w:w="3014"/>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4163"/>
            <w:tcBorders>
              <w:top w:val="nil"/>
              <w:left w:val="nil"/>
              <w:bottom w:val="nil"/>
              <w:right w:val="nil"/>
            </w:tcBorders>
            <w:shd w:fill="FFFFFF" w:val="clear"/>
            <w:vAlign w:val="center"/>
          </w:tcPr>
          <w:p>
            <w:pPr>
              <w:pStyle w:val="style76"/>
              <w:rPr/>
            </w:pPr>
            <w:r>
              <w:rPr/>
              <w:t>Prídel do sociálneho fondu</w:t>
            </w:r>
          </w:p>
        </w:tc>
        <w:tc>
          <w:tcPr>
            <w:tcW w:type="dxa" w:w="3014"/>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4163"/>
            <w:tcBorders>
              <w:top w:val="nil"/>
              <w:left w:val="nil"/>
              <w:bottom w:val="nil"/>
              <w:right w:val="nil"/>
            </w:tcBorders>
            <w:shd w:fill="FFFFFF" w:val="clear"/>
            <w:vAlign w:val="center"/>
          </w:tcPr>
          <w:p>
            <w:pPr>
              <w:pStyle w:val="style76"/>
              <w:rPr/>
            </w:pPr>
            <w:r>
              <w:rPr/>
              <w:t>Prídel na zvýšenie základného imania</w:t>
            </w:r>
          </w:p>
        </w:tc>
        <w:tc>
          <w:tcPr>
            <w:tcW w:type="dxa" w:w="3014"/>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4163"/>
            <w:tcBorders>
              <w:top w:val="nil"/>
              <w:left w:val="nil"/>
              <w:bottom w:val="nil"/>
              <w:right w:val="nil"/>
            </w:tcBorders>
            <w:shd w:fill="FFFFFF" w:val="clear"/>
            <w:vAlign w:val="center"/>
          </w:tcPr>
          <w:p>
            <w:pPr>
              <w:pStyle w:val="style76"/>
              <w:rPr/>
            </w:pPr>
            <w:r>
              <w:rPr/>
              <w:t>Neuhradená strata minulých období</w:t>
            </w:r>
          </w:p>
        </w:tc>
        <w:tc>
          <w:tcPr>
            <w:tcW w:type="dxa" w:w="3014"/>
            <w:tcBorders>
              <w:top w:val="nil"/>
              <w:left w:val="nil"/>
              <w:bottom w:val="nil"/>
              <w:right w:val="nil"/>
            </w:tcBorders>
            <w:shd w:fill="FFFFFF" w:val="clear"/>
            <w:vAlign w:val="center"/>
          </w:tcPr>
          <w:p>
            <w:pPr>
              <w:pStyle w:val="style76"/>
              <w:jc w:val="center"/>
              <w:rPr/>
            </w:pPr>
            <w:r>
              <w:rPr/>
              <w:t>14139 </w:t>
            </w:r>
          </w:p>
        </w:tc>
      </w:tr>
      <w:tr>
        <w:trPr>
          <w:trHeight w:hRule="atLeast" w:val="300"/>
          <w:cantSplit w:val="false"/>
        </w:trPr>
        <w:tc>
          <w:tcPr>
            <w:tcW w:type="dxa" w:w="4163"/>
            <w:tcBorders>
              <w:top w:val="nil"/>
              <w:left w:val="nil"/>
              <w:bottom w:val="nil"/>
              <w:right w:val="nil"/>
            </w:tcBorders>
            <w:shd w:fill="FFFFFF" w:val="clear"/>
            <w:vAlign w:val="center"/>
          </w:tcPr>
          <w:p>
            <w:pPr>
              <w:pStyle w:val="style76"/>
              <w:rPr/>
            </w:pPr>
            <w:r>
              <w:rPr/>
              <w:t>Prevod do nerozdeleného zisku minulých rokov</w:t>
            </w:r>
          </w:p>
        </w:tc>
        <w:tc>
          <w:tcPr>
            <w:tcW w:type="dxa" w:w="3014"/>
            <w:tcBorders>
              <w:top w:val="nil"/>
              <w:left w:val="nil"/>
              <w:bottom w:val="nil"/>
              <w:right w:val="nil"/>
            </w:tcBorders>
            <w:shd w:fill="FFFFFF" w:val="clear"/>
            <w:vAlign w:val="center"/>
          </w:tcPr>
          <w:p>
            <w:pPr>
              <w:pStyle w:val="style76"/>
              <w:rPr/>
            </w:pPr>
            <w:r>
              <w:rPr/>
              <w:t> </w:t>
            </w:r>
          </w:p>
        </w:tc>
      </w:tr>
      <w:tr>
        <w:trPr>
          <w:trHeight w:hRule="atLeast" w:val="300"/>
          <w:cantSplit w:val="false"/>
        </w:trPr>
        <w:tc>
          <w:tcPr>
            <w:tcW w:type="dxa" w:w="4163"/>
            <w:tcBorders>
              <w:top w:val="nil"/>
              <w:left w:val="nil"/>
              <w:bottom w:val="nil"/>
              <w:right w:val="nil"/>
            </w:tcBorders>
            <w:shd w:fill="FFFFFF" w:val="clear"/>
            <w:vAlign w:val="center"/>
          </w:tcPr>
          <w:p>
            <w:pPr>
              <w:pStyle w:val="style76"/>
              <w:rPr/>
            </w:pPr>
            <w:r>
              <w:rPr/>
              <w:t>Rozdelenie podielu na zisku spoločníkom</w:t>
            </w:r>
          </w:p>
        </w:tc>
        <w:tc>
          <w:tcPr>
            <w:tcW w:type="dxa" w:w="3014"/>
            <w:tcBorders>
              <w:top w:val="nil"/>
              <w:left w:val="nil"/>
              <w:bottom w:val="nil"/>
              <w:right w:val="nil"/>
            </w:tcBorders>
            <w:shd w:fill="FFFFFF" w:val="clear"/>
            <w:vAlign w:val="center"/>
          </w:tcPr>
          <w:p>
            <w:pPr>
              <w:pStyle w:val="style76"/>
              <w:rPr/>
            </w:pPr>
            <w:r>
              <w:rPr/>
              <w:t> </w:t>
            </w:r>
          </w:p>
        </w:tc>
      </w:tr>
      <w:tr>
        <w:trPr>
          <w:trHeight w:hRule="atLeast" w:val="315"/>
          <w:cantSplit w:val="false"/>
        </w:trPr>
        <w:tc>
          <w:tcPr>
            <w:tcW w:type="dxa" w:w="4163"/>
            <w:tcBorders>
              <w:top w:val="nil"/>
              <w:left w:val="nil"/>
              <w:bottom w:val="nil"/>
              <w:right w:val="nil"/>
            </w:tcBorders>
            <w:shd w:fill="FFFFFF" w:val="clear"/>
            <w:vAlign w:val="center"/>
          </w:tcPr>
          <w:p>
            <w:pPr>
              <w:pStyle w:val="style76"/>
              <w:rPr/>
            </w:pPr>
            <w:r>
              <w:rPr/>
              <w:t>Daňová licencia</w:t>
            </w:r>
          </w:p>
        </w:tc>
        <w:tc>
          <w:tcPr>
            <w:tcW w:type="dxa" w:w="3014"/>
            <w:tcBorders>
              <w:top w:val="nil"/>
              <w:left w:val="nil"/>
              <w:bottom w:val="nil"/>
              <w:right w:val="nil"/>
            </w:tcBorders>
            <w:shd w:fill="FFFFFF" w:val="clear"/>
            <w:vAlign w:val="center"/>
          </w:tcPr>
          <w:p>
            <w:pPr>
              <w:pStyle w:val="style76"/>
              <w:jc w:val="center"/>
              <w:rPr/>
            </w:pPr>
            <w:r>
              <w:rPr/>
              <w:t>0</w:t>
            </w:r>
          </w:p>
        </w:tc>
      </w:tr>
      <w:tr>
        <w:trPr>
          <w:trHeight w:hRule="atLeast" w:val="315"/>
          <w:cantSplit w:val="false"/>
        </w:trPr>
        <w:tc>
          <w:tcPr>
            <w:tcW w:type="dxa" w:w="4163"/>
            <w:tcBorders>
              <w:top w:val="nil"/>
              <w:left w:val="nil"/>
              <w:bottom w:val="nil"/>
              <w:right w:val="nil"/>
            </w:tcBorders>
            <w:shd w:fill="FFFFFF" w:val="clear"/>
            <w:vAlign w:val="center"/>
          </w:tcPr>
          <w:p>
            <w:pPr>
              <w:pStyle w:val="style76"/>
              <w:rPr>
                <w:b/>
                <w:bCs/>
              </w:rPr>
            </w:pPr>
            <w:r>
              <w:rPr>
                <w:b/>
                <w:bCs/>
              </w:rPr>
              <w:t>Spolu:</w:t>
            </w:r>
          </w:p>
        </w:tc>
        <w:tc>
          <w:tcPr>
            <w:tcW w:type="dxa" w:w="3014"/>
            <w:tcBorders>
              <w:top w:val="nil"/>
              <w:left w:val="nil"/>
              <w:bottom w:val="nil"/>
              <w:right w:val="nil"/>
            </w:tcBorders>
            <w:shd w:fill="FFFFFF" w:val="clear"/>
            <w:vAlign w:val="center"/>
          </w:tcPr>
          <w:p>
            <w:pPr>
              <w:pStyle w:val="style76"/>
              <w:jc w:val="center"/>
              <w:rPr/>
            </w:pPr>
            <w:r>
              <w:rPr/>
              <w:t>0</w:t>
            </w:r>
          </w:p>
        </w:tc>
      </w:tr>
    </w:tbl>
    <w:p>
      <w:pPr>
        <w:pStyle w:val="style61"/>
        <w:rPr>
          <w:b w:val="false"/>
          <w:bCs w:val="false"/>
          <w:sz w:val="18"/>
          <w:szCs w:val="18"/>
        </w:rPr>
      </w:pPr>
      <w:r>
        <w:rPr>
          <w:b w:val="false"/>
          <w:bCs w:val="false"/>
          <w:sz w:val="18"/>
          <w:szCs w:val="18"/>
        </w:rPr>
      </w:r>
    </w:p>
    <w:p>
      <w:pPr>
        <w:pStyle w:val="style61"/>
        <w:rPr/>
      </w:pPr>
      <w:r>
        <w:rPr/>
      </w:r>
    </w:p>
    <w:p>
      <w:pPr>
        <w:pStyle w:val="style61"/>
        <w:rPr>
          <w:b w:val="false"/>
          <w:bCs w:val="false"/>
          <w:sz w:val="21"/>
          <w:szCs w:val="21"/>
        </w:rPr>
      </w:pPr>
      <w:r>
        <w:rPr>
          <w:b w:val="false"/>
          <w:bCs w:val="false"/>
          <w:sz w:val="21"/>
          <w:szCs w:val="21"/>
        </w:rPr>
      </w:r>
    </w:p>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r>
    </w:p>
    <w:p>
      <w:pPr>
        <w:pStyle w:val="style61"/>
        <w:rPr>
          <w:b w:val="false"/>
          <w:bCs w:val="false"/>
          <w:sz w:val="18"/>
          <w:szCs w:val="18"/>
        </w:rPr>
      </w:pPr>
      <w:r>
        <w:rPr>
          <w:b w:val="false"/>
          <w:bCs w:val="false"/>
          <w:sz w:val="18"/>
          <w:szCs w:val="18"/>
        </w:rPr>
      </w:r>
    </w:p>
    <w:p>
      <w:pPr>
        <w:pStyle w:val="style61"/>
        <w:rPr>
          <w:b/>
          <w:bCs/>
          <w:sz w:val="18"/>
          <w:szCs w:val="18"/>
        </w:rPr>
      </w:pPr>
      <w:r>
        <w:rPr>
          <w:b/>
          <w:bCs/>
          <w:sz w:val="18"/>
          <w:szCs w:val="18"/>
        </w:rPr>
        <w:t>5.  Informácie o rezervách</w:t>
      </w:r>
    </w:p>
    <w:p>
      <w:pPr>
        <w:pStyle w:val="style61"/>
        <w:rPr>
          <w:b w:val="false"/>
          <w:bCs w:val="false"/>
          <w:sz w:val="18"/>
          <w:szCs w:val="18"/>
        </w:rPr>
      </w:pPr>
      <w:r>
        <w:rPr>
          <w:b w:val="false"/>
          <w:bCs w:val="false"/>
          <w:sz w:val="18"/>
          <w:szCs w:val="18"/>
        </w:rPr>
        <w:t>Spoločnosť v bežnom účtovnom období nemala povinnosť tvoriť rezervy.</w:t>
      </w:r>
    </w:p>
    <w:p>
      <w:pPr>
        <w:pStyle w:val="style61"/>
        <w:rPr>
          <w:b w:val="false"/>
          <w:bCs w:val="false"/>
          <w:sz w:val="18"/>
          <w:szCs w:val="18"/>
        </w:rPr>
      </w:pPr>
      <w:r>
        <w:rPr>
          <w:b w:val="false"/>
          <w:bCs w:val="false"/>
          <w:sz w:val="18"/>
          <w:szCs w:val="18"/>
        </w:rPr>
      </w:r>
    </w:p>
    <w:p>
      <w:pPr>
        <w:pStyle w:val="style61"/>
        <w:rPr>
          <w:b/>
          <w:bCs/>
          <w:sz w:val="18"/>
          <w:szCs w:val="18"/>
        </w:rPr>
      </w:pPr>
      <w:r>
        <w:rPr>
          <w:b/>
          <w:bCs/>
          <w:sz w:val="18"/>
          <w:szCs w:val="18"/>
        </w:rPr>
        <w:t>6.  Informácie o záväzkoch</w:t>
      </w:r>
    </w:p>
    <w:p>
      <w:pPr>
        <w:pStyle w:val="style61"/>
        <w:rPr>
          <w:b w:val="false"/>
          <w:bCs w:val="false"/>
          <w:sz w:val="18"/>
          <w:szCs w:val="18"/>
        </w:rPr>
      </w:pPr>
      <w:r>
        <w:rPr>
          <w:b w:val="false"/>
          <w:bCs w:val="false"/>
          <w:sz w:val="18"/>
          <w:szCs w:val="18"/>
        </w:rPr>
      </w:r>
    </w:p>
    <w:tbl>
      <w:tblPr>
        <w:jc w:val="left"/>
        <w:tblInd w:type="dxa" w:w="7"/>
        <w:tblBorders>
          <w:top w:val="nil"/>
          <w:left w:val="nil"/>
          <w:bottom w:val="nil"/>
          <w:insideH w:val="nil"/>
          <w:right w:val="nil"/>
          <w:insideV w:val="nil"/>
        </w:tblBorders>
        <w:tblCellMar>
          <w:top w:type="dxa" w:w="0"/>
          <w:left w:type="dxa" w:w="0"/>
          <w:bottom w:type="dxa" w:w="0"/>
          <w:right w:type="dxa" w:w="0"/>
        </w:tblCellMar>
      </w:tblPr>
      <w:tblGrid>
        <w:gridCol w:w="2897"/>
        <w:gridCol w:w="2484"/>
        <w:gridCol w:w="2495"/>
      </w:tblGrid>
      <w:tr>
        <w:trPr>
          <w:trHeight w:hRule="atLeast" w:val="300"/>
          <w:cantSplit w:val="false"/>
        </w:trPr>
        <w:tc>
          <w:tcPr>
            <w:tcW w:type="dxa" w:w="2897"/>
            <w:tcBorders>
              <w:top w:val="nil"/>
              <w:left w:val="nil"/>
              <w:bottom w:val="nil"/>
              <w:right w:val="nil"/>
            </w:tcBorders>
            <w:shd w:fill="FFFFFF" w:val="clear"/>
            <w:vAlign w:val="center"/>
          </w:tcPr>
          <w:p>
            <w:pPr>
              <w:pStyle w:val="style76"/>
              <w:rPr>
                <w:b/>
                <w:bCs/>
              </w:rPr>
            </w:pPr>
            <w:r>
              <w:rPr>
                <w:b/>
                <w:bCs/>
              </w:rPr>
              <w:t>Názov položky</w:t>
            </w:r>
          </w:p>
        </w:tc>
        <w:tc>
          <w:tcPr>
            <w:tcW w:type="dxa" w:w="2484"/>
            <w:tcBorders>
              <w:top w:val="nil"/>
              <w:left w:val="nil"/>
              <w:bottom w:val="nil"/>
              <w:right w:val="nil"/>
            </w:tcBorders>
            <w:shd w:fill="FFFFFF" w:val="clear"/>
            <w:vAlign w:val="center"/>
          </w:tcPr>
          <w:p>
            <w:pPr>
              <w:pStyle w:val="style76"/>
              <w:jc w:val="center"/>
              <w:rPr>
                <w:b/>
                <w:bCs/>
              </w:rPr>
            </w:pPr>
            <w:r>
              <w:rPr>
                <w:b/>
                <w:bCs/>
              </w:rPr>
              <w:t>Bežné účtovné obdobie</w:t>
            </w:r>
          </w:p>
        </w:tc>
        <w:tc>
          <w:tcPr>
            <w:tcW w:type="dxa" w:w="2495"/>
            <w:tcBorders>
              <w:top w:val="nil"/>
              <w:left w:val="nil"/>
              <w:bottom w:val="nil"/>
              <w:right w:val="nil"/>
            </w:tcBorders>
            <w:shd w:fill="FFFFFF" w:val="clear"/>
            <w:vAlign w:val="center"/>
          </w:tcPr>
          <w:p>
            <w:pPr>
              <w:pStyle w:val="style76"/>
              <w:jc w:val="center"/>
              <w:rPr>
                <w:b/>
                <w:bCs/>
              </w:rPr>
            </w:pPr>
            <w:r>
              <w:rPr>
                <w:b/>
                <w:bCs/>
              </w:rPr>
              <w:t>Bezprostredne predchádzajúce</w:t>
            </w:r>
          </w:p>
        </w:tc>
      </w:tr>
      <w:tr>
        <w:trPr>
          <w:trHeight w:hRule="atLeast" w:val="315"/>
          <w:cantSplit w:val="false"/>
        </w:trPr>
        <w:tc>
          <w:tcPr>
            <w:tcW w:type="dxa" w:w="2897"/>
            <w:tcBorders>
              <w:top w:val="nil"/>
              <w:left w:val="nil"/>
              <w:bottom w:val="nil"/>
              <w:right w:val="nil"/>
            </w:tcBorders>
            <w:shd w:fill="FFFFFF" w:val="clear"/>
            <w:vAlign w:val="center"/>
          </w:tcPr>
          <w:p>
            <w:pPr>
              <w:pStyle w:val="style76"/>
              <w:rPr/>
            </w:pPr>
            <w:r>
              <w:rPr/>
              <w:t> </w:t>
            </w:r>
          </w:p>
        </w:tc>
        <w:tc>
          <w:tcPr>
            <w:tcW w:type="dxa" w:w="2484"/>
            <w:tcBorders>
              <w:top w:val="nil"/>
              <w:left w:val="nil"/>
              <w:bottom w:val="nil"/>
              <w:right w:val="nil"/>
            </w:tcBorders>
            <w:shd w:fill="FFFFFF" w:val="clear"/>
            <w:vAlign w:val="center"/>
          </w:tcPr>
          <w:p>
            <w:pPr>
              <w:pStyle w:val="style76"/>
              <w:jc w:val="center"/>
              <w:rPr>
                <w:b/>
                <w:bCs/>
              </w:rPr>
            </w:pPr>
            <w:r>
              <w:rPr>
                <w:b/>
                <w:bCs/>
              </w:rPr>
              <w:t>účtovné obdobie</w:t>
            </w:r>
          </w:p>
        </w:tc>
        <w:tc>
          <w:tcPr>
            <w:tcW w:type="dxa" w:w="2495"/>
            <w:tcBorders>
              <w:top w:val="nil"/>
              <w:left w:val="nil"/>
              <w:bottom w:val="nil"/>
              <w:right w:val="nil"/>
            </w:tcBorders>
            <w:shd w:fill="FFFFFF" w:val="clear"/>
            <w:vAlign w:val="center"/>
          </w:tcPr>
          <w:p>
            <w:pPr>
              <w:pStyle w:val="style76"/>
              <w:jc w:val="center"/>
              <w:rPr>
                <w:b/>
                <w:bCs/>
              </w:rPr>
            </w:pPr>
            <w:r>
              <w:rPr>
                <w:b/>
                <w:bCs/>
              </w:rPr>
              <w:t>účtovné obdobie</w:t>
            </w:r>
          </w:p>
        </w:tc>
      </w:tr>
      <w:tr>
        <w:trPr>
          <w:trHeight w:hRule="atLeast" w:val="300"/>
          <w:cantSplit w:val="false"/>
        </w:trPr>
        <w:tc>
          <w:tcPr>
            <w:tcW w:type="dxa" w:w="2897"/>
            <w:tcBorders>
              <w:top w:val="nil"/>
              <w:left w:val="nil"/>
              <w:bottom w:val="nil"/>
              <w:right w:val="nil"/>
            </w:tcBorders>
            <w:shd w:fill="FFFFFF" w:val="clear"/>
            <w:vAlign w:val="center"/>
          </w:tcPr>
          <w:p>
            <w:pPr>
              <w:pStyle w:val="style76"/>
              <w:rPr/>
            </w:pPr>
            <w:r>
              <w:rPr/>
              <w:t>Záväzky z obchodného styku</w:t>
            </w:r>
          </w:p>
        </w:tc>
        <w:tc>
          <w:tcPr>
            <w:tcW w:type="dxa" w:w="2484"/>
            <w:tcBorders>
              <w:top w:val="nil"/>
              <w:left w:val="nil"/>
              <w:bottom w:val="nil"/>
              <w:right w:val="nil"/>
            </w:tcBorders>
            <w:shd w:fill="FFFFFF" w:val="clear"/>
            <w:vAlign w:val="center"/>
          </w:tcPr>
          <w:p>
            <w:pPr>
              <w:pStyle w:val="style76"/>
              <w:rPr/>
            </w:pPr>
            <w:r>
              <w:rPr/>
              <w:t xml:space="preserve">                   </w:t>
            </w:r>
            <w:r>
              <w:rPr/>
              <w:t>136</w:t>
            </w:r>
          </w:p>
        </w:tc>
        <w:tc>
          <w:tcPr>
            <w:tcW w:type="dxa" w:w="2495"/>
            <w:tcBorders>
              <w:top w:val="nil"/>
              <w:left w:val="nil"/>
              <w:bottom w:val="nil"/>
              <w:right w:val="nil"/>
            </w:tcBorders>
            <w:shd w:fill="FFFFFF" w:val="clear"/>
            <w:vAlign w:val="center"/>
          </w:tcPr>
          <w:p>
            <w:pPr>
              <w:pStyle w:val="style76"/>
              <w:rPr/>
            </w:pPr>
            <w:r>
              <w:rPr/>
              <w:t xml:space="preserve">                  </w:t>
            </w:r>
            <w:r>
              <w:rPr/>
              <w:t>679</w:t>
            </w:r>
          </w:p>
        </w:tc>
      </w:tr>
      <w:tr>
        <w:trPr>
          <w:trHeight w:hRule="atLeast" w:val="300"/>
          <w:cantSplit w:val="false"/>
        </w:trPr>
        <w:tc>
          <w:tcPr>
            <w:tcW w:type="dxa" w:w="2897"/>
            <w:tcBorders>
              <w:top w:val="nil"/>
              <w:left w:val="nil"/>
              <w:bottom w:val="nil"/>
              <w:right w:val="nil"/>
            </w:tcBorders>
            <w:shd w:fill="FFFFFF" w:val="clear"/>
            <w:vAlign w:val="center"/>
          </w:tcPr>
          <w:p>
            <w:pPr>
              <w:pStyle w:val="style76"/>
              <w:rPr/>
            </w:pPr>
            <w:r>
              <w:rPr/>
              <w:t>Záväzky voči daňovému úradu</w:t>
            </w:r>
          </w:p>
        </w:tc>
        <w:tc>
          <w:tcPr>
            <w:tcW w:type="dxa" w:w="2484"/>
            <w:tcBorders>
              <w:top w:val="nil"/>
              <w:left w:val="nil"/>
              <w:bottom w:val="nil"/>
              <w:right w:val="nil"/>
            </w:tcBorders>
            <w:shd w:fill="FFFFFF" w:val="clear"/>
            <w:vAlign w:val="center"/>
          </w:tcPr>
          <w:p>
            <w:pPr>
              <w:pStyle w:val="style76"/>
              <w:rPr>
                <w:sz w:val="16"/>
                <w:szCs w:val="16"/>
              </w:rPr>
            </w:pPr>
            <w:r>
              <w:rPr/>
              <w:t xml:space="preserve">              </w:t>
            </w:r>
            <w:r>
              <w:rPr>
                <w:sz w:val="16"/>
                <w:szCs w:val="16"/>
              </w:rPr>
              <w:t xml:space="preserve">     </w:t>
            </w:r>
            <w:r>
              <w:rPr>
                <w:sz w:val="16"/>
                <w:szCs w:val="16"/>
              </w:rPr>
              <w:t>1394</w:t>
            </w:r>
          </w:p>
        </w:tc>
        <w:tc>
          <w:tcPr>
            <w:tcW w:type="dxa" w:w="2495"/>
            <w:tcBorders>
              <w:top w:val="nil"/>
              <w:left w:val="nil"/>
              <w:bottom w:val="nil"/>
              <w:right w:val="nil"/>
            </w:tcBorders>
            <w:shd w:fill="FFFFFF" w:val="clear"/>
            <w:vAlign w:val="center"/>
          </w:tcPr>
          <w:p>
            <w:pPr>
              <w:pStyle w:val="style76"/>
              <w:jc w:val="center"/>
              <w:rPr/>
            </w:pPr>
            <w:r>
              <w:rPr/>
              <w:t xml:space="preserve"> </w:t>
            </w:r>
            <w:r>
              <w:rPr/>
              <w:t>1493</w:t>
            </w:r>
          </w:p>
        </w:tc>
      </w:tr>
      <w:tr>
        <w:trPr>
          <w:trHeight w:hRule="atLeast" w:val="315"/>
          <w:cantSplit w:val="false"/>
        </w:trPr>
        <w:tc>
          <w:tcPr>
            <w:tcW w:type="dxa" w:w="2897"/>
            <w:tcBorders>
              <w:top w:val="nil"/>
              <w:left w:val="nil"/>
              <w:bottom w:val="nil"/>
              <w:right w:val="nil"/>
            </w:tcBorders>
            <w:shd w:fill="FFFFFF" w:val="clear"/>
            <w:vAlign w:val="center"/>
          </w:tcPr>
          <w:p>
            <w:pPr>
              <w:pStyle w:val="style76"/>
              <w:rPr/>
            </w:pPr>
            <w:r>
              <w:rPr/>
              <w:t>né záväzky</w:t>
            </w:r>
          </w:p>
        </w:tc>
        <w:tc>
          <w:tcPr>
            <w:tcW w:type="dxa" w:w="2484"/>
            <w:tcBorders>
              <w:top w:val="nil"/>
              <w:left w:val="nil"/>
              <w:bottom w:val="nil"/>
              <w:right w:val="nil"/>
            </w:tcBorders>
            <w:shd w:fill="FFFFFF" w:val="clear"/>
            <w:vAlign w:val="center"/>
          </w:tcPr>
          <w:p>
            <w:pPr>
              <w:pStyle w:val="style76"/>
              <w:jc w:val="center"/>
              <w:rPr/>
            </w:pPr>
            <w:r>
              <w:rPr/>
              <w:t xml:space="preserve">    </w:t>
            </w:r>
            <w:r>
              <w:rPr/>
              <w:t>1114</w:t>
            </w:r>
          </w:p>
        </w:tc>
        <w:tc>
          <w:tcPr>
            <w:tcW w:type="dxa" w:w="2495"/>
            <w:tcBorders>
              <w:top w:val="nil"/>
              <w:left w:val="nil"/>
              <w:bottom w:val="nil"/>
              <w:right w:val="nil"/>
            </w:tcBorders>
            <w:shd w:fill="FFFFFF" w:val="clear"/>
            <w:vAlign w:val="center"/>
          </w:tcPr>
          <w:p>
            <w:pPr>
              <w:pStyle w:val="style76"/>
              <w:jc w:val="center"/>
              <w:rPr/>
            </w:pPr>
            <w:r>
              <w:rPr/>
              <w:t>929</w:t>
            </w:r>
          </w:p>
        </w:tc>
      </w:tr>
      <w:tr>
        <w:trPr>
          <w:trHeight w:hRule="atLeast" w:val="315"/>
          <w:cantSplit w:val="false"/>
        </w:trPr>
        <w:tc>
          <w:tcPr>
            <w:tcW w:type="dxa" w:w="2897"/>
            <w:tcBorders>
              <w:top w:val="nil"/>
              <w:left w:val="nil"/>
              <w:bottom w:val="nil"/>
              <w:right w:val="nil"/>
            </w:tcBorders>
            <w:shd w:fill="FFFFFF" w:val="clear"/>
            <w:vAlign w:val="center"/>
          </w:tcPr>
          <w:p>
            <w:pPr>
              <w:pStyle w:val="style76"/>
              <w:rPr>
                <w:b/>
                <w:bCs/>
              </w:rPr>
            </w:pPr>
            <w:r>
              <w:rPr>
                <w:b/>
                <w:bCs/>
              </w:rPr>
              <w:t>Krátkodobé záväzky spolu:</w:t>
            </w:r>
          </w:p>
        </w:tc>
        <w:tc>
          <w:tcPr>
            <w:tcW w:type="dxa" w:w="2484"/>
            <w:tcBorders>
              <w:top w:val="nil"/>
              <w:left w:val="nil"/>
              <w:bottom w:val="nil"/>
              <w:right w:val="nil"/>
            </w:tcBorders>
            <w:shd w:fill="FFFFFF" w:val="clear"/>
            <w:vAlign w:val="center"/>
          </w:tcPr>
          <w:p>
            <w:pPr>
              <w:pStyle w:val="style76"/>
              <w:rPr>
                <w:b/>
                <w:bCs/>
                <w:sz w:val="16"/>
                <w:szCs w:val="16"/>
              </w:rPr>
            </w:pPr>
            <w:r>
              <w:rPr>
                <w:b/>
                <w:bCs/>
                <w:sz w:val="16"/>
                <w:szCs w:val="16"/>
              </w:rPr>
              <w:t xml:space="preserve">                   </w:t>
            </w:r>
            <w:r>
              <w:rPr>
                <w:b/>
                <w:bCs/>
                <w:sz w:val="16"/>
                <w:szCs w:val="16"/>
              </w:rPr>
              <w:t>2644</w:t>
            </w:r>
          </w:p>
        </w:tc>
        <w:tc>
          <w:tcPr>
            <w:tcW w:type="dxa" w:w="2495"/>
            <w:tcBorders>
              <w:top w:val="nil"/>
              <w:left w:val="nil"/>
              <w:bottom w:val="nil"/>
              <w:right w:val="nil"/>
            </w:tcBorders>
            <w:shd w:fill="FFFFFF" w:val="clear"/>
            <w:vAlign w:val="center"/>
          </w:tcPr>
          <w:p>
            <w:pPr>
              <w:pStyle w:val="style76"/>
              <w:jc w:val="center"/>
              <w:rPr>
                <w:b/>
                <w:bCs/>
                <w:sz w:val="16"/>
                <w:szCs w:val="16"/>
              </w:rPr>
            </w:pPr>
            <w:r>
              <w:rPr>
                <w:b/>
                <w:bCs/>
                <w:sz w:val="16"/>
                <w:szCs w:val="16"/>
              </w:rPr>
              <w:t>3101</w:t>
            </w:r>
          </w:p>
        </w:tc>
      </w:tr>
      <w:tr>
        <w:trPr>
          <w:trHeight w:hRule="atLeast" w:val="300"/>
          <w:cantSplit w:val="false"/>
        </w:trPr>
        <w:tc>
          <w:tcPr>
            <w:tcW w:type="dxa" w:w="2897"/>
            <w:tcBorders>
              <w:top w:val="nil"/>
              <w:left w:val="nil"/>
              <w:bottom w:val="nil"/>
              <w:right w:val="nil"/>
            </w:tcBorders>
            <w:shd w:fill="FFFFFF" w:val="clear"/>
            <w:vAlign w:val="center"/>
          </w:tcPr>
          <w:p>
            <w:pPr>
              <w:pStyle w:val="style76"/>
              <w:rPr/>
            </w:pPr>
            <w:r>
              <w:rPr/>
              <w:t>Záväzky s dobou splatnosti 1-5</w:t>
            </w:r>
          </w:p>
        </w:tc>
        <w:tc>
          <w:tcPr>
            <w:tcW w:type="dxa" w:w="2484"/>
            <w:tcBorders>
              <w:top w:val="nil"/>
              <w:left w:val="nil"/>
              <w:bottom w:val="nil"/>
              <w:right w:val="nil"/>
            </w:tcBorders>
            <w:shd w:fill="FFFFFF" w:val="clear"/>
            <w:vAlign w:val="center"/>
          </w:tcPr>
          <w:p>
            <w:pPr>
              <w:pStyle w:val="style76"/>
              <w:rPr/>
            </w:pPr>
            <w:r>
              <w:rPr/>
            </w:r>
          </w:p>
        </w:tc>
        <w:tc>
          <w:tcPr>
            <w:tcW w:type="dxa" w:w="2495"/>
            <w:tcBorders>
              <w:top w:val="nil"/>
              <w:left w:val="nil"/>
              <w:bottom w:val="nil"/>
              <w:right w:val="nil"/>
            </w:tcBorders>
            <w:shd w:fill="FFFFFF" w:val="clear"/>
            <w:vAlign w:val="center"/>
          </w:tcPr>
          <w:p>
            <w:pPr>
              <w:pStyle w:val="style76"/>
              <w:jc w:val="center"/>
              <w:rPr/>
            </w:pPr>
            <w:r>
              <w:rPr/>
            </w:r>
          </w:p>
        </w:tc>
      </w:tr>
      <w:tr>
        <w:trPr>
          <w:trHeight w:hRule="atLeast" w:val="315"/>
          <w:cantSplit w:val="false"/>
        </w:trPr>
        <w:tc>
          <w:tcPr>
            <w:tcW w:type="dxa" w:w="2897"/>
            <w:tcBorders>
              <w:top w:val="nil"/>
              <w:left w:val="nil"/>
              <w:bottom w:val="nil"/>
              <w:right w:val="nil"/>
            </w:tcBorders>
            <w:shd w:fill="FFFFFF" w:val="clear"/>
            <w:vAlign w:val="center"/>
          </w:tcPr>
          <w:p>
            <w:pPr>
              <w:pStyle w:val="style76"/>
              <w:rPr/>
            </w:pPr>
            <w:r>
              <w:rPr/>
              <w:t>Záväzky s dobou splatnosti nad 5</w:t>
            </w:r>
          </w:p>
        </w:tc>
        <w:tc>
          <w:tcPr>
            <w:tcW w:type="dxa" w:w="2484"/>
            <w:tcBorders>
              <w:top w:val="nil"/>
              <w:left w:val="nil"/>
              <w:bottom w:val="nil"/>
              <w:right w:val="nil"/>
            </w:tcBorders>
            <w:shd w:fill="FFFFFF" w:val="clear"/>
            <w:vAlign w:val="center"/>
          </w:tcPr>
          <w:p>
            <w:pPr>
              <w:pStyle w:val="style76"/>
              <w:rPr/>
            </w:pPr>
            <w:r>
              <w:rPr/>
            </w:r>
          </w:p>
        </w:tc>
        <w:tc>
          <w:tcPr>
            <w:tcW w:type="dxa" w:w="2495"/>
            <w:tcBorders>
              <w:top w:val="nil"/>
              <w:left w:val="nil"/>
              <w:bottom w:val="nil"/>
              <w:right w:val="nil"/>
            </w:tcBorders>
            <w:shd w:fill="FFFFFF" w:val="clear"/>
            <w:vAlign w:val="center"/>
          </w:tcPr>
          <w:p>
            <w:pPr>
              <w:pStyle w:val="style76"/>
              <w:jc w:val="center"/>
              <w:rPr/>
            </w:pPr>
            <w:r>
              <w:rPr/>
            </w:r>
          </w:p>
        </w:tc>
      </w:tr>
      <w:tr>
        <w:trPr>
          <w:trHeight w:hRule="atLeast" w:val="315"/>
          <w:cantSplit w:val="false"/>
        </w:trPr>
        <w:tc>
          <w:tcPr>
            <w:tcW w:type="dxa" w:w="2897"/>
            <w:tcBorders>
              <w:top w:val="nil"/>
              <w:left w:val="nil"/>
              <w:bottom w:val="nil"/>
              <w:right w:val="nil"/>
            </w:tcBorders>
            <w:shd w:fill="FFFFFF" w:val="clear"/>
            <w:vAlign w:val="center"/>
          </w:tcPr>
          <w:p>
            <w:pPr>
              <w:pStyle w:val="style76"/>
              <w:rPr>
                <w:b/>
                <w:bCs/>
              </w:rPr>
            </w:pPr>
            <w:r>
              <w:rPr>
                <w:b/>
                <w:bCs/>
              </w:rPr>
              <w:t>Záväzky spolu:</w:t>
            </w:r>
          </w:p>
        </w:tc>
        <w:tc>
          <w:tcPr>
            <w:tcW w:type="dxa" w:w="2484"/>
            <w:tcBorders>
              <w:top w:val="nil"/>
              <w:left w:val="nil"/>
              <w:bottom w:val="nil"/>
              <w:right w:val="nil"/>
            </w:tcBorders>
            <w:shd w:fill="FFFFFF" w:val="clear"/>
            <w:vAlign w:val="center"/>
          </w:tcPr>
          <w:p>
            <w:pPr>
              <w:pStyle w:val="style76"/>
              <w:jc w:val="center"/>
              <w:rPr>
                <w:b/>
                <w:bCs/>
                <w:sz w:val="16"/>
                <w:szCs w:val="16"/>
              </w:rPr>
            </w:pPr>
            <w:r>
              <w:rPr>
                <w:b/>
                <w:bCs/>
                <w:sz w:val="16"/>
                <w:szCs w:val="16"/>
              </w:rPr>
              <w:t xml:space="preserve">   </w:t>
            </w:r>
            <w:r>
              <w:rPr>
                <w:b/>
                <w:bCs/>
                <w:sz w:val="16"/>
                <w:szCs w:val="16"/>
              </w:rPr>
              <w:t xml:space="preserve">2644                                                           </w:t>
            </w:r>
          </w:p>
        </w:tc>
        <w:tc>
          <w:tcPr>
            <w:tcW w:type="dxa" w:w="2495"/>
            <w:tcBorders>
              <w:top w:val="nil"/>
              <w:left w:val="nil"/>
              <w:bottom w:val="nil"/>
              <w:right w:val="nil"/>
            </w:tcBorders>
            <w:shd w:fill="FFFFFF" w:val="clear"/>
            <w:vAlign w:val="center"/>
          </w:tcPr>
          <w:p>
            <w:pPr>
              <w:pStyle w:val="style76"/>
              <w:jc w:val="center"/>
              <w:rPr>
                <w:b/>
                <w:bCs/>
                <w:sz w:val="16"/>
                <w:szCs w:val="16"/>
              </w:rPr>
            </w:pPr>
            <w:r>
              <w:rPr>
                <w:b/>
                <w:bCs/>
                <w:sz w:val="16"/>
                <w:szCs w:val="16"/>
              </w:rPr>
              <w:t>3101</w:t>
            </w:r>
          </w:p>
        </w:tc>
      </w:tr>
    </w:tbl>
    <w:p>
      <w:pPr>
        <w:pStyle w:val="style61"/>
        <w:rPr>
          <w:b w:val="false"/>
          <w:bCs w:val="false"/>
          <w:sz w:val="18"/>
          <w:szCs w:val="18"/>
        </w:rPr>
      </w:pPr>
      <w:r>
        <w:rPr>
          <w:b w:val="false"/>
          <w:bCs w:val="false"/>
          <w:sz w:val="18"/>
          <w:szCs w:val="18"/>
        </w:rPr>
      </w:r>
    </w:p>
    <w:p>
      <w:pPr>
        <w:pStyle w:val="style61"/>
        <w:rPr>
          <w:b w:val="false"/>
          <w:bCs w:val="false"/>
          <w:sz w:val="16"/>
          <w:szCs w:val="16"/>
        </w:rPr>
      </w:pPr>
      <w:r>
        <w:rPr>
          <w:b w:val="false"/>
          <w:bCs w:val="false"/>
          <w:sz w:val="16"/>
          <w:szCs w:val="16"/>
        </w:rPr>
        <w:t>Spoločnosť vykazuje za hodnotiace obdobie iba krátkodobé záväzky v lehote splatnosti</w:t>
      </w:r>
    </w:p>
    <w:p>
      <w:pPr>
        <w:pStyle w:val="style61"/>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902"/>
        <w:gridCol w:w="2486"/>
        <w:gridCol w:w="2501"/>
      </w:tblGrid>
      <w:tr>
        <w:trPr>
          <w:trHeight w:hRule="atLeast" w:val="300"/>
          <w:cantSplit w:val="false"/>
        </w:trPr>
        <w:tc>
          <w:tcPr>
            <w:tcW w:type="dxa" w:w="2902"/>
            <w:tcBorders>
              <w:top w:val="nil"/>
              <w:left w:val="nil"/>
              <w:bottom w:val="nil"/>
              <w:right w:val="nil"/>
            </w:tcBorders>
            <w:shd w:fill="FFFFFF" w:val="clear"/>
            <w:vAlign w:val="center"/>
          </w:tcPr>
          <w:p>
            <w:pPr>
              <w:pStyle w:val="style76"/>
              <w:rPr>
                <w:b/>
                <w:bCs/>
                <w:sz w:val="16"/>
                <w:szCs w:val="16"/>
              </w:rPr>
            </w:pPr>
            <w:r>
              <w:rPr>
                <w:b/>
                <w:bCs/>
                <w:sz w:val="16"/>
                <w:szCs w:val="16"/>
              </w:rPr>
              <w:t>Názov položky</w:t>
            </w:r>
          </w:p>
        </w:tc>
        <w:tc>
          <w:tcPr>
            <w:tcW w:type="dxa" w:w="2486"/>
            <w:tcBorders>
              <w:top w:val="nil"/>
              <w:left w:val="nil"/>
              <w:bottom w:val="nil"/>
              <w:right w:val="nil"/>
            </w:tcBorders>
            <w:shd w:fill="FFFFFF" w:val="clear"/>
            <w:vAlign w:val="center"/>
          </w:tcPr>
          <w:p>
            <w:pPr>
              <w:pStyle w:val="style76"/>
              <w:jc w:val="center"/>
              <w:rPr>
                <w:b/>
                <w:bCs/>
                <w:sz w:val="16"/>
                <w:szCs w:val="16"/>
              </w:rPr>
            </w:pPr>
            <w:r>
              <w:rPr>
                <w:b/>
                <w:bCs/>
                <w:sz w:val="16"/>
                <w:szCs w:val="16"/>
              </w:rPr>
              <w:t>Bežné účtovné obdobie</w:t>
            </w:r>
          </w:p>
        </w:tc>
        <w:tc>
          <w:tcPr>
            <w:tcW w:type="dxa" w:w="2501"/>
            <w:tcBorders>
              <w:top w:val="nil"/>
              <w:left w:val="nil"/>
              <w:bottom w:val="nil"/>
              <w:right w:val="nil"/>
            </w:tcBorders>
            <w:shd w:fill="FFFFFF" w:val="clear"/>
            <w:vAlign w:val="center"/>
          </w:tcPr>
          <w:p>
            <w:pPr>
              <w:pStyle w:val="style76"/>
              <w:jc w:val="center"/>
              <w:rPr>
                <w:b/>
                <w:bCs/>
                <w:sz w:val="16"/>
                <w:szCs w:val="16"/>
              </w:rPr>
            </w:pPr>
            <w:r>
              <w:rPr>
                <w:b/>
                <w:bCs/>
                <w:sz w:val="16"/>
                <w:szCs w:val="16"/>
              </w:rPr>
              <w:t>Bezprostredne predchádzajúce</w:t>
            </w:r>
          </w:p>
        </w:tc>
      </w:tr>
      <w:tr>
        <w:trPr>
          <w:trHeight w:hRule="atLeast" w:val="315"/>
          <w:cantSplit w:val="false"/>
        </w:trPr>
        <w:tc>
          <w:tcPr>
            <w:tcW w:type="dxa" w:w="2902"/>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486"/>
            <w:tcBorders>
              <w:top w:val="nil"/>
              <w:left w:val="nil"/>
              <w:bottom w:val="nil"/>
              <w:right w:val="nil"/>
            </w:tcBorders>
            <w:shd w:fill="FFFFFF" w:val="clear"/>
            <w:vAlign w:val="center"/>
          </w:tcPr>
          <w:p>
            <w:pPr>
              <w:pStyle w:val="style76"/>
              <w:jc w:val="center"/>
              <w:rPr>
                <w:b/>
                <w:bCs/>
                <w:sz w:val="16"/>
                <w:szCs w:val="16"/>
              </w:rPr>
            </w:pPr>
            <w:r>
              <w:rPr>
                <w:b/>
                <w:bCs/>
                <w:sz w:val="16"/>
                <w:szCs w:val="16"/>
              </w:rPr>
              <w:t>účtovné obdobie</w:t>
            </w:r>
          </w:p>
        </w:tc>
        <w:tc>
          <w:tcPr>
            <w:tcW w:type="dxa" w:w="2501"/>
            <w:tcBorders>
              <w:top w:val="nil"/>
              <w:left w:val="nil"/>
              <w:bottom w:val="nil"/>
              <w:right w:val="nil"/>
            </w:tcBorders>
            <w:shd w:fill="FFFFFF" w:val="clear"/>
            <w:vAlign w:val="center"/>
          </w:tcPr>
          <w:p>
            <w:pPr>
              <w:pStyle w:val="style76"/>
              <w:jc w:val="center"/>
              <w:rPr>
                <w:b/>
                <w:bCs/>
                <w:sz w:val="16"/>
                <w:szCs w:val="16"/>
              </w:rPr>
            </w:pPr>
            <w:r>
              <w:rPr>
                <w:b/>
                <w:bCs/>
                <w:sz w:val="16"/>
                <w:szCs w:val="16"/>
              </w:rPr>
              <w:t>účtovné obdobie</w:t>
            </w:r>
          </w:p>
        </w:tc>
      </w:tr>
      <w:tr>
        <w:trPr>
          <w:trHeight w:hRule="atLeast" w:val="315"/>
          <w:cantSplit w:val="false"/>
        </w:trPr>
        <w:tc>
          <w:tcPr>
            <w:tcW w:type="dxa" w:w="2902"/>
            <w:tcBorders>
              <w:top w:val="nil"/>
              <w:left w:val="nil"/>
              <w:bottom w:val="nil"/>
              <w:right w:val="nil"/>
            </w:tcBorders>
            <w:shd w:fill="FFFFFF" w:val="clear"/>
            <w:vAlign w:val="center"/>
          </w:tcPr>
          <w:p>
            <w:pPr>
              <w:pStyle w:val="style76"/>
              <w:rPr>
                <w:b/>
                <w:bCs/>
                <w:sz w:val="16"/>
                <w:szCs w:val="16"/>
              </w:rPr>
            </w:pPr>
            <w:r>
              <w:rPr>
                <w:b/>
                <w:bCs/>
                <w:sz w:val="16"/>
                <w:szCs w:val="16"/>
              </w:rPr>
              <w:t>Krátkodobé pôžičky</w:t>
            </w:r>
          </w:p>
        </w:tc>
        <w:tc>
          <w:tcPr>
            <w:tcW w:type="dxa" w:w="2486"/>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501"/>
            <w:tcBorders>
              <w:top w:val="nil"/>
              <w:left w:val="nil"/>
              <w:bottom w:val="nil"/>
              <w:right w:val="nil"/>
            </w:tcBorders>
            <w:shd w:fill="FFFFFF" w:val="clear"/>
            <w:vAlign w:val="center"/>
          </w:tcPr>
          <w:p>
            <w:pPr>
              <w:pStyle w:val="style76"/>
              <w:rPr>
                <w:sz w:val="16"/>
                <w:szCs w:val="16"/>
              </w:rPr>
            </w:pPr>
            <w:r>
              <w:rPr>
                <w:sz w:val="16"/>
                <w:szCs w:val="16"/>
              </w:rPr>
              <w:t> </w:t>
            </w:r>
          </w:p>
        </w:tc>
      </w:tr>
      <w:tr>
        <w:trPr>
          <w:trHeight w:hRule="atLeast" w:val="300"/>
          <w:cantSplit w:val="false"/>
        </w:trPr>
        <w:tc>
          <w:tcPr>
            <w:tcW w:type="dxa" w:w="2902"/>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486"/>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501"/>
            <w:tcBorders>
              <w:top w:val="nil"/>
              <w:left w:val="nil"/>
              <w:bottom w:val="nil"/>
              <w:right w:val="nil"/>
            </w:tcBorders>
            <w:shd w:fill="FFFFFF" w:val="clear"/>
            <w:vAlign w:val="center"/>
          </w:tcPr>
          <w:p>
            <w:pPr>
              <w:pStyle w:val="style76"/>
              <w:rPr>
                <w:sz w:val="16"/>
                <w:szCs w:val="16"/>
              </w:rPr>
            </w:pPr>
            <w:r>
              <w:rPr>
                <w:sz w:val="16"/>
                <w:szCs w:val="16"/>
              </w:rPr>
              <w:t> </w:t>
            </w:r>
          </w:p>
        </w:tc>
      </w:tr>
      <w:tr>
        <w:trPr>
          <w:trHeight w:hRule="atLeast" w:val="300"/>
          <w:cantSplit w:val="false"/>
        </w:trPr>
        <w:tc>
          <w:tcPr>
            <w:tcW w:type="dxa" w:w="2902"/>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486"/>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501"/>
            <w:tcBorders>
              <w:top w:val="nil"/>
              <w:left w:val="nil"/>
              <w:bottom w:val="nil"/>
              <w:right w:val="nil"/>
            </w:tcBorders>
            <w:shd w:fill="FFFFFF" w:val="clear"/>
            <w:vAlign w:val="center"/>
          </w:tcPr>
          <w:p>
            <w:pPr>
              <w:pStyle w:val="style76"/>
              <w:rPr>
                <w:sz w:val="16"/>
                <w:szCs w:val="16"/>
              </w:rPr>
            </w:pPr>
            <w:r>
              <w:rPr>
                <w:sz w:val="16"/>
                <w:szCs w:val="16"/>
              </w:rPr>
              <w:t> </w:t>
            </w:r>
          </w:p>
        </w:tc>
      </w:tr>
      <w:tr>
        <w:trPr>
          <w:trHeight w:hRule="atLeast" w:val="300"/>
          <w:cantSplit w:val="false"/>
        </w:trPr>
        <w:tc>
          <w:tcPr>
            <w:tcW w:type="dxa" w:w="2902"/>
            <w:tcBorders>
              <w:top w:val="nil"/>
              <w:left w:val="nil"/>
              <w:bottom w:val="nil"/>
              <w:right w:val="nil"/>
            </w:tcBorders>
            <w:shd w:fill="FFFFFF" w:val="clear"/>
            <w:vAlign w:val="center"/>
          </w:tcPr>
          <w:p>
            <w:pPr>
              <w:pStyle w:val="style76"/>
              <w:rPr>
                <w:sz w:val="16"/>
                <w:szCs w:val="16"/>
              </w:rPr>
            </w:pPr>
            <w:r>
              <w:rPr>
                <w:sz w:val="16"/>
                <w:szCs w:val="16"/>
              </w:rPr>
              <w:t>Úroky z pôžičiek</w:t>
            </w:r>
          </w:p>
        </w:tc>
        <w:tc>
          <w:tcPr>
            <w:tcW w:type="dxa" w:w="2486"/>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501"/>
            <w:tcBorders>
              <w:top w:val="nil"/>
              <w:left w:val="nil"/>
              <w:bottom w:val="nil"/>
              <w:right w:val="nil"/>
            </w:tcBorders>
            <w:shd w:fill="FFFFFF" w:val="clear"/>
            <w:vAlign w:val="center"/>
          </w:tcPr>
          <w:p>
            <w:pPr>
              <w:pStyle w:val="style76"/>
              <w:rPr>
                <w:sz w:val="16"/>
                <w:szCs w:val="16"/>
              </w:rPr>
            </w:pPr>
            <w:r>
              <w:rPr>
                <w:sz w:val="16"/>
                <w:szCs w:val="16"/>
              </w:rPr>
              <w:t> </w:t>
            </w:r>
          </w:p>
        </w:tc>
      </w:tr>
      <w:tr>
        <w:trPr>
          <w:trHeight w:hRule="atLeast" w:val="315"/>
          <w:cantSplit w:val="false"/>
        </w:trPr>
        <w:tc>
          <w:tcPr>
            <w:tcW w:type="dxa" w:w="2902"/>
            <w:tcBorders>
              <w:top w:val="nil"/>
              <w:left w:val="nil"/>
              <w:bottom w:val="nil"/>
              <w:right w:val="nil"/>
            </w:tcBorders>
            <w:shd w:fill="FFFFFF" w:val="clear"/>
            <w:vAlign w:val="center"/>
          </w:tcPr>
          <w:p>
            <w:pPr>
              <w:pStyle w:val="style76"/>
              <w:rPr>
                <w:sz w:val="16"/>
                <w:szCs w:val="16"/>
              </w:rPr>
            </w:pPr>
            <w:r>
              <w:rPr>
                <w:sz w:val="16"/>
                <w:szCs w:val="16"/>
              </w:rPr>
              <w:t>Krátkodobé pôžičky spolu:</w:t>
            </w:r>
          </w:p>
        </w:tc>
        <w:tc>
          <w:tcPr>
            <w:tcW w:type="dxa" w:w="2486"/>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501"/>
            <w:tcBorders>
              <w:top w:val="nil"/>
              <w:left w:val="nil"/>
              <w:bottom w:val="nil"/>
              <w:right w:val="nil"/>
            </w:tcBorders>
            <w:shd w:fill="FFFFFF" w:val="clear"/>
            <w:vAlign w:val="center"/>
          </w:tcPr>
          <w:p>
            <w:pPr>
              <w:pStyle w:val="style76"/>
              <w:rPr>
                <w:sz w:val="16"/>
                <w:szCs w:val="16"/>
              </w:rPr>
            </w:pPr>
            <w:r>
              <w:rPr>
                <w:sz w:val="16"/>
                <w:szCs w:val="16"/>
              </w:rPr>
              <w:t> </w:t>
            </w:r>
          </w:p>
        </w:tc>
      </w:tr>
      <w:tr>
        <w:trPr>
          <w:trHeight w:hRule="atLeast" w:val="300"/>
          <w:cantSplit w:val="false"/>
        </w:trPr>
        <w:tc>
          <w:tcPr>
            <w:tcW w:type="dxa" w:w="2902"/>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486"/>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501"/>
            <w:tcBorders>
              <w:top w:val="nil"/>
              <w:left w:val="nil"/>
              <w:bottom w:val="nil"/>
              <w:right w:val="nil"/>
            </w:tcBorders>
            <w:shd w:fill="FFFFFF" w:val="clear"/>
            <w:vAlign w:val="center"/>
          </w:tcPr>
          <w:p>
            <w:pPr>
              <w:pStyle w:val="style76"/>
              <w:rPr>
                <w:sz w:val="16"/>
                <w:szCs w:val="16"/>
              </w:rPr>
            </w:pPr>
            <w:r>
              <w:rPr>
                <w:sz w:val="16"/>
                <w:szCs w:val="16"/>
              </w:rPr>
              <w:t> </w:t>
            </w:r>
          </w:p>
        </w:tc>
      </w:tr>
      <w:tr>
        <w:trPr>
          <w:trHeight w:hRule="atLeast" w:val="300"/>
          <w:cantSplit w:val="false"/>
        </w:trPr>
        <w:tc>
          <w:tcPr>
            <w:tcW w:type="dxa" w:w="2902"/>
            <w:tcBorders>
              <w:top w:val="nil"/>
              <w:left w:val="nil"/>
              <w:bottom w:val="nil"/>
              <w:right w:val="nil"/>
            </w:tcBorders>
            <w:shd w:fill="FFFFFF" w:val="clear"/>
            <w:vAlign w:val="center"/>
          </w:tcPr>
          <w:p>
            <w:pPr>
              <w:pStyle w:val="style76"/>
              <w:rPr>
                <w:b/>
                <w:bCs/>
                <w:sz w:val="16"/>
                <w:szCs w:val="16"/>
              </w:rPr>
            </w:pPr>
            <w:r>
              <w:rPr>
                <w:b/>
                <w:bCs/>
                <w:sz w:val="16"/>
                <w:szCs w:val="16"/>
              </w:rPr>
              <w:t>Krátkodobé finančné výpomoci</w:t>
            </w:r>
          </w:p>
        </w:tc>
        <w:tc>
          <w:tcPr>
            <w:tcW w:type="dxa" w:w="2486"/>
            <w:tcBorders>
              <w:top w:val="nil"/>
              <w:left w:val="nil"/>
              <w:bottom w:val="nil"/>
              <w:right w:val="nil"/>
            </w:tcBorders>
            <w:shd w:fill="FFFFFF" w:val="clear"/>
            <w:vAlign w:val="center"/>
          </w:tcPr>
          <w:p>
            <w:pPr>
              <w:pStyle w:val="style76"/>
              <w:jc w:val="center"/>
              <w:rPr>
                <w:sz w:val="16"/>
                <w:szCs w:val="16"/>
              </w:rPr>
            </w:pPr>
            <w:r>
              <w:rPr>
                <w:sz w:val="16"/>
                <w:szCs w:val="16"/>
              </w:rPr>
              <w:t> </w:t>
            </w:r>
            <w:r>
              <w:rPr>
                <w:sz w:val="16"/>
                <w:szCs w:val="16"/>
              </w:rPr>
              <w:t>13000</w:t>
            </w:r>
          </w:p>
        </w:tc>
        <w:tc>
          <w:tcPr>
            <w:tcW w:type="dxa" w:w="2501"/>
            <w:tcBorders>
              <w:top w:val="nil"/>
              <w:left w:val="nil"/>
              <w:bottom w:val="nil"/>
              <w:right w:val="nil"/>
            </w:tcBorders>
            <w:shd w:fill="FFFFFF" w:val="clear"/>
            <w:vAlign w:val="center"/>
          </w:tcPr>
          <w:p>
            <w:pPr>
              <w:pStyle w:val="style76"/>
              <w:jc w:val="center"/>
              <w:rPr>
                <w:sz w:val="16"/>
                <w:szCs w:val="16"/>
              </w:rPr>
            </w:pPr>
            <w:r>
              <w:rPr>
                <w:sz w:val="16"/>
                <w:szCs w:val="16"/>
              </w:rPr>
              <w:t> </w:t>
            </w:r>
            <w:r>
              <w:rPr>
                <w:sz w:val="16"/>
                <w:szCs w:val="16"/>
              </w:rPr>
              <w:t>14000</w:t>
            </w:r>
          </w:p>
        </w:tc>
      </w:tr>
      <w:tr>
        <w:trPr>
          <w:trHeight w:hRule="atLeast" w:val="300"/>
          <w:cantSplit w:val="false"/>
        </w:trPr>
        <w:tc>
          <w:tcPr>
            <w:tcW w:type="dxa" w:w="2902"/>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486"/>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501"/>
            <w:tcBorders>
              <w:top w:val="nil"/>
              <w:left w:val="nil"/>
              <w:bottom w:val="nil"/>
              <w:right w:val="nil"/>
            </w:tcBorders>
            <w:shd w:fill="FFFFFF" w:val="clear"/>
            <w:vAlign w:val="center"/>
          </w:tcPr>
          <w:p>
            <w:pPr>
              <w:pStyle w:val="style76"/>
              <w:rPr>
                <w:sz w:val="16"/>
                <w:szCs w:val="16"/>
              </w:rPr>
            </w:pPr>
            <w:r>
              <w:rPr>
                <w:sz w:val="16"/>
                <w:szCs w:val="16"/>
              </w:rPr>
              <w:t> </w:t>
            </w:r>
          </w:p>
        </w:tc>
      </w:tr>
      <w:tr>
        <w:trPr>
          <w:trHeight w:hRule="atLeast" w:val="300"/>
          <w:cantSplit w:val="false"/>
        </w:trPr>
        <w:tc>
          <w:tcPr>
            <w:tcW w:type="dxa" w:w="2902"/>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486"/>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501"/>
            <w:tcBorders>
              <w:top w:val="nil"/>
              <w:left w:val="nil"/>
              <w:bottom w:val="nil"/>
              <w:right w:val="nil"/>
            </w:tcBorders>
            <w:shd w:fill="FFFFFF" w:val="clear"/>
            <w:vAlign w:val="center"/>
          </w:tcPr>
          <w:p>
            <w:pPr>
              <w:pStyle w:val="style76"/>
              <w:rPr>
                <w:sz w:val="16"/>
                <w:szCs w:val="16"/>
              </w:rPr>
            </w:pPr>
            <w:r>
              <w:rPr>
                <w:sz w:val="16"/>
                <w:szCs w:val="16"/>
              </w:rPr>
              <w:t> </w:t>
            </w:r>
          </w:p>
        </w:tc>
      </w:tr>
      <w:tr>
        <w:trPr>
          <w:trHeight w:hRule="atLeast" w:val="315"/>
          <w:cantSplit w:val="false"/>
        </w:trPr>
        <w:tc>
          <w:tcPr>
            <w:tcW w:type="dxa" w:w="2902"/>
            <w:tcBorders>
              <w:top w:val="nil"/>
              <w:left w:val="nil"/>
              <w:bottom w:val="nil"/>
              <w:right w:val="nil"/>
            </w:tcBorders>
            <w:shd w:fill="FFFFFF" w:val="clear"/>
            <w:vAlign w:val="center"/>
          </w:tcPr>
          <w:p>
            <w:pPr>
              <w:pStyle w:val="style76"/>
              <w:rPr>
                <w:sz w:val="16"/>
                <w:szCs w:val="16"/>
              </w:rPr>
            </w:pPr>
            <w:r>
              <w:rPr>
                <w:sz w:val="16"/>
                <w:szCs w:val="16"/>
              </w:rPr>
              <w:t>Úroky z finančných výpomocí</w:t>
            </w:r>
          </w:p>
        </w:tc>
        <w:tc>
          <w:tcPr>
            <w:tcW w:type="dxa" w:w="2486"/>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501"/>
            <w:tcBorders>
              <w:top w:val="nil"/>
              <w:left w:val="nil"/>
              <w:bottom w:val="nil"/>
              <w:right w:val="nil"/>
            </w:tcBorders>
            <w:shd w:fill="FFFFFF" w:val="clear"/>
            <w:vAlign w:val="center"/>
          </w:tcPr>
          <w:p>
            <w:pPr>
              <w:pStyle w:val="style76"/>
              <w:rPr>
                <w:sz w:val="16"/>
                <w:szCs w:val="16"/>
              </w:rPr>
            </w:pPr>
            <w:r>
              <w:rPr>
                <w:sz w:val="16"/>
                <w:szCs w:val="16"/>
              </w:rPr>
              <w:t> </w:t>
            </w:r>
          </w:p>
        </w:tc>
      </w:tr>
      <w:tr>
        <w:trPr>
          <w:trHeight w:hRule="atLeast" w:val="300"/>
          <w:cantSplit w:val="false"/>
        </w:trPr>
        <w:tc>
          <w:tcPr>
            <w:tcW w:type="dxa" w:w="2902"/>
            <w:tcBorders>
              <w:top w:val="nil"/>
              <w:left w:val="nil"/>
              <w:bottom w:val="nil"/>
              <w:right w:val="nil"/>
            </w:tcBorders>
            <w:shd w:fill="FFFFFF" w:val="clear"/>
            <w:vAlign w:val="center"/>
          </w:tcPr>
          <w:p>
            <w:pPr>
              <w:pStyle w:val="style76"/>
              <w:rPr>
                <w:b/>
                <w:bCs/>
                <w:sz w:val="16"/>
                <w:szCs w:val="16"/>
              </w:rPr>
            </w:pPr>
            <w:r>
              <w:rPr>
                <w:b/>
                <w:bCs/>
                <w:sz w:val="16"/>
                <w:szCs w:val="16"/>
              </w:rPr>
              <w:t>Krátkodobé výpomoci spolu:</w:t>
            </w:r>
          </w:p>
        </w:tc>
        <w:tc>
          <w:tcPr>
            <w:tcW w:type="dxa" w:w="2486"/>
            <w:tcBorders>
              <w:top w:val="nil"/>
              <w:left w:val="nil"/>
              <w:bottom w:val="nil"/>
              <w:right w:val="nil"/>
            </w:tcBorders>
            <w:shd w:fill="FFFFFF" w:val="clear"/>
            <w:vAlign w:val="center"/>
          </w:tcPr>
          <w:p>
            <w:pPr>
              <w:pStyle w:val="style76"/>
              <w:jc w:val="center"/>
              <w:rPr>
                <w:sz w:val="16"/>
                <w:szCs w:val="16"/>
              </w:rPr>
            </w:pPr>
            <w:r>
              <w:rPr>
                <w:sz w:val="16"/>
                <w:szCs w:val="16"/>
              </w:rPr>
              <w:t> </w:t>
            </w:r>
            <w:r>
              <w:rPr>
                <w:sz w:val="16"/>
                <w:szCs w:val="16"/>
              </w:rPr>
              <w:t>14000</w:t>
            </w:r>
          </w:p>
        </w:tc>
        <w:tc>
          <w:tcPr>
            <w:tcW w:type="dxa" w:w="2501"/>
            <w:tcBorders>
              <w:top w:val="nil"/>
              <w:left w:val="nil"/>
              <w:bottom w:val="nil"/>
              <w:right w:val="nil"/>
            </w:tcBorders>
            <w:shd w:fill="FFFFFF" w:val="clear"/>
            <w:vAlign w:val="center"/>
          </w:tcPr>
          <w:p>
            <w:pPr>
              <w:pStyle w:val="style76"/>
              <w:jc w:val="center"/>
              <w:rPr>
                <w:sz w:val="16"/>
                <w:szCs w:val="16"/>
              </w:rPr>
            </w:pPr>
            <w:r>
              <w:rPr>
                <w:sz w:val="16"/>
                <w:szCs w:val="16"/>
              </w:rPr>
              <w:t> </w:t>
            </w:r>
            <w:r>
              <w:rPr>
                <w:sz w:val="16"/>
                <w:szCs w:val="16"/>
              </w:rPr>
              <w:t>600</w:t>
            </w:r>
          </w:p>
        </w:tc>
      </w:tr>
      <w:tr>
        <w:trPr>
          <w:trHeight w:hRule="atLeast" w:val="315"/>
          <w:cantSplit w:val="false"/>
        </w:trPr>
        <w:tc>
          <w:tcPr>
            <w:tcW w:type="dxa" w:w="2902"/>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486"/>
            <w:tcBorders>
              <w:top w:val="nil"/>
              <w:left w:val="nil"/>
              <w:bottom w:val="nil"/>
              <w:right w:val="nil"/>
            </w:tcBorders>
            <w:shd w:fill="FFFFFF" w:val="clear"/>
            <w:vAlign w:val="center"/>
          </w:tcPr>
          <w:p>
            <w:pPr>
              <w:pStyle w:val="style76"/>
              <w:rPr>
                <w:sz w:val="16"/>
                <w:szCs w:val="16"/>
              </w:rPr>
            </w:pPr>
            <w:r>
              <w:rPr>
                <w:sz w:val="16"/>
                <w:szCs w:val="16"/>
              </w:rPr>
              <w:t> </w:t>
            </w:r>
          </w:p>
        </w:tc>
        <w:tc>
          <w:tcPr>
            <w:tcW w:type="dxa" w:w="2501"/>
            <w:tcBorders>
              <w:top w:val="nil"/>
              <w:left w:val="nil"/>
              <w:bottom w:val="nil"/>
              <w:right w:val="nil"/>
            </w:tcBorders>
            <w:shd w:fill="FFFFFF" w:val="clear"/>
            <w:vAlign w:val="center"/>
          </w:tcPr>
          <w:p>
            <w:pPr>
              <w:pStyle w:val="style76"/>
              <w:rPr>
                <w:sz w:val="16"/>
                <w:szCs w:val="16"/>
              </w:rPr>
            </w:pPr>
            <w:r>
              <w:rPr>
                <w:sz w:val="16"/>
                <w:szCs w:val="16"/>
              </w:rPr>
              <w:t> </w:t>
            </w:r>
          </w:p>
        </w:tc>
      </w:tr>
    </w:tbl>
    <w:p>
      <w:pPr>
        <w:pStyle w:val="style61"/>
        <w:rPr>
          <w:b w:val="false"/>
          <w:bCs w:val="false"/>
          <w:sz w:val="18"/>
          <w:szCs w:val="18"/>
        </w:rPr>
      </w:pPr>
      <w:r>
        <w:rPr>
          <w:b w:val="false"/>
          <w:bCs w:val="false"/>
          <w:sz w:val="18"/>
          <w:szCs w:val="18"/>
        </w:rPr>
      </w:r>
    </w:p>
    <w:p>
      <w:pPr>
        <w:pStyle w:val="style61"/>
        <w:rPr>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style61"/>
        <w:rPr>
          <w:b w:val="false"/>
          <w:bCs w:val="false"/>
          <w:sz w:val="16"/>
          <w:szCs w:val="16"/>
        </w:rPr>
      </w:pPr>
      <w:r>
        <w:rPr>
          <w:b w:val="false"/>
          <w:bCs w:val="false"/>
          <w:sz w:val="16"/>
          <w:szCs w:val="16"/>
        </w:rPr>
        <w:t>ani finančné výpomoci.</w:t>
      </w:r>
    </w:p>
    <w:p>
      <w:pPr>
        <w:pStyle w:val="style61"/>
        <w:rPr>
          <w:b w:val="false"/>
          <w:bCs w:val="false"/>
          <w:sz w:val="16"/>
          <w:szCs w:val="16"/>
        </w:rPr>
      </w:pPr>
      <w:r>
        <w:rPr>
          <w:b w:val="false"/>
          <w:bCs w:val="false"/>
          <w:sz w:val="16"/>
          <w:szCs w:val="16"/>
        </w:rPr>
        <w:t>Spoločnosť má krátkodobú finančnú výpomoc od konateľa spoločnosti v celkovej výške 13000 €.</w:t>
      </w:r>
    </w:p>
    <w:p>
      <w:pPr>
        <w:pStyle w:val="style2"/>
        <w:pageBreakBefore/>
        <w:rPr/>
      </w:pPr>
      <w:r>
        <w:rPr/>
      </w:r>
    </w:p>
    <w:p>
      <w:pPr>
        <w:pStyle w:val="style2"/>
        <w:rPr/>
      </w:pPr>
      <w:r>
        <w:rPr/>
      </w:r>
    </w:p>
    <w:p>
      <w:pPr>
        <w:pStyle w:val="style2"/>
        <w:rPr/>
      </w:pPr>
      <w:r>
        <w:rPr/>
      </w:r>
    </w:p>
    <w:p>
      <w:pPr>
        <w:pStyle w:val="style2"/>
        <w:rPr>
          <w:rFonts w:cs="Arial"/>
          <w:b/>
          <w:bCs/>
          <w:caps/>
          <w:sz w:val="18"/>
          <w:szCs w:val="32"/>
          <w:u w:val="none"/>
        </w:rPr>
      </w:pPr>
      <w:r>
        <w:rPr>
          <w:rFonts w:cs="Arial"/>
          <w:b/>
          <w:bCs/>
          <w:caps/>
          <w:sz w:val="18"/>
          <w:szCs w:val="32"/>
          <w:u w:val="none"/>
        </w:rPr>
        <w:t>V.  Informácie o výnosoch</w:t>
      </w:r>
    </w:p>
    <w:p>
      <w:pPr>
        <w:pStyle w:val="style2"/>
        <w:rPr/>
      </w:pPr>
      <w:r>
        <w:rPr/>
      </w:r>
    </w:p>
    <w:p>
      <w:pPr>
        <w:pStyle w:val="style0"/>
        <w:rPr>
          <w:b/>
          <w:bCs/>
          <w:sz w:val="16"/>
          <w:szCs w:val="16"/>
        </w:rPr>
      </w:pPr>
      <w:r>
        <w:rPr>
          <w:sz w:val="16"/>
          <w:szCs w:val="16"/>
        </w:rPr>
        <w:t xml:space="preserve">Za rok 2018 spoločnosť dosiahla celkové výnosy vo výške   </w:t>
      </w:r>
      <w:r>
        <w:rPr>
          <w:b/>
          <w:bCs/>
          <w:sz w:val="16"/>
          <w:szCs w:val="16"/>
        </w:rPr>
        <w:t>28815</w:t>
      </w:r>
      <w:r>
        <w:rPr>
          <w:sz w:val="16"/>
          <w:szCs w:val="16"/>
        </w:rPr>
        <w:t xml:space="preserve"> </w:t>
      </w:r>
      <w:r>
        <w:rPr>
          <w:b/>
          <w:bCs/>
          <w:sz w:val="16"/>
          <w:szCs w:val="16"/>
        </w:rPr>
        <w:t>€</w:t>
      </w:r>
    </w:p>
    <w:p>
      <w:pPr>
        <w:pStyle w:val="style0"/>
        <w:rPr>
          <w:sz w:val="16"/>
          <w:szCs w:val="16"/>
        </w:rPr>
      </w:pPr>
      <w:r>
        <w:rPr>
          <w:sz w:val="16"/>
          <w:szCs w:val="16"/>
        </w:rPr>
      </w:r>
    </w:p>
    <w:p>
      <w:pPr>
        <w:pStyle w:val="style0"/>
        <w:rPr>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3307"/>
        <w:gridCol w:w="2487"/>
        <w:gridCol w:w="2501"/>
      </w:tblGrid>
      <w:tr>
        <w:trPr>
          <w:trHeight w:hRule="atLeast" w:val="300"/>
          <w:cantSplit w:val="false"/>
        </w:trPr>
        <w:tc>
          <w:tcPr>
            <w:tcW w:type="dxa" w:w="3307"/>
            <w:tcBorders>
              <w:top w:val="nil"/>
              <w:left w:val="nil"/>
              <w:bottom w:val="nil"/>
              <w:right w:val="nil"/>
            </w:tcBorders>
            <w:shd w:fill="FFFFFF" w:val="clear"/>
            <w:vAlign w:val="center"/>
          </w:tcPr>
          <w:p>
            <w:pPr>
              <w:pStyle w:val="style76"/>
              <w:rPr>
                <w:b/>
                <w:bCs/>
              </w:rPr>
            </w:pPr>
            <w:r>
              <w:rPr>
                <w:b/>
                <w:bCs/>
              </w:rPr>
              <w:t>Oblasť odbytu</w:t>
            </w:r>
          </w:p>
        </w:tc>
        <w:tc>
          <w:tcPr>
            <w:tcW w:type="dxa" w:w="2487"/>
            <w:tcBorders>
              <w:top w:val="nil"/>
              <w:left w:val="nil"/>
              <w:bottom w:val="nil"/>
              <w:right w:val="nil"/>
            </w:tcBorders>
            <w:shd w:fill="FFFFFF" w:val="clear"/>
            <w:vAlign w:val="center"/>
          </w:tcPr>
          <w:p>
            <w:pPr>
              <w:pStyle w:val="style76"/>
              <w:rPr>
                <w:b/>
                <w:bCs/>
              </w:rPr>
            </w:pPr>
            <w:r>
              <w:rPr>
                <w:b/>
                <w:bCs/>
              </w:rPr>
              <w:t>Bežné účtovné obdobie</w:t>
            </w:r>
          </w:p>
        </w:tc>
        <w:tc>
          <w:tcPr>
            <w:tcW w:type="dxa" w:w="2501"/>
            <w:tcBorders>
              <w:top w:val="nil"/>
              <w:left w:val="nil"/>
              <w:bottom w:val="nil"/>
              <w:right w:val="nil"/>
            </w:tcBorders>
            <w:shd w:fill="FFFFFF" w:val="clear"/>
            <w:vAlign w:val="center"/>
          </w:tcPr>
          <w:p>
            <w:pPr>
              <w:pStyle w:val="style76"/>
              <w:rPr>
                <w:b/>
                <w:bCs/>
              </w:rPr>
            </w:pPr>
            <w:r>
              <w:rPr>
                <w:b/>
                <w:bCs/>
              </w:rPr>
              <w:t>Bezprostredne predchádzajúce</w:t>
            </w:r>
          </w:p>
        </w:tc>
      </w:tr>
      <w:tr>
        <w:trPr>
          <w:trHeight w:hRule="atLeast" w:val="315"/>
          <w:cantSplit w:val="false"/>
        </w:trPr>
        <w:tc>
          <w:tcPr>
            <w:tcW w:type="dxa" w:w="3307"/>
            <w:tcBorders>
              <w:top w:val="nil"/>
              <w:left w:val="nil"/>
              <w:bottom w:val="nil"/>
              <w:right w:val="nil"/>
            </w:tcBorders>
            <w:shd w:fill="FFFFFF" w:val="clear"/>
            <w:vAlign w:val="center"/>
          </w:tcPr>
          <w:p>
            <w:pPr>
              <w:pStyle w:val="style76"/>
              <w:rPr>
                <w:b/>
                <w:bCs/>
              </w:rPr>
            </w:pPr>
            <w:r>
              <w:rPr>
                <w:b/>
                <w:bCs/>
              </w:rPr>
              <w:t> </w:t>
            </w:r>
          </w:p>
        </w:tc>
        <w:tc>
          <w:tcPr>
            <w:tcW w:type="dxa" w:w="2487"/>
            <w:tcBorders>
              <w:top w:val="nil"/>
              <w:left w:val="nil"/>
              <w:bottom w:val="nil"/>
              <w:right w:val="nil"/>
            </w:tcBorders>
            <w:shd w:fill="FFFFFF" w:val="clear"/>
            <w:vAlign w:val="center"/>
          </w:tcPr>
          <w:p>
            <w:pPr>
              <w:pStyle w:val="style76"/>
              <w:rPr>
                <w:b/>
                <w:bCs/>
              </w:rPr>
            </w:pPr>
            <w:r>
              <w:rPr>
                <w:b/>
                <w:bCs/>
              </w:rPr>
              <w:t>účtovné obdobie</w:t>
            </w:r>
          </w:p>
        </w:tc>
        <w:tc>
          <w:tcPr>
            <w:tcW w:type="dxa" w:w="2501"/>
            <w:tcBorders>
              <w:top w:val="nil"/>
              <w:left w:val="nil"/>
              <w:bottom w:val="nil"/>
              <w:right w:val="nil"/>
            </w:tcBorders>
            <w:shd w:fill="FFFFFF" w:val="clear"/>
            <w:vAlign w:val="center"/>
          </w:tcPr>
          <w:p>
            <w:pPr>
              <w:pStyle w:val="style76"/>
              <w:rPr>
                <w:b/>
                <w:bCs/>
              </w:rPr>
            </w:pPr>
            <w:r>
              <w:rPr>
                <w:b/>
                <w:bCs/>
              </w:rPr>
              <w:t>účtovné obdobie</w:t>
            </w:r>
          </w:p>
        </w:tc>
      </w:tr>
      <w:tr>
        <w:trPr>
          <w:trHeight w:hRule="atLeast" w:val="315"/>
          <w:cantSplit w:val="false"/>
        </w:trPr>
        <w:tc>
          <w:tcPr>
            <w:tcW w:type="dxa" w:w="3307"/>
            <w:tcBorders>
              <w:top w:val="nil"/>
              <w:left w:val="nil"/>
              <w:bottom w:val="nil"/>
              <w:right w:val="nil"/>
            </w:tcBorders>
            <w:shd w:fill="FFFFFF" w:val="clear"/>
            <w:vAlign w:val="center"/>
          </w:tcPr>
          <w:p>
            <w:pPr>
              <w:pStyle w:val="style76"/>
              <w:rPr/>
            </w:pPr>
            <w:r>
              <w:rPr/>
              <w:t>Predaj tovaru</w:t>
            </w:r>
          </w:p>
        </w:tc>
        <w:tc>
          <w:tcPr>
            <w:tcW w:type="dxa" w:w="2487"/>
            <w:tcBorders>
              <w:top w:val="nil"/>
              <w:left w:val="nil"/>
              <w:bottom w:val="nil"/>
              <w:right w:val="nil"/>
            </w:tcBorders>
            <w:shd w:fill="FFFFFF" w:val="clear"/>
            <w:vAlign w:val="center"/>
          </w:tcPr>
          <w:p>
            <w:pPr>
              <w:pStyle w:val="style76"/>
              <w:jc w:val="center"/>
              <w:rPr/>
            </w:pPr>
            <w:r>
              <w:rPr/>
              <w:t>19779</w:t>
            </w:r>
          </w:p>
        </w:tc>
        <w:tc>
          <w:tcPr>
            <w:tcW w:type="dxa" w:w="2501"/>
            <w:tcBorders>
              <w:top w:val="nil"/>
              <w:left w:val="nil"/>
              <w:bottom w:val="nil"/>
              <w:right w:val="nil"/>
            </w:tcBorders>
            <w:shd w:fill="FFFFFF" w:val="clear"/>
            <w:vAlign w:val="center"/>
          </w:tcPr>
          <w:p>
            <w:pPr>
              <w:pStyle w:val="style76"/>
              <w:jc w:val="center"/>
              <w:rPr/>
            </w:pPr>
            <w:r>
              <w:rPr/>
              <w:t>46264</w:t>
            </w:r>
          </w:p>
        </w:tc>
      </w:tr>
      <w:tr>
        <w:trPr>
          <w:trHeight w:hRule="atLeast" w:val="300"/>
          <w:cantSplit w:val="false"/>
        </w:trPr>
        <w:tc>
          <w:tcPr>
            <w:tcW w:type="dxa" w:w="3307"/>
            <w:tcBorders>
              <w:top w:val="nil"/>
              <w:left w:val="nil"/>
              <w:bottom w:val="nil"/>
              <w:right w:val="nil"/>
            </w:tcBorders>
            <w:shd w:fill="FFFFFF" w:val="clear"/>
            <w:vAlign w:val="center"/>
          </w:tcPr>
          <w:p>
            <w:pPr>
              <w:pStyle w:val="style76"/>
              <w:rPr/>
            </w:pPr>
            <w:r>
              <w:rPr/>
              <w:t>Predaj služieb</w:t>
            </w:r>
          </w:p>
        </w:tc>
        <w:tc>
          <w:tcPr>
            <w:tcW w:type="dxa" w:w="2487"/>
            <w:tcBorders>
              <w:top w:val="nil"/>
              <w:left w:val="nil"/>
              <w:bottom w:val="nil"/>
              <w:right w:val="nil"/>
            </w:tcBorders>
            <w:shd w:fill="FFFFFF" w:val="clear"/>
            <w:vAlign w:val="center"/>
          </w:tcPr>
          <w:p>
            <w:pPr>
              <w:pStyle w:val="style76"/>
              <w:jc w:val="center"/>
              <w:rPr/>
            </w:pPr>
            <w:r>
              <w:rPr/>
              <w:t>8670</w:t>
            </w:r>
          </w:p>
        </w:tc>
        <w:tc>
          <w:tcPr>
            <w:tcW w:type="dxa" w:w="2501"/>
            <w:tcBorders>
              <w:top w:val="nil"/>
              <w:left w:val="nil"/>
              <w:bottom w:val="nil"/>
              <w:right w:val="nil"/>
            </w:tcBorders>
            <w:shd w:fill="FFFFFF" w:val="clear"/>
            <w:vAlign w:val="center"/>
          </w:tcPr>
          <w:p>
            <w:pPr>
              <w:pStyle w:val="style76"/>
              <w:jc w:val="center"/>
              <w:rPr/>
            </w:pPr>
            <w:r>
              <w:rPr/>
              <w:t>3480</w:t>
            </w:r>
          </w:p>
        </w:tc>
      </w:tr>
      <w:tr>
        <w:trPr>
          <w:trHeight w:hRule="atLeast" w:val="300"/>
          <w:cantSplit w:val="false"/>
        </w:trPr>
        <w:tc>
          <w:tcPr>
            <w:tcW w:type="dxa" w:w="3307"/>
            <w:tcBorders>
              <w:top w:val="nil"/>
              <w:left w:val="nil"/>
              <w:bottom w:val="nil"/>
              <w:right w:val="nil"/>
            </w:tcBorders>
            <w:shd w:fill="FFFFFF" w:val="clear"/>
            <w:vAlign w:val="center"/>
          </w:tcPr>
          <w:p>
            <w:pPr>
              <w:pStyle w:val="style76"/>
              <w:rPr/>
            </w:pPr>
            <w:r>
              <w:rPr/>
              <w:t>- Obchodné zastúpenie</w:t>
            </w:r>
          </w:p>
        </w:tc>
        <w:tc>
          <w:tcPr>
            <w:tcW w:type="dxa" w:w="2487"/>
            <w:tcBorders>
              <w:top w:val="nil"/>
              <w:left w:val="nil"/>
              <w:bottom w:val="nil"/>
              <w:right w:val="nil"/>
            </w:tcBorders>
            <w:shd w:fill="FFFFFF" w:val="clear"/>
            <w:vAlign w:val="center"/>
          </w:tcPr>
          <w:p>
            <w:pPr>
              <w:pStyle w:val="style76"/>
              <w:rPr/>
            </w:pPr>
            <w:r>
              <w:rPr/>
            </w:r>
          </w:p>
        </w:tc>
        <w:tc>
          <w:tcPr>
            <w:tcW w:type="dxa" w:w="2501"/>
            <w:tcBorders>
              <w:top w:val="nil"/>
              <w:left w:val="nil"/>
              <w:bottom w:val="nil"/>
              <w:right w:val="nil"/>
            </w:tcBorders>
            <w:shd w:fill="FFFFFF" w:val="clear"/>
            <w:vAlign w:val="center"/>
          </w:tcPr>
          <w:p>
            <w:pPr>
              <w:pStyle w:val="style76"/>
              <w:rPr/>
            </w:pPr>
            <w:r>
              <w:rPr/>
            </w:r>
          </w:p>
        </w:tc>
      </w:tr>
      <w:tr>
        <w:trPr>
          <w:trHeight w:hRule="atLeast" w:val="300"/>
          <w:cantSplit w:val="false"/>
        </w:trPr>
        <w:tc>
          <w:tcPr>
            <w:tcW w:type="dxa" w:w="3307"/>
            <w:tcBorders>
              <w:top w:val="nil"/>
              <w:left w:val="nil"/>
              <w:bottom w:val="nil"/>
              <w:right w:val="nil"/>
            </w:tcBorders>
            <w:shd w:fill="FFFFFF" w:val="clear"/>
            <w:vAlign w:val="center"/>
          </w:tcPr>
          <w:p>
            <w:pPr>
              <w:pStyle w:val="style76"/>
              <w:rPr/>
            </w:pPr>
            <w:r>
              <w:rPr/>
              <w:t>- Hostingové služby</w:t>
            </w:r>
          </w:p>
        </w:tc>
        <w:tc>
          <w:tcPr>
            <w:tcW w:type="dxa" w:w="2487"/>
            <w:tcBorders>
              <w:top w:val="nil"/>
              <w:left w:val="nil"/>
              <w:bottom w:val="nil"/>
              <w:right w:val="nil"/>
            </w:tcBorders>
            <w:shd w:fill="FFFFFF" w:val="clear"/>
            <w:vAlign w:val="center"/>
          </w:tcPr>
          <w:p>
            <w:pPr>
              <w:pStyle w:val="style76"/>
              <w:rPr/>
            </w:pPr>
            <w:r>
              <w:rPr/>
            </w:r>
          </w:p>
        </w:tc>
        <w:tc>
          <w:tcPr>
            <w:tcW w:type="dxa" w:w="2501"/>
            <w:tcBorders>
              <w:top w:val="nil"/>
              <w:left w:val="nil"/>
              <w:bottom w:val="nil"/>
              <w:right w:val="nil"/>
            </w:tcBorders>
            <w:shd w:fill="FFFFFF" w:val="clear"/>
            <w:vAlign w:val="center"/>
          </w:tcPr>
          <w:p>
            <w:pPr>
              <w:pStyle w:val="style76"/>
              <w:rPr/>
            </w:pPr>
            <w:r>
              <w:rPr/>
            </w:r>
          </w:p>
        </w:tc>
      </w:tr>
      <w:tr>
        <w:trPr>
          <w:trHeight w:hRule="atLeast" w:val="300"/>
          <w:cantSplit w:val="false"/>
        </w:trPr>
        <w:tc>
          <w:tcPr>
            <w:tcW w:type="dxa" w:w="3307"/>
            <w:tcBorders>
              <w:top w:val="nil"/>
              <w:left w:val="nil"/>
              <w:bottom w:val="nil"/>
              <w:right w:val="nil"/>
            </w:tcBorders>
            <w:shd w:fill="FFFFFF" w:val="clear"/>
            <w:vAlign w:val="center"/>
          </w:tcPr>
          <w:p>
            <w:pPr>
              <w:pStyle w:val="style76"/>
              <w:rPr/>
            </w:pPr>
            <w:r>
              <w:rPr/>
              <w:t>Ostatné preváídzkové výnosy</w:t>
            </w:r>
          </w:p>
        </w:tc>
        <w:tc>
          <w:tcPr>
            <w:tcW w:type="dxa" w:w="2487"/>
            <w:tcBorders>
              <w:top w:val="nil"/>
              <w:left w:val="nil"/>
              <w:bottom w:val="nil"/>
              <w:right w:val="nil"/>
            </w:tcBorders>
            <w:shd w:fill="FFFFFF" w:val="clear"/>
            <w:vAlign w:val="center"/>
          </w:tcPr>
          <w:p>
            <w:pPr>
              <w:pStyle w:val="style76"/>
              <w:jc w:val="center"/>
              <w:rPr/>
            </w:pPr>
            <w:r>
              <w:rPr/>
              <w:t>364</w:t>
            </w:r>
          </w:p>
        </w:tc>
        <w:tc>
          <w:tcPr>
            <w:tcW w:type="dxa" w:w="2501"/>
            <w:tcBorders>
              <w:top w:val="nil"/>
              <w:left w:val="nil"/>
              <w:bottom w:val="nil"/>
              <w:right w:val="nil"/>
            </w:tcBorders>
            <w:shd w:fill="FFFFFF" w:val="clear"/>
            <w:vAlign w:val="center"/>
          </w:tcPr>
          <w:p>
            <w:pPr>
              <w:pStyle w:val="style76"/>
              <w:rPr/>
            </w:pPr>
            <w:r>
              <w:rPr/>
            </w:r>
          </w:p>
        </w:tc>
      </w:tr>
      <w:tr>
        <w:trPr>
          <w:trHeight w:hRule="atLeast" w:val="300"/>
          <w:cantSplit w:val="false"/>
        </w:trPr>
        <w:tc>
          <w:tcPr>
            <w:tcW w:type="dxa" w:w="3307"/>
            <w:tcBorders>
              <w:top w:val="nil"/>
              <w:left w:val="nil"/>
              <w:bottom w:val="nil"/>
              <w:right w:val="nil"/>
            </w:tcBorders>
            <w:shd w:fill="FFFFFF" w:val="clear"/>
            <w:vAlign w:val="center"/>
          </w:tcPr>
          <w:p>
            <w:pPr>
              <w:pStyle w:val="style76"/>
              <w:rPr/>
            </w:pPr>
            <w:r>
              <w:rPr/>
              <w:t>Bankové úrokx</w:t>
            </w:r>
          </w:p>
        </w:tc>
        <w:tc>
          <w:tcPr>
            <w:tcW w:type="dxa" w:w="2487"/>
            <w:tcBorders>
              <w:top w:val="nil"/>
              <w:left w:val="nil"/>
              <w:bottom w:val="nil"/>
              <w:right w:val="nil"/>
            </w:tcBorders>
            <w:shd w:fill="FFFFFF" w:val="clear"/>
            <w:vAlign w:val="center"/>
          </w:tcPr>
          <w:p>
            <w:pPr>
              <w:pStyle w:val="style76"/>
              <w:rPr/>
            </w:pPr>
            <w:r>
              <w:rPr/>
            </w:r>
          </w:p>
        </w:tc>
        <w:tc>
          <w:tcPr>
            <w:tcW w:type="dxa" w:w="2501"/>
            <w:tcBorders>
              <w:top w:val="nil"/>
              <w:left w:val="nil"/>
              <w:bottom w:val="nil"/>
              <w:right w:val="nil"/>
            </w:tcBorders>
            <w:shd w:fill="FFFFFF" w:val="clear"/>
            <w:vAlign w:val="center"/>
          </w:tcPr>
          <w:p>
            <w:pPr>
              <w:pStyle w:val="style76"/>
              <w:jc w:val="center"/>
              <w:rPr/>
            </w:pPr>
            <w:r>
              <w:rPr/>
            </w:r>
          </w:p>
        </w:tc>
      </w:tr>
      <w:tr>
        <w:trPr>
          <w:trHeight w:hRule="atLeast" w:val="300"/>
          <w:cantSplit w:val="false"/>
        </w:trPr>
        <w:tc>
          <w:tcPr>
            <w:tcW w:type="dxa" w:w="3307"/>
            <w:tcBorders>
              <w:top w:val="nil"/>
              <w:left w:val="nil"/>
              <w:bottom w:val="nil"/>
              <w:right w:val="nil"/>
            </w:tcBorders>
            <w:shd w:fill="FFFFFF" w:val="clear"/>
            <w:vAlign w:val="center"/>
          </w:tcPr>
          <w:p>
            <w:pPr>
              <w:pStyle w:val="style76"/>
              <w:rPr/>
            </w:pPr>
            <w:r>
              <w:rPr/>
              <w:t>Úroky z omeškania</w:t>
            </w:r>
          </w:p>
        </w:tc>
        <w:tc>
          <w:tcPr>
            <w:tcW w:type="dxa" w:w="2487"/>
            <w:tcBorders>
              <w:top w:val="nil"/>
              <w:left w:val="nil"/>
              <w:bottom w:val="nil"/>
              <w:right w:val="nil"/>
            </w:tcBorders>
            <w:shd w:fill="FFFFFF" w:val="clear"/>
            <w:vAlign w:val="center"/>
          </w:tcPr>
          <w:p>
            <w:pPr>
              <w:pStyle w:val="style76"/>
              <w:rPr/>
            </w:pPr>
            <w:r>
              <w:rPr/>
            </w:r>
          </w:p>
        </w:tc>
        <w:tc>
          <w:tcPr>
            <w:tcW w:type="dxa" w:w="2501"/>
            <w:tcBorders>
              <w:top w:val="nil"/>
              <w:left w:val="nil"/>
              <w:bottom w:val="nil"/>
              <w:right w:val="nil"/>
            </w:tcBorders>
            <w:shd w:fill="FFFFFF" w:val="clear"/>
            <w:vAlign w:val="center"/>
          </w:tcPr>
          <w:p>
            <w:pPr>
              <w:pStyle w:val="style76"/>
              <w:rPr/>
            </w:pPr>
            <w:r>
              <w:rPr/>
            </w:r>
          </w:p>
        </w:tc>
      </w:tr>
      <w:tr>
        <w:trPr>
          <w:trHeight w:hRule="atLeast" w:val="315"/>
          <w:cantSplit w:val="false"/>
        </w:trPr>
        <w:tc>
          <w:tcPr>
            <w:tcW w:type="dxa" w:w="3307"/>
            <w:tcBorders>
              <w:top w:val="nil"/>
              <w:left w:val="nil"/>
              <w:bottom w:val="nil"/>
              <w:right w:val="nil"/>
            </w:tcBorders>
            <w:shd w:fill="FFFFFF" w:val="clear"/>
            <w:vAlign w:val="center"/>
          </w:tcPr>
          <w:p>
            <w:pPr>
              <w:pStyle w:val="style76"/>
              <w:rPr/>
            </w:pPr>
            <w:r>
              <w:rPr/>
              <w:t> </w:t>
            </w:r>
            <w:r>
              <w:rPr/>
              <w:t>Kurzové zisky</w:t>
            </w:r>
          </w:p>
        </w:tc>
        <w:tc>
          <w:tcPr>
            <w:tcW w:type="dxa" w:w="2487"/>
            <w:tcBorders>
              <w:top w:val="nil"/>
              <w:left w:val="nil"/>
              <w:bottom w:val="nil"/>
              <w:right w:val="nil"/>
            </w:tcBorders>
            <w:shd w:fill="FFFFFF" w:val="clear"/>
            <w:vAlign w:val="center"/>
          </w:tcPr>
          <w:p>
            <w:pPr>
              <w:pStyle w:val="style76"/>
              <w:jc w:val="center"/>
              <w:rPr/>
            </w:pPr>
            <w:r>
              <w:rPr/>
              <w:t>2</w:t>
            </w:r>
          </w:p>
        </w:tc>
        <w:tc>
          <w:tcPr>
            <w:tcW w:type="dxa" w:w="2501"/>
            <w:tcBorders>
              <w:top w:val="nil"/>
              <w:left w:val="nil"/>
              <w:bottom w:val="nil"/>
              <w:right w:val="nil"/>
            </w:tcBorders>
            <w:shd w:fill="FFFFFF" w:val="clear"/>
            <w:vAlign w:val="center"/>
          </w:tcPr>
          <w:p>
            <w:pPr>
              <w:pStyle w:val="style76"/>
              <w:jc w:val="center"/>
              <w:rPr/>
            </w:pPr>
            <w:r>
              <w:rPr/>
              <w:t>1</w:t>
            </w:r>
          </w:p>
        </w:tc>
      </w:tr>
      <w:tr>
        <w:trPr>
          <w:trHeight w:hRule="atLeast" w:val="315"/>
          <w:cantSplit w:val="false"/>
        </w:trPr>
        <w:tc>
          <w:tcPr>
            <w:tcW w:type="dxa" w:w="3307"/>
            <w:tcBorders>
              <w:top w:val="nil"/>
              <w:left w:val="nil"/>
              <w:bottom w:val="nil"/>
              <w:right w:val="nil"/>
            </w:tcBorders>
            <w:shd w:fill="FFFFFF" w:val="clear"/>
            <w:vAlign w:val="center"/>
          </w:tcPr>
          <w:p>
            <w:pPr>
              <w:pStyle w:val="style76"/>
              <w:rPr>
                <w:b/>
                <w:bCs/>
                <w:sz w:val="16"/>
                <w:szCs w:val="16"/>
              </w:rPr>
            </w:pPr>
            <w:r>
              <w:rPr>
                <w:b/>
                <w:bCs/>
                <w:sz w:val="16"/>
                <w:szCs w:val="16"/>
              </w:rPr>
              <w:t>Výnosy spolu:</w:t>
            </w:r>
          </w:p>
        </w:tc>
        <w:tc>
          <w:tcPr>
            <w:tcW w:type="dxa" w:w="2487"/>
            <w:tcBorders>
              <w:top w:val="nil"/>
              <w:left w:val="nil"/>
              <w:bottom w:val="nil"/>
              <w:right w:val="nil"/>
            </w:tcBorders>
            <w:shd w:fill="FFFFFF" w:val="clear"/>
            <w:vAlign w:val="center"/>
          </w:tcPr>
          <w:p>
            <w:pPr>
              <w:pStyle w:val="style76"/>
              <w:jc w:val="center"/>
              <w:rPr>
                <w:b/>
                <w:bCs/>
                <w:sz w:val="18"/>
                <w:szCs w:val="18"/>
              </w:rPr>
            </w:pPr>
            <w:r>
              <w:rPr>
                <w:b/>
                <w:bCs/>
                <w:sz w:val="18"/>
                <w:szCs w:val="18"/>
              </w:rPr>
              <w:t>28815</w:t>
            </w:r>
          </w:p>
        </w:tc>
        <w:tc>
          <w:tcPr>
            <w:tcW w:type="dxa" w:w="2501"/>
            <w:tcBorders>
              <w:top w:val="nil"/>
              <w:left w:val="nil"/>
              <w:bottom w:val="nil"/>
              <w:right w:val="nil"/>
            </w:tcBorders>
            <w:shd w:fill="FFFFFF" w:val="clear"/>
            <w:vAlign w:val="center"/>
          </w:tcPr>
          <w:p>
            <w:pPr>
              <w:pStyle w:val="style76"/>
              <w:jc w:val="center"/>
              <w:rPr>
                <w:b/>
                <w:bCs/>
                <w:sz w:val="18"/>
                <w:szCs w:val="18"/>
              </w:rPr>
            </w:pPr>
            <w:r>
              <w:rPr>
                <w:b/>
                <w:bCs/>
                <w:sz w:val="18"/>
                <w:szCs w:val="18"/>
              </w:rPr>
              <w:t>49745</w:t>
            </w:r>
          </w:p>
        </w:tc>
      </w:tr>
    </w:tbl>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pPr>
      <w:r>
        <w:rPr/>
      </w:r>
    </w:p>
    <w:p>
      <w:pPr>
        <w:pStyle w:val="style0"/>
        <w:rPr>
          <w:b/>
          <w:bCs/>
        </w:rPr>
      </w:pPr>
      <w:r>
        <w:rPr>
          <w:b/>
          <w:bCs/>
        </w:rPr>
        <w:t>VI.  INFORMÁCIE O NÁKLADOCH</w:t>
      </w:r>
    </w:p>
    <w:p>
      <w:pPr>
        <w:pStyle w:val="style0"/>
        <w:rPr>
          <w:b/>
          <w:bCs/>
        </w:rPr>
      </w:pPr>
      <w:r>
        <w:rPr>
          <w:b/>
          <w:bCs/>
        </w:rPr>
      </w:r>
    </w:p>
    <w:p>
      <w:pPr>
        <w:pStyle w:val="style0"/>
        <w:rPr>
          <w:b/>
          <w:bCs/>
          <w:sz w:val="16"/>
          <w:szCs w:val="16"/>
        </w:rPr>
      </w:pPr>
      <w:r>
        <w:rPr>
          <w:b w:val="false"/>
          <w:bCs w:val="false"/>
          <w:sz w:val="16"/>
          <w:szCs w:val="16"/>
        </w:rPr>
        <w:t xml:space="preserve">Za rok 2018 spoločnosť dosiahla celkové náklady vo výške   </w:t>
      </w:r>
      <w:r>
        <w:rPr>
          <w:b/>
          <w:bCs/>
          <w:sz w:val="16"/>
          <w:szCs w:val="16"/>
        </w:rPr>
        <w:t>37689 €</w:t>
      </w:r>
    </w:p>
    <w:p>
      <w:pPr>
        <w:pStyle w:val="style0"/>
        <w:rPr>
          <w:b w:val="false"/>
          <w:bCs w:val="false"/>
          <w:sz w:val="16"/>
          <w:szCs w:val="16"/>
        </w:rPr>
      </w:pPr>
      <w:r>
        <w:rPr>
          <w:b w:val="false"/>
          <w:bCs w:val="false"/>
          <w:sz w:val="16"/>
          <w:szCs w:val="16"/>
        </w:rPr>
      </w:r>
    </w:p>
    <w:tbl>
      <w:tblPr>
        <w:jc w:val="left"/>
        <w:tblInd w:type="dxa" w:w="-14"/>
        <w:tblBorders>
          <w:top w:val="nil"/>
          <w:left w:val="nil"/>
          <w:bottom w:val="nil"/>
          <w:insideH w:val="nil"/>
          <w:right w:val="nil"/>
          <w:insideV w:val="nil"/>
        </w:tblBorders>
        <w:tblCellMar>
          <w:top w:type="dxa" w:w="0"/>
          <w:left w:type="dxa" w:w="0"/>
          <w:bottom w:type="dxa" w:w="0"/>
          <w:right w:type="dxa" w:w="0"/>
        </w:tblCellMar>
      </w:tblPr>
      <w:tblGrid>
        <w:gridCol w:w="3313"/>
        <w:gridCol w:w="2496"/>
        <w:gridCol w:w="2500"/>
      </w:tblGrid>
      <w:tr>
        <w:trPr>
          <w:trHeight w:hRule="atLeast" w:val="300"/>
          <w:cantSplit w:val="false"/>
        </w:trPr>
        <w:tc>
          <w:tcPr>
            <w:tcW w:type="dxa" w:w="3313"/>
            <w:tcBorders>
              <w:top w:val="nil"/>
              <w:left w:val="nil"/>
              <w:bottom w:val="nil"/>
              <w:right w:val="nil"/>
            </w:tcBorders>
            <w:shd w:fill="FFFFFF" w:val="clear"/>
            <w:vAlign w:val="center"/>
          </w:tcPr>
          <w:p>
            <w:pPr>
              <w:pStyle w:val="style76"/>
              <w:rPr>
                <w:b/>
                <w:bCs/>
                <w:sz w:val="16"/>
                <w:szCs w:val="16"/>
              </w:rPr>
            </w:pPr>
            <w:r>
              <w:rPr>
                <w:b/>
                <w:bCs/>
                <w:sz w:val="16"/>
                <w:szCs w:val="16"/>
              </w:rPr>
              <w:t>Názov položky</w:t>
            </w:r>
          </w:p>
        </w:tc>
        <w:tc>
          <w:tcPr>
            <w:tcW w:type="dxa" w:w="2496"/>
            <w:tcBorders>
              <w:top w:val="nil"/>
              <w:left w:val="nil"/>
              <w:bottom w:val="nil"/>
              <w:right w:val="nil"/>
            </w:tcBorders>
            <w:shd w:fill="FFFFFF" w:val="clear"/>
            <w:vAlign w:val="center"/>
          </w:tcPr>
          <w:p>
            <w:pPr>
              <w:pStyle w:val="style76"/>
              <w:rPr>
                <w:b/>
                <w:bCs/>
                <w:sz w:val="16"/>
                <w:szCs w:val="16"/>
              </w:rPr>
            </w:pPr>
            <w:r>
              <w:rPr>
                <w:b/>
                <w:bCs/>
                <w:sz w:val="16"/>
                <w:szCs w:val="16"/>
              </w:rPr>
              <w:t>Bežné účtovné obdobie</w:t>
            </w:r>
          </w:p>
        </w:tc>
        <w:tc>
          <w:tcPr>
            <w:tcW w:type="dxa" w:w="2500"/>
            <w:tcBorders>
              <w:top w:val="nil"/>
              <w:left w:val="nil"/>
              <w:bottom w:val="nil"/>
              <w:right w:val="nil"/>
            </w:tcBorders>
            <w:shd w:fill="FFFFFF" w:val="clear"/>
            <w:vAlign w:val="center"/>
          </w:tcPr>
          <w:p>
            <w:pPr>
              <w:pStyle w:val="style76"/>
              <w:rPr>
                <w:b/>
                <w:bCs/>
                <w:sz w:val="16"/>
                <w:szCs w:val="16"/>
              </w:rPr>
            </w:pPr>
            <w:r>
              <w:rPr>
                <w:b/>
                <w:bCs/>
                <w:sz w:val="16"/>
                <w:szCs w:val="16"/>
              </w:rPr>
              <w:t>Bezprostredne predchádzajúce</w:t>
            </w:r>
          </w:p>
        </w:tc>
      </w:tr>
      <w:tr>
        <w:trPr>
          <w:trHeight w:hRule="atLeast" w:val="315"/>
          <w:cantSplit w:val="false"/>
        </w:trPr>
        <w:tc>
          <w:tcPr>
            <w:tcW w:type="dxa" w:w="3313"/>
            <w:tcBorders>
              <w:top w:val="nil"/>
              <w:left w:val="nil"/>
              <w:bottom w:val="nil"/>
              <w:right w:val="nil"/>
            </w:tcBorders>
            <w:shd w:fill="FFFFFF" w:val="clear"/>
            <w:vAlign w:val="center"/>
          </w:tcPr>
          <w:p>
            <w:pPr>
              <w:pStyle w:val="style76"/>
              <w:rPr>
                <w:b/>
                <w:bCs/>
                <w:sz w:val="16"/>
                <w:szCs w:val="16"/>
              </w:rPr>
            </w:pPr>
            <w:r>
              <w:rPr>
                <w:b/>
                <w:bCs/>
                <w:sz w:val="16"/>
                <w:szCs w:val="16"/>
              </w:rPr>
              <w:t> </w:t>
            </w:r>
          </w:p>
        </w:tc>
        <w:tc>
          <w:tcPr>
            <w:tcW w:type="dxa" w:w="2496"/>
            <w:tcBorders>
              <w:top w:val="nil"/>
              <w:left w:val="nil"/>
              <w:bottom w:val="nil"/>
              <w:right w:val="nil"/>
            </w:tcBorders>
            <w:shd w:fill="FFFFFF" w:val="clear"/>
            <w:vAlign w:val="center"/>
          </w:tcPr>
          <w:p>
            <w:pPr>
              <w:pStyle w:val="style76"/>
              <w:rPr>
                <w:b/>
                <w:bCs/>
                <w:sz w:val="16"/>
                <w:szCs w:val="16"/>
              </w:rPr>
            </w:pPr>
            <w:r>
              <w:rPr>
                <w:b/>
                <w:bCs/>
                <w:sz w:val="16"/>
                <w:szCs w:val="16"/>
              </w:rPr>
              <w:t>účtovné obdobie</w:t>
            </w:r>
          </w:p>
        </w:tc>
        <w:tc>
          <w:tcPr>
            <w:tcW w:type="dxa" w:w="2500"/>
            <w:tcBorders>
              <w:top w:val="nil"/>
              <w:left w:val="nil"/>
              <w:bottom w:val="nil"/>
              <w:right w:val="nil"/>
            </w:tcBorders>
            <w:shd w:fill="FFFFFF" w:val="clear"/>
            <w:vAlign w:val="center"/>
          </w:tcPr>
          <w:p>
            <w:pPr>
              <w:pStyle w:val="style76"/>
              <w:rPr>
                <w:b/>
                <w:bCs/>
                <w:sz w:val="16"/>
                <w:szCs w:val="16"/>
              </w:rPr>
            </w:pPr>
            <w:r>
              <w:rPr>
                <w:b/>
                <w:bCs/>
                <w:sz w:val="16"/>
                <w:szCs w:val="16"/>
              </w:rPr>
              <w:t>účtovné obdobie</w:t>
            </w:r>
          </w:p>
        </w:tc>
      </w:tr>
      <w:tr>
        <w:trPr>
          <w:trHeight w:hRule="atLeast" w:val="315"/>
          <w:cantSplit w:val="false"/>
        </w:trPr>
        <w:tc>
          <w:tcPr>
            <w:tcW w:type="dxa" w:w="3313"/>
            <w:tcBorders>
              <w:top w:val="nil"/>
              <w:left w:val="nil"/>
              <w:bottom w:val="nil"/>
              <w:right w:val="nil"/>
            </w:tcBorders>
            <w:shd w:fill="FFFFFF" w:val="clear"/>
            <w:vAlign w:val="center"/>
          </w:tcPr>
          <w:p>
            <w:pPr>
              <w:pStyle w:val="style76"/>
              <w:rPr>
                <w:sz w:val="16"/>
                <w:szCs w:val="16"/>
              </w:rPr>
            </w:pPr>
            <w:r>
              <w:rPr>
                <w:sz w:val="16"/>
                <w:szCs w:val="16"/>
              </w:rPr>
              <w:t>Spotreba materiálu</w:t>
            </w:r>
          </w:p>
        </w:tc>
        <w:tc>
          <w:tcPr>
            <w:tcW w:type="dxa" w:w="2496"/>
            <w:tcBorders>
              <w:top w:val="nil"/>
              <w:left w:val="nil"/>
              <w:bottom w:val="nil"/>
              <w:right w:val="nil"/>
            </w:tcBorders>
            <w:shd w:fill="FFFFFF" w:val="clear"/>
            <w:vAlign w:val="center"/>
          </w:tcPr>
          <w:p>
            <w:pPr>
              <w:pStyle w:val="style76"/>
              <w:jc w:val="center"/>
              <w:rPr/>
            </w:pPr>
            <w:r>
              <w:rPr/>
              <w:t>109</w:t>
            </w:r>
          </w:p>
        </w:tc>
        <w:tc>
          <w:tcPr>
            <w:tcW w:type="dxa" w:w="2500"/>
            <w:tcBorders>
              <w:top w:val="nil"/>
              <w:left w:val="nil"/>
              <w:bottom w:val="nil"/>
              <w:right w:val="nil"/>
            </w:tcBorders>
            <w:shd w:fill="FFFFFF" w:val="clear"/>
            <w:vAlign w:val="center"/>
          </w:tcPr>
          <w:p>
            <w:pPr>
              <w:pStyle w:val="style76"/>
              <w:jc w:val="center"/>
              <w:rPr/>
            </w:pPr>
            <w:r>
              <w:rPr/>
              <w:t>109667</w:t>
            </w:r>
          </w:p>
        </w:tc>
      </w:tr>
      <w:tr>
        <w:trPr>
          <w:trHeight w:hRule="atLeast" w:val="300"/>
          <w:cantSplit w:val="false"/>
        </w:trPr>
        <w:tc>
          <w:tcPr>
            <w:tcW w:type="dxa" w:w="3313"/>
            <w:tcBorders>
              <w:top w:val="nil"/>
              <w:left w:val="nil"/>
              <w:bottom w:val="nil"/>
              <w:right w:val="nil"/>
            </w:tcBorders>
            <w:shd w:fill="FFFFFF" w:val="clear"/>
            <w:vAlign w:val="center"/>
          </w:tcPr>
          <w:p>
            <w:pPr>
              <w:pStyle w:val="style76"/>
              <w:rPr>
                <w:sz w:val="16"/>
                <w:szCs w:val="16"/>
              </w:rPr>
            </w:pPr>
            <w:r>
              <w:rPr>
                <w:sz w:val="16"/>
                <w:szCs w:val="16"/>
              </w:rPr>
              <w:t>667Spotreba PHM</w:t>
            </w:r>
          </w:p>
        </w:tc>
        <w:tc>
          <w:tcPr>
            <w:tcW w:type="dxa" w:w="2496"/>
            <w:tcBorders>
              <w:top w:val="nil"/>
              <w:left w:val="nil"/>
              <w:bottom w:val="nil"/>
              <w:right w:val="nil"/>
            </w:tcBorders>
            <w:shd w:fill="FFFFFF" w:val="clear"/>
            <w:vAlign w:val="center"/>
          </w:tcPr>
          <w:p>
            <w:pPr>
              <w:pStyle w:val="style76"/>
              <w:rPr/>
            </w:pPr>
            <w:r>
              <w:rPr/>
            </w:r>
          </w:p>
        </w:tc>
        <w:tc>
          <w:tcPr>
            <w:tcW w:type="dxa" w:w="2500"/>
            <w:tcBorders>
              <w:top w:val="nil"/>
              <w:left w:val="nil"/>
              <w:bottom w:val="nil"/>
              <w:right w:val="nil"/>
            </w:tcBorders>
            <w:shd w:fill="FFFFFF" w:val="clear"/>
            <w:vAlign w:val="center"/>
          </w:tcPr>
          <w:p>
            <w:pPr>
              <w:pStyle w:val="style76"/>
              <w:rPr/>
            </w:pPr>
            <w:r>
              <w:rPr/>
            </w:r>
          </w:p>
        </w:tc>
      </w:tr>
      <w:tr>
        <w:trPr>
          <w:trHeight w:hRule="atLeast" w:val="300"/>
          <w:cantSplit w:val="false"/>
        </w:trPr>
        <w:tc>
          <w:tcPr>
            <w:tcW w:type="dxa" w:w="3313"/>
            <w:tcBorders>
              <w:top w:val="nil"/>
              <w:left w:val="nil"/>
              <w:bottom w:val="nil"/>
              <w:right w:val="nil"/>
            </w:tcBorders>
            <w:shd w:fill="FFFFFF" w:val="clear"/>
            <w:vAlign w:val="center"/>
          </w:tcPr>
          <w:p>
            <w:pPr>
              <w:pStyle w:val="style76"/>
              <w:rPr>
                <w:sz w:val="16"/>
                <w:szCs w:val="16"/>
              </w:rPr>
            </w:pPr>
            <w:r>
              <w:rPr>
                <w:sz w:val="16"/>
                <w:szCs w:val="16"/>
              </w:rPr>
              <w:t>Spotreba energií</w:t>
            </w:r>
          </w:p>
        </w:tc>
        <w:tc>
          <w:tcPr>
            <w:tcW w:type="dxa" w:w="2496"/>
            <w:tcBorders>
              <w:top w:val="nil"/>
              <w:left w:val="nil"/>
              <w:bottom w:val="nil"/>
              <w:right w:val="nil"/>
            </w:tcBorders>
            <w:shd w:fill="FFFFFF" w:val="clear"/>
            <w:vAlign w:val="center"/>
          </w:tcPr>
          <w:p>
            <w:pPr>
              <w:pStyle w:val="style76"/>
              <w:rPr/>
            </w:pPr>
            <w:r>
              <w:rPr/>
            </w:r>
          </w:p>
        </w:tc>
        <w:tc>
          <w:tcPr>
            <w:tcW w:type="dxa" w:w="2500"/>
            <w:tcBorders>
              <w:top w:val="nil"/>
              <w:left w:val="nil"/>
              <w:bottom w:val="nil"/>
              <w:right w:val="nil"/>
            </w:tcBorders>
            <w:shd w:fill="FFFFFF" w:val="clear"/>
            <w:vAlign w:val="center"/>
          </w:tcPr>
          <w:p>
            <w:pPr>
              <w:pStyle w:val="style76"/>
              <w:rPr/>
            </w:pPr>
            <w:r>
              <w:rPr/>
            </w:r>
          </w:p>
        </w:tc>
      </w:tr>
      <w:tr>
        <w:trPr>
          <w:trHeight w:hRule="atLeast" w:val="300"/>
          <w:cantSplit w:val="false"/>
        </w:trPr>
        <w:tc>
          <w:tcPr>
            <w:tcW w:type="dxa" w:w="3313"/>
            <w:tcBorders>
              <w:top w:val="nil"/>
              <w:left w:val="nil"/>
              <w:bottom w:val="nil"/>
              <w:right w:val="nil"/>
            </w:tcBorders>
            <w:shd w:fill="FFFFFF" w:val="clear"/>
            <w:vAlign w:val="center"/>
          </w:tcPr>
          <w:p>
            <w:pPr>
              <w:pStyle w:val="style76"/>
              <w:rPr>
                <w:sz w:val="16"/>
                <w:szCs w:val="16"/>
              </w:rPr>
            </w:pPr>
            <w:r>
              <w:rPr>
                <w:sz w:val="16"/>
                <w:szCs w:val="16"/>
              </w:rPr>
              <w:t>Predaný tovar</w:t>
            </w:r>
          </w:p>
        </w:tc>
        <w:tc>
          <w:tcPr>
            <w:tcW w:type="dxa" w:w="2496"/>
            <w:tcBorders>
              <w:top w:val="nil"/>
              <w:left w:val="nil"/>
              <w:bottom w:val="nil"/>
              <w:right w:val="nil"/>
            </w:tcBorders>
            <w:shd w:fill="FFFFFF" w:val="clear"/>
            <w:vAlign w:val="center"/>
          </w:tcPr>
          <w:p>
            <w:pPr>
              <w:pStyle w:val="style76"/>
              <w:jc w:val="center"/>
              <w:rPr/>
            </w:pPr>
            <w:r>
              <w:rPr/>
              <w:t>15871</w:t>
            </w:r>
          </w:p>
        </w:tc>
        <w:tc>
          <w:tcPr>
            <w:tcW w:type="dxa" w:w="2500"/>
            <w:tcBorders>
              <w:top w:val="nil"/>
              <w:left w:val="nil"/>
              <w:bottom w:val="nil"/>
              <w:right w:val="nil"/>
            </w:tcBorders>
            <w:shd w:fill="FFFFFF" w:val="clear"/>
            <w:vAlign w:val="center"/>
          </w:tcPr>
          <w:p>
            <w:pPr>
              <w:pStyle w:val="style76"/>
              <w:jc w:val="center"/>
              <w:rPr/>
            </w:pPr>
            <w:r>
              <w:rPr/>
              <w:t>44768</w:t>
            </w:r>
          </w:p>
        </w:tc>
      </w:tr>
      <w:tr>
        <w:trPr>
          <w:trHeight w:hRule="atLeast" w:val="300"/>
          <w:cantSplit w:val="false"/>
        </w:trPr>
        <w:tc>
          <w:tcPr>
            <w:tcW w:type="dxa" w:w="3313"/>
            <w:tcBorders>
              <w:top w:val="nil"/>
              <w:left w:val="nil"/>
              <w:bottom w:val="nil"/>
              <w:right w:val="nil"/>
            </w:tcBorders>
            <w:shd w:fill="FFFFFF" w:val="clear"/>
            <w:vAlign w:val="center"/>
          </w:tcPr>
          <w:p>
            <w:pPr>
              <w:pStyle w:val="style76"/>
              <w:rPr>
                <w:sz w:val="16"/>
                <w:szCs w:val="16"/>
              </w:rPr>
            </w:pPr>
            <w:r>
              <w:rPr>
                <w:sz w:val="16"/>
                <w:szCs w:val="16"/>
              </w:rPr>
              <w:t>Ostatné služby</w:t>
            </w:r>
          </w:p>
        </w:tc>
        <w:tc>
          <w:tcPr>
            <w:tcW w:type="dxa" w:w="2496"/>
            <w:tcBorders>
              <w:top w:val="nil"/>
              <w:left w:val="nil"/>
              <w:bottom w:val="nil"/>
              <w:right w:val="nil"/>
            </w:tcBorders>
            <w:shd w:fill="FFFFFF" w:val="clear"/>
            <w:vAlign w:val="center"/>
          </w:tcPr>
          <w:p>
            <w:pPr>
              <w:pStyle w:val="style76"/>
              <w:jc w:val="center"/>
              <w:rPr/>
            </w:pPr>
            <w:r>
              <w:rPr/>
              <w:t>3588</w:t>
            </w:r>
          </w:p>
        </w:tc>
        <w:tc>
          <w:tcPr>
            <w:tcW w:type="dxa" w:w="2500"/>
            <w:tcBorders>
              <w:top w:val="nil"/>
              <w:left w:val="nil"/>
              <w:bottom w:val="nil"/>
              <w:right w:val="nil"/>
            </w:tcBorders>
            <w:shd w:fill="FFFFFF" w:val="clear"/>
            <w:vAlign w:val="center"/>
          </w:tcPr>
          <w:p>
            <w:pPr>
              <w:pStyle w:val="style76"/>
              <w:jc w:val="center"/>
              <w:rPr/>
            </w:pPr>
            <w:r>
              <w:rPr/>
              <w:t>10969</w:t>
            </w:r>
          </w:p>
        </w:tc>
      </w:tr>
      <w:tr>
        <w:trPr>
          <w:trHeight w:hRule="atLeast" w:val="300"/>
          <w:cantSplit w:val="false"/>
        </w:trPr>
        <w:tc>
          <w:tcPr>
            <w:tcW w:type="dxa" w:w="3313"/>
            <w:tcBorders>
              <w:top w:val="nil"/>
              <w:left w:val="nil"/>
              <w:bottom w:val="nil"/>
              <w:right w:val="nil"/>
            </w:tcBorders>
            <w:shd w:fill="FFFFFF" w:val="clear"/>
            <w:vAlign w:val="center"/>
          </w:tcPr>
          <w:p>
            <w:pPr>
              <w:pStyle w:val="style76"/>
              <w:rPr>
                <w:sz w:val="16"/>
                <w:szCs w:val="16"/>
              </w:rPr>
            </w:pPr>
            <w:r>
              <w:rPr>
                <w:sz w:val="16"/>
                <w:szCs w:val="16"/>
              </w:rPr>
              <w:t>Prevádzkové náklady</w:t>
            </w:r>
          </w:p>
        </w:tc>
        <w:tc>
          <w:tcPr>
            <w:tcW w:type="dxa" w:w="2496"/>
            <w:tcBorders>
              <w:top w:val="nil"/>
              <w:left w:val="nil"/>
              <w:bottom w:val="nil"/>
              <w:right w:val="nil"/>
            </w:tcBorders>
            <w:shd w:fill="FFFFFF" w:val="clear"/>
            <w:vAlign w:val="center"/>
          </w:tcPr>
          <w:p>
            <w:pPr>
              <w:pStyle w:val="style76"/>
              <w:jc w:val="center"/>
              <w:rPr/>
            </w:pPr>
            <w:r>
              <w:rPr/>
            </w:r>
          </w:p>
        </w:tc>
        <w:tc>
          <w:tcPr>
            <w:tcW w:type="dxa" w:w="2500"/>
            <w:tcBorders>
              <w:top w:val="nil"/>
              <w:left w:val="nil"/>
              <w:bottom w:val="nil"/>
              <w:right w:val="nil"/>
            </w:tcBorders>
            <w:shd w:fill="FFFFFF" w:val="clear"/>
            <w:vAlign w:val="center"/>
          </w:tcPr>
          <w:p>
            <w:pPr>
              <w:pStyle w:val="style76"/>
              <w:jc w:val="center"/>
              <w:rPr/>
            </w:pPr>
            <w:r>
              <w:rPr/>
              <w:t>6217</w:t>
            </w:r>
          </w:p>
        </w:tc>
      </w:tr>
      <w:tr>
        <w:trPr>
          <w:trHeight w:hRule="atLeast" w:val="300"/>
          <w:cantSplit w:val="false"/>
        </w:trPr>
        <w:tc>
          <w:tcPr>
            <w:tcW w:type="dxa" w:w="3313"/>
            <w:tcBorders>
              <w:top w:val="nil"/>
              <w:left w:val="nil"/>
              <w:bottom w:val="nil"/>
              <w:right w:val="nil"/>
            </w:tcBorders>
            <w:shd w:fill="FFFFFF" w:val="clear"/>
            <w:vAlign w:val="center"/>
          </w:tcPr>
          <w:p>
            <w:pPr>
              <w:pStyle w:val="style76"/>
              <w:rPr>
                <w:sz w:val="16"/>
                <w:szCs w:val="16"/>
              </w:rPr>
            </w:pPr>
            <w:r>
              <w:rPr>
                <w:sz w:val="16"/>
                <w:szCs w:val="16"/>
              </w:rPr>
              <w:t>Mzdové náklady</w:t>
            </w:r>
          </w:p>
        </w:tc>
        <w:tc>
          <w:tcPr>
            <w:tcW w:type="dxa" w:w="2496"/>
            <w:tcBorders>
              <w:top w:val="nil"/>
              <w:left w:val="nil"/>
              <w:bottom w:val="nil"/>
              <w:right w:val="nil"/>
            </w:tcBorders>
            <w:shd w:fill="FFFFFF" w:val="clear"/>
            <w:vAlign w:val="center"/>
          </w:tcPr>
          <w:p>
            <w:pPr>
              <w:pStyle w:val="style76"/>
              <w:jc w:val="center"/>
              <w:rPr/>
            </w:pPr>
            <w:r>
              <w:rPr/>
              <w:t>17743</w:t>
            </w:r>
          </w:p>
        </w:tc>
        <w:tc>
          <w:tcPr>
            <w:tcW w:type="dxa" w:w="2500"/>
            <w:tcBorders>
              <w:top w:val="nil"/>
              <w:left w:val="nil"/>
              <w:bottom w:val="nil"/>
              <w:right w:val="nil"/>
            </w:tcBorders>
            <w:shd w:fill="FFFFFF" w:val="clear"/>
            <w:vAlign w:val="center"/>
          </w:tcPr>
          <w:p>
            <w:pPr>
              <w:pStyle w:val="style76"/>
              <w:jc w:val="center"/>
              <w:rPr/>
            </w:pPr>
            <w:r>
              <w:rPr/>
            </w:r>
          </w:p>
        </w:tc>
      </w:tr>
      <w:tr>
        <w:trPr>
          <w:trHeight w:hRule="atLeast" w:val="300"/>
          <w:cantSplit w:val="false"/>
        </w:trPr>
        <w:tc>
          <w:tcPr>
            <w:tcW w:type="dxa" w:w="3313"/>
            <w:tcBorders>
              <w:top w:val="nil"/>
              <w:left w:val="nil"/>
              <w:bottom w:val="nil"/>
              <w:right w:val="nil"/>
            </w:tcBorders>
            <w:shd w:fill="FFFFFF" w:val="clear"/>
            <w:vAlign w:val="center"/>
          </w:tcPr>
          <w:p>
            <w:pPr>
              <w:pStyle w:val="style76"/>
              <w:rPr>
                <w:sz w:val="16"/>
                <w:szCs w:val="16"/>
              </w:rPr>
            </w:pPr>
            <w:r>
              <w:rPr>
                <w:sz w:val="16"/>
                <w:szCs w:val="16"/>
              </w:rPr>
              <w:t>Ostatné prevádzkové náklady</w:t>
            </w:r>
          </w:p>
        </w:tc>
        <w:tc>
          <w:tcPr>
            <w:tcW w:type="dxa" w:w="2496"/>
            <w:tcBorders>
              <w:top w:val="nil"/>
              <w:left w:val="nil"/>
              <w:bottom w:val="nil"/>
              <w:right w:val="nil"/>
            </w:tcBorders>
            <w:shd w:fill="FFFFFF" w:val="clear"/>
            <w:vAlign w:val="center"/>
          </w:tcPr>
          <w:p>
            <w:pPr>
              <w:pStyle w:val="style76"/>
              <w:jc w:val="center"/>
              <w:rPr/>
            </w:pPr>
            <w:r>
              <w:rPr/>
              <w:t>33</w:t>
            </w:r>
          </w:p>
        </w:tc>
        <w:tc>
          <w:tcPr>
            <w:tcW w:type="dxa" w:w="2500"/>
            <w:tcBorders>
              <w:top w:val="nil"/>
              <w:left w:val="nil"/>
              <w:bottom w:val="nil"/>
              <w:right w:val="nil"/>
            </w:tcBorders>
            <w:shd w:fill="FFFFFF" w:val="clear"/>
            <w:vAlign w:val="center"/>
          </w:tcPr>
          <w:p>
            <w:pPr>
              <w:pStyle w:val="style76"/>
              <w:jc w:val="center"/>
              <w:rPr/>
            </w:pPr>
            <w:r>
              <w:rPr/>
            </w:r>
          </w:p>
        </w:tc>
      </w:tr>
      <w:tr>
        <w:trPr>
          <w:trHeight w:hRule="atLeast" w:val="300"/>
          <w:cantSplit w:val="false"/>
        </w:trPr>
        <w:tc>
          <w:tcPr>
            <w:tcW w:type="dxa" w:w="3313"/>
            <w:tcBorders>
              <w:top w:val="nil"/>
              <w:left w:val="nil"/>
              <w:bottom w:val="nil"/>
              <w:right w:val="nil"/>
            </w:tcBorders>
            <w:shd w:fill="FFFFFF" w:val="clear"/>
            <w:vAlign w:val="center"/>
          </w:tcPr>
          <w:p>
            <w:pPr>
              <w:pStyle w:val="style76"/>
              <w:rPr>
                <w:sz w:val="16"/>
                <w:szCs w:val="16"/>
              </w:rPr>
            </w:pPr>
            <w:r>
              <w:rPr>
                <w:sz w:val="16"/>
                <w:szCs w:val="16"/>
              </w:rPr>
              <w:t>Bankové poplatky</w:t>
            </w:r>
          </w:p>
        </w:tc>
        <w:tc>
          <w:tcPr>
            <w:tcW w:type="dxa" w:w="2496"/>
            <w:tcBorders>
              <w:top w:val="nil"/>
              <w:left w:val="nil"/>
              <w:bottom w:val="nil"/>
              <w:right w:val="nil"/>
            </w:tcBorders>
            <w:shd w:fill="FFFFFF" w:val="clear"/>
            <w:vAlign w:val="center"/>
          </w:tcPr>
          <w:p>
            <w:pPr>
              <w:pStyle w:val="style76"/>
              <w:jc w:val="center"/>
              <w:rPr/>
            </w:pPr>
            <w:r>
              <w:rPr/>
              <w:t>343</w:t>
            </w:r>
          </w:p>
        </w:tc>
        <w:tc>
          <w:tcPr>
            <w:tcW w:type="dxa" w:w="2500"/>
            <w:tcBorders>
              <w:top w:val="nil"/>
              <w:left w:val="nil"/>
              <w:bottom w:val="nil"/>
              <w:right w:val="nil"/>
            </w:tcBorders>
            <w:shd w:fill="FFFFFF" w:val="clear"/>
            <w:vAlign w:val="center"/>
          </w:tcPr>
          <w:p>
            <w:pPr>
              <w:pStyle w:val="style76"/>
              <w:jc w:val="center"/>
              <w:rPr/>
            </w:pPr>
            <w:r>
              <w:rPr/>
              <w:t>303</w:t>
            </w:r>
          </w:p>
        </w:tc>
      </w:tr>
      <w:tr>
        <w:trPr>
          <w:trHeight w:hRule="atLeast" w:val="300"/>
          <w:cantSplit w:val="false"/>
        </w:trPr>
        <w:tc>
          <w:tcPr>
            <w:tcW w:type="dxa" w:w="3313"/>
            <w:tcBorders>
              <w:top w:val="nil"/>
              <w:left w:val="nil"/>
              <w:bottom w:val="nil"/>
              <w:right w:val="nil"/>
            </w:tcBorders>
            <w:shd w:fill="FFFFFF" w:val="clear"/>
            <w:vAlign w:val="center"/>
          </w:tcPr>
          <w:p>
            <w:pPr>
              <w:pStyle w:val="style76"/>
              <w:rPr>
                <w:sz w:val="16"/>
                <w:szCs w:val="16"/>
              </w:rPr>
            </w:pPr>
            <w:r>
              <w:rPr>
                <w:sz w:val="16"/>
                <w:szCs w:val="16"/>
              </w:rPr>
              <w:t>Kurzové straty</w:t>
            </w:r>
          </w:p>
        </w:tc>
        <w:tc>
          <w:tcPr>
            <w:tcW w:type="dxa" w:w="2496"/>
            <w:tcBorders>
              <w:top w:val="nil"/>
              <w:left w:val="nil"/>
              <w:bottom w:val="nil"/>
              <w:right w:val="nil"/>
            </w:tcBorders>
            <w:shd w:fill="FFFFFF" w:val="clear"/>
            <w:vAlign w:val="center"/>
          </w:tcPr>
          <w:p>
            <w:pPr>
              <w:pStyle w:val="style76"/>
              <w:jc w:val="center"/>
              <w:rPr/>
            </w:pPr>
            <w:r>
              <w:rPr/>
              <w:t>2</w:t>
            </w:r>
          </w:p>
        </w:tc>
        <w:tc>
          <w:tcPr>
            <w:tcW w:type="dxa" w:w="2500"/>
            <w:tcBorders>
              <w:top w:val="nil"/>
              <w:left w:val="nil"/>
              <w:bottom w:val="nil"/>
              <w:right w:val="nil"/>
            </w:tcBorders>
            <w:shd w:fill="FFFFFF" w:val="clear"/>
            <w:vAlign w:val="center"/>
          </w:tcPr>
          <w:p>
            <w:pPr>
              <w:pStyle w:val="style76"/>
              <w:jc w:val="center"/>
              <w:rPr/>
            </w:pPr>
            <w:r>
              <w:rPr/>
              <w:t>9</w:t>
            </w:r>
          </w:p>
        </w:tc>
      </w:tr>
      <w:tr>
        <w:trPr>
          <w:trHeight w:hRule="atLeast" w:val="315"/>
          <w:cantSplit w:val="false"/>
        </w:trPr>
        <w:tc>
          <w:tcPr>
            <w:tcW w:type="dxa" w:w="3313"/>
            <w:tcBorders>
              <w:top w:val="nil"/>
              <w:left w:val="nil"/>
              <w:bottom w:val="nil"/>
              <w:right w:val="nil"/>
            </w:tcBorders>
            <w:shd w:fill="FFFFFF" w:val="clear"/>
            <w:vAlign w:val="center"/>
          </w:tcPr>
          <w:p>
            <w:pPr>
              <w:pStyle w:val="style76"/>
              <w:rPr/>
            </w:pPr>
            <w:r>
              <w:rPr/>
              <w:t> </w:t>
            </w:r>
            <w:r>
              <w:rPr/>
              <w:t>Daň z bežnej činnosti splatná</w:t>
            </w:r>
          </w:p>
        </w:tc>
        <w:tc>
          <w:tcPr>
            <w:tcW w:type="dxa" w:w="2496"/>
            <w:tcBorders>
              <w:top w:val="nil"/>
              <w:left w:val="nil"/>
              <w:bottom w:val="nil"/>
              <w:right w:val="nil"/>
            </w:tcBorders>
            <w:shd w:fill="FFFFFF" w:val="clear"/>
            <w:vAlign w:val="center"/>
          </w:tcPr>
          <w:p>
            <w:pPr>
              <w:pStyle w:val="style76"/>
              <w:jc w:val="center"/>
              <w:rPr/>
            </w:pPr>
            <w:r>
              <w:rPr/>
            </w:r>
          </w:p>
        </w:tc>
        <w:tc>
          <w:tcPr>
            <w:tcW w:type="dxa" w:w="2500"/>
            <w:tcBorders>
              <w:top w:val="nil"/>
              <w:left w:val="nil"/>
              <w:bottom w:val="nil"/>
              <w:right w:val="nil"/>
            </w:tcBorders>
            <w:shd w:fill="FFFFFF" w:val="clear"/>
            <w:vAlign w:val="center"/>
          </w:tcPr>
          <w:p>
            <w:pPr>
              <w:pStyle w:val="style76"/>
              <w:jc w:val="center"/>
              <w:rPr/>
            </w:pPr>
            <w:r>
              <w:rPr/>
              <w:t>960</w:t>
            </w:r>
          </w:p>
        </w:tc>
      </w:tr>
      <w:tr>
        <w:trPr>
          <w:trHeight w:hRule="atLeast" w:val="315"/>
          <w:cantSplit w:val="false"/>
        </w:trPr>
        <w:tc>
          <w:tcPr>
            <w:tcW w:type="dxa" w:w="3313"/>
            <w:tcBorders>
              <w:top w:val="nil"/>
              <w:left w:val="nil"/>
              <w:bottom w:val="nil"/>
              <w:right w:val="nil"/>
            </w:tcBorders>
            <w:shd w:fill="FFFFFF" w:val="clear"/>
            <w:vAlign w:val="center"/>
          </w:tcPr>
          <w:p>
            <w:pPr>
              <w:pStyle w:val="style76"/>
              <w:rPr>
                <w:b/>
                <w:bCs/>
                <w:sz w:val="16"/>
                <w:szCs w:val="16"/>
              </w:rPr>
            </w:pPr>
            <w:r>
              <w:rPr>
                <w:b/>
                <w:bCs/>
                <w:sz w:val="16"/>
                <w:szCs w:val="16"/>
              </w:rPr>
              <w:t>Náklady spolu:</w:t>
            </w:r>
          </w:p>
        </w:tc>
        <w:tc>
          <w:tcPr>
            <w:tcW w:type="dxa" w:w="2496"/>
            <w:tcBorders>
              <w:top w:val="nil"/>
              <w:left w:val="nil"/>
              <w:bottom w:val="nil"/>
              <w:right w:val="nil"/>
            </w:tcBorders>
            <w:shd w:fill="FFFFFF" w:val="clear"/>
            <w:vAlign w:val="center"/>
          </w:tcPr>
          <w:p>
            <w:pPr>
              <w:pStyle w:val="style76"/>
              <w:jc w:val="center"/>
              <w:rPr>
                <w:b/>
                <w:bCs/>
                <w:sz w:val="18"/>
                <w:szCs w:val="18"/>
              </w:rPr>
            </w:pPr>
            <w:r>
              <w:rPr>
                <w:b/>
                <w:bCs/>
                <w:sz w:val="18"/>
                <w:szCs w:val="18"/>
              </w:rPr>
              <w:t>37689</w:t>
            </w:r>
          </w:p>
        </w:tc>
        <w:tc>
          <w:tcPr>
            <w:tcW w:type="dxa" w:w="2500"/>
            <w:tcBorders>
              <w:top w:val="nil"/>
              <w:left w:val="nil"/>
              <w:bottom w:val="nil"/>
              <w:right w:val="nil"/>
            </w:tcBorders>
            <w:shd w:fill="FFFFFF" w:val="clear"/>
            <w:vAlign w:val="center"/>
          </w:tcPr>
          <w:p>
            <w:pPr>
              <w:pStyle w:val="style76"/>
              <w:jc w:val="center"/>
              <w:rPr>
                <w:b/>
                <w:bCs/>
                <w:sz w:val="18"/>
                <w:szCs w:val="18"/>
              </w:rPr>
            </w:pPr>
            <w:r>
              <w:rPr>
                <w:b/>
                <w:bCs/>
                <w:sz w:val="18"/>
                <w:szCs w:val="18"/>
              </w:rPr>
              <w:t>63884</w:t>
            </w:r>
          </w:p>
        </w:tc>
      </w:tr>
    </w:tbl>
    <w:p>
      <w:pPr>
        <w:pStyle w:val="style0"/>
        <w:rPr>
          <w:b w:val="false"/>
          <w:bCs w:val="false"/>
          <w:sz w:val="16"/>
          <w:szCs w:val="16"/>
        </w:rPr>
      </w:pPr>
      <w:r>
        <w:rPr>
          <w:b w:val="false"/>
          <w:bCs w:val="false"/>
          <w:sz w:val="16"/>
          <w:szCs w:val="16"/>
        </w:rPr>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pPr>
      <w:r>
        <w:rPr/>
      </w:r>
    </w:p>
    <w:p>
      <w:pPr>
        <w:pStyle w:val="style0"/>
        <w:pageBreakBefore/>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t>VII. INFORMÁCIE O DANIACH Z PRÍJMOV</w:t>
      </w:r>
    </w:p>
    <w:p>
      <w:pPr>
        <w:pStyle w:val="style0"/>
        <w:jc w:val="left"/>
        <w:rPr>
          <w:rFonts w:cs="Arial"/>
          <w:b/>
          <w:bCs/>
          <w:iCs/>
          <w:sz w:val="20"/>
          <w:szCs w:val="20"/>
        </w:rPr>
      </w:pPr>
      <w:r>
        <w:rPr>
          <w:rFonts w:cs="Arial"/>
          <w:b/>
          <w:bCs/>
          <w:iCs/>
          <w:sz w:val="20"/>
          <w:szCs w:val="20"/>
        </w:rPr>
      </w:r>
    </w:p>
    <w:p>
      <w:pPr>
        <w:pStyle w:val="style0"/>
        <w:jc w:val="left"/>
        <w:rPr>
          <w:rFonts w:ascii="Calibri" w:cs="Arial" w:eastAsia="Times New Roman" w:hAnsi="Calibri"/>
          <w:b w:val="false"/>
          <w:bCs w:val="false"/>
          <w:iCs/>
          <w:color w:val="000000"/>
          <w:sz w:val="20"/>
          <w:szCs w:val="20"/>
        </w:rPr>
      </w:pPr>
      <w:r>
        <w:rPr>
          <w:rFonts w:cs="Arial"/>
          <w:b w:val="false"/>
          <w:bCs w:val="false"/>
          <w:iCs/>
          <w:sz w:val="20"/>
          <w:szCs w:val="20"/>
        </w:rPr>
        <w:t xml:space="preserve">Spoločnosť v bežnom účtovnom období vykázala </w:t>
      </w:r>
      <w:r>
        <w:rPr>
          <w:rFonts w:ascii="Calibri" w:cs="Arial" w:eastAsia="Times New Roman" w:hAnsi="Calibri"/>
          <w:b w:val="false"/>
          <w:bCs w:val="false"/>
          <w:iCs/>
          <w:color w:val="000000"/>
          <w:sz w:val="20"/>
          <w:szCs w:val="20"/>
        </w:rPr>
        <w:t xml:space="preserve">účtovný zisk  </w:t>
      </w:r>
      <w:r>
        <w:rPr>
          <w:rFonts w:ascii="Calibri" w:cs="Arial" w:eastAsia="Times New Roman" w:hAnsi="Calibri"/>
          <w:b/>
          <w:bCs/>
          <w:iCs/>
          <w:color w:val="000000"/>
          <w:sz w:val="20"/>
          <w:szCs w:val="20"/>
        </w:rPr>
        <w:t>0,00</w:t>
      </w:r>
      <w:r>
        <w:rPr>
          <w:rFonts w:ascii="Calibri" w:cs="Arial" w:eastAsia="Times New Roman" w:hAnsi="Calibri"/>
          <w:b w:val="false"/>
          <w:bCs w:val="false"/>
          <w:iCs/>
          <w:color w:val="000000"/>
          <w:sz w:val="20"/>
          <w:szCs w:val="20"/>
        </w:rPr>
        <w:t xml:space="preserve"> €. P</w:t>
      </w:r>
    </w:p>
    <w:p>
      <w:pPr>
        <w:pStyle w:val="style0"/>
        <w:jc w:val="left"/>
        <w:rPr/>
      </w:pPr>
      <w:r>
        <w:rPr/>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eastAsia="Times New Roman" w:hAnsi="Calibri"/>
          <w:b/>
          <w:bCs/>
          <w:iCs/>
          <w:color w:val="000000"/>
          <w:sz w:val="22"/>
          <w:szCs w:val="22"/>
        </w:rPr>
      </w:pPr>
      <w:r>
        <w:rPr>
          <w:rFonts w:ascii="Calibri" w:cs="Arial" w:eastAsia="Times New Roman" w:hAnsi="Calibri"/>
          <w:b/>
          <w:bCs/>
          <w:iCs/>
          <w:color w:val="000000"/>
          <w:sz w:val="22"/>
          <w:szCs w:val="22"/>
        </w:rPr>
        <w:t>VIII. INFORMÁCIE O PREH2ADE ZMIEN VLASTNÉHO IMANIA</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hAnsi="Calibri"/>
          <w:b w:val="false"/>
          <w:bCs w:val="false"/>
          <w:iCs/>
          <w:color w:val="000000"/>
          <w:sz w:val="22"/>
          <w:szCs w:val="16"/>
        </w:rPr>
      </w:pPr>
      <w:r>
        <w:rPr>
          <w:rFonts w:ascii="Calibri" w:cs="Arial" w:hAnsi="Calibri"/>
          <w:b w:val="false"/>
          <w:bCs w:val="false"/>
          <w:iCs/>
          <w:color w:val="000000"/>
          <w:sz w:val="22"/>
          <w:szCs w:val="16"/>
        </w:rPr>
      </w:r>
    </w:p>
    <w:tbl>
      <w:tblPr>
        <w:jc w:val="left"/>
        <w:tblInd w:type="dxa" w:w="-105"/>
        <w:tblBorders>
          <w:top w:color="00000A" w:space="0" w:sz="8" w:val="single"/>
          <w:left w:val="nil"/>
          <w:bottom w:val="nil"/>
          <w:insideH w:val="nil"/>
          <w:right w:val="nil"/>
          <w:insideV w:val="nil"/>
        </w:tblBorders>
        <w:tblCellMar>
          <w:top w:type="dxa" w:w="0"/>
          <w:left w:type="dxa" w:w="0"/>
          <w:bottom w:type="dxa" w:w="0"/>
          <w:right w:type="dxa" w:w="0"/>
        </w:tblCellMar>
      </w:tblPr>
      <w:tblGrid>
        <w:gridCol w:w="4290"/>
        <w:gridCol w:w="883"/>
        <w:gridCol w:w="1032"/>
        <w:gridCol w:w="795"/>
        <w:gridCol w:w="921"/>
        <w:gridCol w:w="1147"/>
      </w:tblGrid>
      <w:tr>
        <w:trPr>
          <w:cantSplit w:val="false"/>
        </w:trPr>
        <w:tc>
          <w:tcPr>
            <w:tcW w:type="dxa" w:w="4290"/>
            <w:vMerge w:val="restart"/>
            <w:tcBorders>
              <w:top w:color="00000A" w:space="0" w:sz="8"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Položka</w:t>
            </w:r>
          </w:p>
        </w:tc>
        <w:tc>
          <w:tcPr>
            <w:tcW w:type="dxa" w:w="883"/>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c>
          <w:tcPr>
            <w:tcW w:type="dxa" w:w="1032"/>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Prírastky</w:t>
            </w:r>
          </w:p>
        </w:tc>
        <w:tc>
          <w:tcPr>
            <w:tcW w:type="dxa" w:w="795"/>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Úbytky</w:t>
            </w:r>
          </w:p>
        </w:tc>
        <w:tc>
          <w:tcPr>
            <w:tcW w:type="dxa" w:w="921"/>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Presuny</w:t>
            </w:r>
          </w:p>
        </w:tc>
        <w:tc>
          <w:tcPr>
            <w:tcW w:type="dxa" w:w="1147"/>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r>
      <w:tr>
        <w:trPr>
          <w:cantSplit w:val="false"/>
        </w:trPr>
        <w:tc>
          <w:tcPr>
            <w:tcW w:type="dxa" w:w="4290"/>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883"/>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1. januáru 2017</w:t>
            </w:r>
          </w:p>
        </w:tc>
        <w:tc>
          <w:tcPr>
            <w:tcW w:type="dxa" w:w="1032"/>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795"/>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921"/>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1147"/>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 xml:space="preserve">K 31. decembru </w:t>
            </w:r>
            <w:r>
              <w:rPr>
                <w:rFonts w:cs="Times New Roman" w:eastAsia="Times New Roman"/>
                <w:b/>
                <w:bCs/>
                <w:i/>
                <w:iCs/>
                <w:color w:val="00000A"/>
                <w:sz w:val="20"/>
                <w:szCs w:val="20"/>
                <w:lang w:eastAsia="sk-SK"/>
              </w:rPr>
              <w:t>2018</w:t>
            </w:r>
          </w:p>
        </w:tc>
      </w:tr>
      <w:tr>
        <w:trPr>
          <w:cantSplit w:val="false"/>
        </w:trPr>
        <w:tc>
          <w:tcPr>
            <w:tcW w:type="dxa" w:w="4290"/>
            <w:tcBorders>
              <w:top w:color="00000A" w:space="0" w:sz="6"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Základné imanie</w:t>
            </w:r>
          </w:p>
        </w:tc>
        <w:tc>
          <w:tcPr>
            <w:tcW w:type="dxa" w:w="883"/>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5000</w:t>
            </w:r>
          </w:p>
        </w:tc>
        <w:tc>
          <w:tcPr>
            <w:tcW w:type="dxa" w:w="1032"/>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5"/>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1"/>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7"/>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b/>
                <w:bCs/>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b/>
                <w:bCs/>
                <w:color w:val="00000A"/>
                <w:sz w:val="20"/>
                <w:szCs w:val="20"/>
                <w:lang w:eastAsia="sk-SK"/>
              </w:rPr>
              <w:t>5000</w:t>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Vlastné akcie a vlastné obchodné podiely</w:t>
            </w:r>
          </w:p>
        </w:tc>
        <w:tc>
          <w:tcPr>
            <w:tcW w:type="dxa" w:w="88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Zmena základného imania</w:t>
            </w:r>
          </w:p>
        </w:tc>
        <w:tc>
          <w:tcPr>
            <w:tcW w:type="dxa" w:w="88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Pohľadávky za upísané vlastné imanie</w:t>
            </w:r>
          </w:p>
        </w:tc>
        <w:tc>
          <w:tcPr>
            <w:tcW w:type="dxa" w:w="88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Emisné ážio</w:t>
            </w:r>
          </w:p>
        </w:tc>
        <w:tc>
          <w:tcPr>
            <w:tcW w:type="dxa" w:w="88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kapitálové fondy</w:t>
            </w:r>
          </w:p>
        </w:tc>
        <w:tc>
          <w:tcPr>
            <w:tcW w:type="dxa" w:w="88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- 14122</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- 3122</w:t>
            </w:r>
          </w:p>
        </w:tc>
        <w:tc>
          <w:tcPr>
            <w:tcW w:type="dxa" w:w="114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- 11000</w:t>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Zákonný rezervný fond (nedeliteľný fond) z kapitálových vkladov</w:t>
            </w:r>
          </w:p>
        </w:tc>
        <w:tc>
          <w:tcPr>
            <w:tcW w:type="dxa" w:w="88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majetku a záväzkov</w:t>
            </w:r>
          </w:p>
        </w:tc>
        <w:tc>
          <w:tcPr>
            <w:tcW w:type="dxa" w:w="88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kapitálových účastín</w:t>
            </w:r>
          </w:p>
        </w:tc>
        <w:tc>
          <w:tcPr>
            <w:tcW w:type="dxa" w:w="88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pri zlúčení, splynutí a rozdelení</w:t>
            </w:r>
          </w:p>
        </w:tc>
        <w:tc>
          <w:tcPr>
            <w:tcW w:type="dxa" w:w="88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2"/>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Zákonný rezervný fond </w:t>
            </w:r>
          </w:p>
        </w:tc>
        <w:tc>
          <w:tcPr>
            <w:tcW w:type="dxa" w:w="88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1"/>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7"/>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Nedeliteľný fond</w:t>
            </w:r>
          </w:p>
        </w:tc>
        <w:tc>
          <w:tcPr>
            <w:tcW w:type="dxa" w:w="88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1"/>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7"/>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Štatutárne fondy a ostatné fondy</w:t>
            </w:r>
          </w:p>
        </w:tc>
        <w:tc>
          <w:tcPr>
            <w:tcW w:type="dxa" w:w="88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1"/>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7"/>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Nerozdelený zisk minulých rokov</w:t>
            </w:r>
          </w:p>
        </w:tc>
        <w:tc>
          <w:tcPr>
            <w:tcW w:type="dxa" w:w="88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1"/>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7"/>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Neuhradená strata minulých rokov</w:t>
            </w:r>
          </w:p>
        </w:tc>
        <w:tc>
          <w:tcPr>
            <w:tcW w:type="dxa" w:w="883"/>
            <w:tcBorders>
              <w:top w:val="nil"/>
              <w:left w:val="nil"/>
              <w:bottom w:val="nil"/>
              <w:right w:val="nil"/>
            </w:tcBorders>
            <w:shd w:fill="FFFFFF" w:val="clear"/>
            <w:vAlign w:val="bottom"/>
          </w:tcPr>
          <w:p>
            <w:pPr>
              <w:pStyle w:val="style0"/>
              <w:spacing w:after="119" w:before="28"/>
              <w:contextualSpacing w:val="false"/>
              <w:jc w:val="center"/>
              <w:rPr/>
            </w:pPr>
            <w:r>
              <w:rPr/>
              <w:t>8088</w:t>
            </w:r>
          </w:p>
        </w:tc>
        <w:tc>
          <w:tcPr>
            <w:tcW w:type="dxa" w:w="1032"/>
            <w:tcBorders>
              <w:top w:val="nil"/>
              <w:left w:val="nil"/>
              <w:bottom w:val="nil"/>
              <w:right w:val="nil"/>
            </w:tcBorders>
            <w:shd w:fill="FFFFFF" w:val="clear"/>
            <w:vAlign w:val="bottom"/>
          </w:tcPr>
          <w:p>
            <w:pPr>
              <w:pStyle w:val="style0"/>
              <w:spacing w:after="119" w:before="28"/>
              <w:contextualSpacing w:val="false"/>
              <w:jc w:val="center"/>
              <w:rPr/>
            </w:pPr>
            <w:r>
              <w:rPr/>
              <w:t>7971</w:t>
            </w:r>
          </w:p>
        </w:tc>
        <w:tc>
          <w:tcPr>
            <w:tcW w:type="dxa" w:w="79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1"/>
            <w:tcBorders>
              <w:top w:val="nil"/>
              <w:left w:val="nil"/>
              <w:bottom w:val="nil"/>
              <w:right w:val="nil"/>
            </w:tcBorders>
            <w:shd w:fill="FFFFFF" w:val="clear"/>
            <w:vAlign w:val="bottom"/>
          </w:tcPr>
          <w:p>
            <w:pPr>
              <w:pStyle w:val="style0"/>
              <w:spacing w:after="119" w:before="28"/>
              <w:contextualSpacing w:val="false"/>
              <w:jc w:val="center"/>
              <w:rPr/>
            </w:pPr>
            <w:r>
              <w:rPr/>
              <w:t>3108</w:t>
            </w:r>
          </w:p>
        </w:tc>
        <w:tc>
          <w:tcPr>
            <w:tcW w:type="dxa" w:w="1147"/>
            <w:tcBorders>
              <w:top w:val="nil"/>
              <w:left w:val="nil"/>
              <w:bottom w:val="nil"/>
              <w:right w:val="nil"/>
            </w:tcBorders>
            <w:shd w:fill="FFFFFF" w:val="clear"/>
            <w:vAlign w:val="bottom"/>
          </w:tcPr>
          <w:p>
            <w:pPr>
              <w:pStyle w:val="style0"/>
              <w:spacing w:after="119" w:before="28"/>
              <w:contextualSpacing w:val="false"/>
              <w:jc w:val="center"/>
              <w:rPr/>
            </w:pPr>
            <w:r>
              <w:rPr/>
              <w:t>19167</w:t>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Výsledok hospodárenia bežného účtovného obdobia</w:t>
            </w:r>
          </w:p>
        </w:tc>
        <w:tc>
          <w:tcPr>
            <w:tcW w:type="dxa" w:w="883"/>
            <w:tcBorders>
              <w:top w:val="nil"/>
              <w:left w:val="nil"/>
              <w:bottom w:val="nil"/>
              <w:right w:val="nil"/>
            </w:tcBorders>
            <w:shd w:fill="FFFFFF" w:val="clear"/>
            <w:vAlign w:val="bottom"/>
          </w:tcPr>
          <w:p>
            <w:pPr>
              <w:pStyle w:val="style0"/>
              <w:spacing w:after="119" w:before="28"/>
              <w:contextualSpacing w:val="false"/>
              <w:jc w:val="center"/>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center"/>
              <w:rPr/>
            </w:pPr>
            <w:r>
              <w:rPr/>
              <w:t>-14139</w:t>
            </w:r>
          </w:p>
        </w:tc>
        <w:tc>
          <w:tcPr>
            <w:tcW w:type="dxa" w:w="79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1"/>
            <w:tcBorders>
              <w:top w:val="nil"/>
              <w:left w:val="nil"/>
              <w:bottom w:val="nil"/>
              <w:right w:val="nil"/>
            </w:tcBorders>
            <w:shd w:fill="FFFFFF" w:val="clear"/>
            <w:vAlign w:val="bottom"/>
          </w:tcPr>
          <w:p>
            <w:pPr>
              <w:pStyle w:val="style0"/>
              <w:spacing w:after="119" w:before="28"/>
              <w:contextualSpacing w:val="false"/>
              <w:jc w:val="center"/>
              <w:rPr/>
            </w:pPr>
            <w:r>
              <w:rPr/>
              <w:t>-3108</w:t>
            </w:r>
          </w:p>
        </w:tc>
        <w:tc>
          <w:tcPr>
            <w:tcW w:type="dxa" w:w="1147"/>
            <w:tcBorders>
              <w:top w:val="nil"/>
              <w:left w:val="nil"/>
              <w:bottom w:val="nil"/>
              <w:right w:val="nil"/>
            </w:tcBorders>
            <w:shd w:fill="FFFFFF" w:val="clear"/>
            <w:vAlign w:val="bottom"/>
          </w:tcPr>
          <w:p>
            <w:pPr>
              <w:pStyle w:val="style0"/>
              <w:spacing w:after="119" w:before="28"/>
              <w:contextualSpacing w:val="false"/>
              <w:jc w:val="both"/>
              <w:rPr/>
            </w:pPr>
            <w:r>
              <w:rPr/>
              <w:t>-14138</w:t>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Vyplatené dividendy</w:t>
            </w:r>
          </w:p>
        </w:tc>
        <w:tc>
          <w:tcPr>
            <w:tcW w:type="dxa" w:w="88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1"/>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7"/>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0"/>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položky vlastného imania</w:t>
            </w:r>
          </w:p>
        </w:tc>
        <w:tc>
          <w:tcPr>
            <w:tcW w:type="dxa" w:w="88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5"/>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1"/>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7"/>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0"/>
            <w:tcBorders>
              <w:top w:val="nil"/>
              <w:left w:val="nil"/>
              <w:bottom w:color="00000A" w:space="0" w:sz="8" w:val="single"/>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Účet 491 – Vlastné imanie fyzickej osoby – podnikateľa </w:t>
            </w:r>
          </w:p>
        </w:tc>
        <w:tc>
          <w:tcPr>
            <w:tcW w:type="dxa" w:w="883"/>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1032"/>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795"/>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921"/>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1147"/>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r>
    </w:tbl>
    <w:p>
      <w:pPr>
        <w:pStyle w:val="style0"/>
        <w:keepNext/>
        <w:widowControl/>
        <w:suppressAutoHyphens w:val="true"/>
        <w:ind w:hanging="0" w:left="11" w:right="0"/>
        <w:jc w:val="both"/>
        <w:rPr/>
      </w:pPr>
      <w:r>
        <w:rPr/>
      </w:r>
    </w:p>
    <w:p>
      <w:pPr>
        <w:pStyle w:val="style0"/>
        <w:rPr>
          <w:rFonts w:cs="Arial"/>
          <w:bCs/>
          <w:szCs w:val="26"/>
          <w:u w:val="single"/>
        </w:rPr>
      </w:pPr>
      <w:r>
        <w:rPr>
          <w:rFonts w:cs="Arial"/>
          <w:bCs/>
          <w:szCs w:val="26"/>
          <w:u w:val="single"/>
        </w:rPr>
      </w:r>
    </w:p>
    <w:p>
      <w:pPr>
        <w:pStyle w:val="style0"/>
        <w:rPr>
          <w:rFonts w:cs="Arial"/>
          <w:bCs/>
          <w:sz w:val="20"/>
          <w:szCs w:val="20"/>
          <w:u w:val="none"/>
        </w:rPr>
      </w:pPr>
      <w:r>
        <w:rPr>
          <w:rFonts w:cs="Arial"/>
          <w:bCs/>
          <w:sz w:val="20"/>
          <w:szCs w:val="20"/>
          <w:u w:val="none"/>
        </w:rPr>
        <w:t>V Nižnej, dňa.25.03.2019</w:t>
      </w:r>
    </w:p>
    <w:p>
      <w:pPr>
        <w:pStyle w:val="style0"/>
        <w:rPr>
          <w:rFonts w:cs="Arial"/>
          <w:bCs/>
          <w:sz w:val="20"/>
          <w:szCs w:val="20"/>
          <w:u w:val="none"/>
        </w:rPr>
      </w:pPr>
      <w:r>
        <w:rPr>
          <w:rFonts w:cs="Arial"/>
          <w:bCs/>
          <w:sz w:val="20"/>
          <w:szCs w:val="20"/>
          <w:u w:val="none"/>
        </w:rPr>
        <w:t>Ing. Filip Ferulík</w:t>
      </w:r>
    </w:p>
    <w:p>
      <w:pPr>
        <w:pStyle w:val="style3"/>
        <w:keepNext/>
        <w:pageBreakBefore/>
        <w:widowControl/>
        <w:suppressAutoHyphens w:val="true"/>
        <w:ind w:hanging="0" w:left="0" w:right="0"/>
        <w:jc w:val="both"/>
        <w:rPr>
          <w:color w:val="000000"/>
          <w:lang w:eastAsia="sk-SK"/>
        </w:rPr>
      </w:pPr>
      <w:r>
        <w:rPr>
          <w:color w:val="000000"/>
          <w:lang w:eastAsia="sk-SK"/>
        </w:rPr>
      </w:r>
    </w:p>
    <w:p>
      <w:pPr>
        <w:pStyle w:val="style2"/>
        <w:rPr/>
      </w:pPr>
      <w:r>
        <w:rPr/>
      </w:r>
    </w:p>
    <w:p>
      <w:pPr>
        <w:pStyle w:val="style0"/>
        <w:rPr>
          <w:lang w:eastAsia="sk-SK"/>
        </w:rPr>
      </w:pPr>
      <w:r>
        <w:rPr>
          <w:lang w:eastAsia="sk-SK"/>
        </w:rPr>
      </w:r>
    </w:p>
    <w:p>
      <w:pPr>
        <w:pStyle w:val="style3"/>
        <w:keepNext/>
        <w:widowControl/>
        <w:suppressAutoHyphens w:val="true"/>
        <w:ind w:hanging="0" w:left="-107" w:right="0"/>
        <w:jc w:val="both"/>
        <w:rPr>
          <w:i/>
          <w:color w:val="FF0000"/>
        </w:rPr>
      </w:pPr>
      <w:r>
        <w:rPr>
          <w:i/>
          <w:color w:val="FF0000"/>
        </w:rPr>
      </w:r>
    </w:p>
    <w:p>
      <w:pPr>
        <w:pStyle w:val="style0"/>
        <w:rPr>
          <w:i/>
          <w:color w:val="FF0000"/>
        </w:rPr>
      </w:pPr>
      <w:r>
        <w:rPr>
          <w:i/>
          <w:color w:val="FF0000"/>
        </w:rPr>
      </w:r>
    </w:p>
    <w:p>
      <w:pPr>
        <w:pStyle w:val="style0"/>
        <w:jc w:val="left"/>
        <w:rPr>
          <w:rFonts w:cs="Arial"/>
          <w:b/>
          <w:bCs/>
          <w:iCs/>
          <w:szCs w:val="28"/>
          <w:lang w:eastAsia="sk-SK"/>
        </w:rPr>
      </w:pPr>
      <w:bookmarkStart w:id="4" w:name="T_accrued_expense_deferred_income"/>
      <w:bookmarkStart w:id="5" w:name="T_accrued_expense_deferred_income"/>
      <w:bookmarkEnd w:id="5"/>
      <w:r>
        <w:rPr>
          <w:rFonts w:cs="Arial"/>
          <w:b/>
          <w:bCs/>
          <w:iCs/>
          <w:szCs w:val="28"/>
          <w:lang w:eastAsia="sk-SK"/>
        </w:rPr>
      </w:r>
    </w:p>
    <w:p>
      <w:pPr>
        <w:pStyle w:val="style2"/>
        <w:pageBreakBefore/>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sectPr>
      <w:headerReference r:id="rId2" w:type="default"/>
      <w:footerReference r:id="rId3" w:type="default"/>
      <w:type w:val="nextPage"/>
      <w:pgSz w:h="16838" w:w="11906"/>
      <w:pgMar w:bottom="992" w:footer="680" w:gutter="0" w:header="567" w:left="1418" w:right="1418" w:top="1418"/>
      <w:pgNumType w:fmt="decimal"/>
      <w:formProt w:val="false"/>
      <w:textDirection w:val="lrTb"/>
      <w:docGrid w:charSpace="142130" w:linePitch="864"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Verdana">
    <w:charset w:val="ee"/>
    <w:family w:val="roman"/>
    <w:pitch w:val="variable"/>
  </w:font>
  <w:font w:name="Arial">
    <w:charset w:val="ee"/>
    <w:family w:val="swiss"/>
    <w:pitch w:val="variable"/>
  </w:font>
  <w:font w:name="Tahoma">
    <w:charset w:val="ee"/>
    <w:family w:val="roman"/>
    <w:pitch w:val="variable"/>
  </w:font>
  <w:font w:name="Times New Roman Bold">
    <w:charset w:val="ee"/>
    <w:family w:val="roman"/>
    <w:pitch w:val="variable"/>
  </w:font>
  <w:font w:name="Calibri">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p>
    <w:pPr>
      <w:pStyle w:val="style65"/>
      <w:rPr/>
    </w:pPr>
    <w:r>
      <w:rPr/>
    </w:r>
  </w:p>
</w:hdr>
</file>

<file path=word/numbering.xml><?xml version="1.0" encoding="utf-8"?>
<w:numbering xmlns:o="urn:schemas-microsoft-com:office:office" xmlns:r="http://schemas.openxmlformats.org/officeDocument/2006/relationships" xmlns:v="urn:schemas-microsoft-com:vml" xmlns:w="http://schemas.openxmlformats.org/wordprocessingml/2006/main">
  <w:abstractNum w:abstractNumId="1">
    <w:lvl w:ilvl="0">
      <w:start w:val="1"/>
      <w:numFmt w:val="upperRoman"/>
      <w:lvlText w:val="%1."/>
      <w:lvlJc w:val="left"/>
      <w:pPr>
        <w:tabs>
          <w:tab w:pos="539" w:val="num"/>
        </w:tabs>
        <w:ind w:hanging="539" w:left="539"/>
      </w:pPr>
    </w:lvl>
    <w:lvl w:ilvl="1">
      <w:start w:val="1"/>
      <w:numFmt w:val="decimal"/>
      <w:lvlText w:val="%2."/>
      <w:lvlJc w:val="left"/>
      <w:pPr>
        <w:tabs>
          <w:tab w:pos="539" w:val="num"/>
        </w:tabs>
        <w:ind w:hanging="539" w:left="539"/>
      </w:pPr>
    </w:lvl>
    <w:lvl w:ilvl="2">
      <w:start w:val="1"/>
      <w:numFmt w:val="decimal"/>
      <w:lvlText w:val="%2.%3."/>
      <w:lvlJc w:val="left"/>
      <w:pPr>
        <w:tabs>
          <w:tab w:pos="539" w:val="num"/>
        </w:tabs>
        <w:ind w:hanging="539" w:left="539"/>
      </w:pPr>
    </w:lvl>
    <w:lvl w:ilvl="3">
      <w:start w:val="1"/>
      <w:numFmt w:val="decimal"/>
      <w:lvlText w:val="%2.%3.%4"/>
      <w:lvlJc w:val="left"/>
      <w:pPr>
        <w:tabs>
          <w:tab w:pos="539" w:val="num"/>
        </w:tabs>
        <w:ind w:hanging="539" w:left="539"/>
      </w:pPr>
    </w:lvl>
    <w:lvl w:ilvl="4">
      <w:start w:val="1"/>
      <w:numFmt w:val="decimal"/>
      <w:lvlText w:val="%1.%2.%3.%4.%5"/>
      <w:lvlJc w:val="left"/>
      <w:pPr>
        <w:tabs>
          <w:tab w:pos="1008" w:val="num"/>
        </w:tabs>
        <w:ind w:hanging="1008" w:left="1008"/>
      </w:pPr>
    </w:lvl>
    <w:lvl w:ilvl="5">
      <w:start w:val="1"/>
      <w:numFmt w:val="decimal"/>
      <w:lvlText w:val="%1.%2.%3.%4.%5.%6"/>
      <w:lvlJc w:val="left"/>
      <w:pPr>
        <w:tabs>
          <w:tab w:pos="1152" w:val="num"/>
        </w:tabs>
        <w:ind w:hanging="1152" w:left="1152"/>
      </w:pPr>
    </w:lvl>
    <w:lvl w:ilvl="6">
      <w:start w:val="1"/>
      <w:numFmt w:val="decimal"/>
      <w:lvlText w:val="%1.%2.%3.%4.%5.%6.%7"/>
      <w:lvlJc w:val="left"/>
      <w:pPr>
        <w:tabs>
          <w:tab w:pos="1296" w:val="num"/>
        </w:tabs>
        <w:ind w:hanging="1296" w:left="1296"/>
      </w:pPr>
    </w:lvl>
    <w:lvl w:ilvl="7">
      <w:start w:val="1"/>
      <w:numFmt w:val="decimal"/>
      <w:lvlText w:val="%1.%2.%3.%4.%5.%6.%7.%8"/>
      <w:lvlJc w:val="left"/>
      <w:pPr>
        <w:tabs>
          <w:tab w:pos="1440" w:val="num"/>
        </w:tabs>
        <w:ind w:hanging="1440" w:left="1440"/>
      </w:pPr>
    </w:lvl>
    <w:lvl w:ilvl="8">
      <w:start w:val="1"/>
      <w:numFmt w:val="decimal"/>
      <w:lvlText w:val="%1.%2.%3.%4.%5.%6.%7.%8.%9"/>
      <w:lvlJc w:val="left"/>
      <w:pPr>
        <w:tabs>
          <w:tab w:pos="1584" w:val="num"/>
        </w:tabs>
        <w:ind w:hanging="1584" w:left="1584"/>
      </w:pPr>
    </w:lvl>
  </w:abstractNum>
  <w:abstractNum w:abstractNumId="2">
    <w:lvl w:ilvl="0">
      <w:start w:val="1"/>
      <w:numFmt w:val="bullet"/>
      <w:lvlText w:val=""/>
      <w:lvlJc w:val="left"/>
      <w:pPr>
        <w:tabs>
          <w:tab w:pos="720" w:val="num"/>
        </w:tabs>
        <w:ind w:hanging="360" w:left="720"/>
      </w:pPr>
      <w:rPr>
        <w:rFonts w:ascii="Symbol" w:cs="Symbol" w:hAnsi="Symbol" w:hint="default"/>
        <w:color w:val="00000A"/>
      </w:rPr>
    </w:lvl>
    <w:lvl w:ilvl="1">
      <w:start w:val="1"/>
      <w:numFmt w:val="bullet"/>
      <w:lvlText w:val="o"/>
      <w:lvlJc w:val="left"/>
      <w:pPr>
        <w:tabs>
          <w:tab w:pos="1440" w:val="num"/>
        </w:tabs>
        <w:ind w:hanging="360" w:left="1440"/>
      </w:pPr>
      <w:rPr>
        <w:rFonts w:ascii="Courier New" w:cs="Courier New" w:hAnsi="Courier New" w:hint="default"/>
      </w:rPr>
    </w:lvl>
    <w:lvl w:ilvl="2">
      <w:start w:val="1"/>
      <w:numFmt w:val="bullet"/>
      <w:lvlText w:val=""/>
      <w:lvlJc w:val="left"/>
      <w:pPr>
        <w:tabs>
          <w:tab w:pos="2160" w:val="num"/>
        </w:tabs>
        <w:ind w:hanging="360" w:left="2160"/>
      </w:pPr>
      <w:rPr>
        <w:rFonts w:ascii="Wingdings" w:cs="Wingdings" w:hAnsi="Wingdings" w:hint="default"/>
      </w:rPr>
    </w:lvl>
    <w:lvl w:ilvl="3">
      <w:start w:val="1"/>
      <w:numFmt w:val="bullet"/>
      <w:lvlText w:val=""/>
      <w:lvlJc w:val="left"/>
      <w:pPr>
        <w:tabs>
          <w:tab w:pos="2880" w:val="num"/>
        </w:tabs>
        <w:ind w:hanging="360" w:left="2880"/>
      </w:pPr>
      <w:rPr>
        <w:rFonts w:ascii="Symbol" w:cs="Symbol" w:hAnsi="Symbol" w:hint="default"/>
      </w:rPr>
    </w:lvl>
    <w:lvl w:ilvl="4">
      <w:start w:val="1"/>
      <w:numFmt w:val="bullet"/>
      <w:lvlText w:val="o"/>
      <w:lvlJc w:val="left"/>
      <w:pPr>
        <w:tabs>
          <w:tab w:pos="3600" w:val="num"/>
        </w:tabs>
        <w:ind w:hanging="360" w:left="3600"/>
      </w:pPr>
      <w:rPr>
        <w:rFonts w:ascii="Courier New" w:cs="Courier New" w:hAnsi="Courier New" w:hint="default"/>
      </w:rPr>
    </w:lvl>
    <w:lvl w:ilvl="5">
      <w:start w:val="1"/>
      <w:numFmt w:val="bullet"/>
      <w:lvlText w:val=""/>
      <w:lvlJc w:val="left"/>
      <w:pPr>
        <w:tabs>
          <w:tab w:pos="4320" w:val="num"/>
        </w:tabs>
        <w:ind w:hanging="360" w:left="4320"/>
      </w:pPr>
      <w:rPr>
        <w:rFonts w:ascii="Wingdings" w:cs="Wingdings" w:hAnsi="Wingdings" w:hint="default"/>
      </w:rPr>
    </w:lvl>
    <w:lvl w:ilvl="6">
      <w:start w:val="1"/>
      <w:numFmt w:val="bullet"/>
      <w:lvlText w:val=""/>
      <w:lvlJc w:val="left"/>
      <w:pPr>
        <w:tabs>
          <w:tab w:pos="5040" w:val="num"/>
        </w:tabs>
        <w:ind w:hanging="360" w:left="5040"/>
      </w:pPr>
      <w:rPr>
        <w:rFonts w:ascii="Symbol" w:cs="Symbol" w:hAnsi="Symbol" w:hint="default"/>
      </w:rPr>
    </w:lvl>
    <w:lvl w:ilvl="7">
      <w:start w:val="1"/>
      <w:numFmt w:val="bullet"/>
      <w:lvlText w:val="o"/>
      <w:lvlJc w:val="left"/>
      <w:pPr>
        <w:tabs>
          <w:tab w:pos="5760" w:val="num"/>
        </w:tabs>
        <w:ind w:hanging="360" w:left="5760"/>
      </w:pPr>
      <w:rPr>
        <w:rFonts w:ascii="Courier New" w:cs="Courier New" w:hAnsi="Courier New" w:hint="default"/>
      </w:rPr>
    </w:lvl>
    <w:lvl w:ilvl="8">
      <w:start w:val="1"/>
      <w:numFmt w:val="bullet"/>
      <w:lvlText w:val=""/>
      <w:lvlJc w:val="left"/>
      <w:pPr>
        <w:tabs>
          <w:tab w:pos="6480" w:val="num"/>
        </w:tabs>
        <w:ind w:hanging="360" w:left="6480"/>
      </w:pPr>
      <w:rPr>
        <w:rFonts w:ascii="Wingdings" w:cs="Wingdings" w:hAnsi="Wingdings" w:hint="default"/>
      </w:rPr>
    </w:lvl>
  </w:abstractNum>
  <w:abstractNum w:abstractNumId="3">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settings>
</file>

<file path=word/styles.xml><?xml version="1.0" encoding="utf-8"?>
<w:styles xmlns:w="http://schemas.openxmlformats.org/wordprocessingml/2006/main">
  <w:style w:styleId="style0" w:type="paragraph">
    <w:name w:val="Normal"/>
    <w:next w:val="style0"/>
    <w:pPr>
      <w:widowControl/>
      <w:suppressAutoHyphens w:val="true"/>
      <w:jc w:val="both"/>
    </w:pPr>
    <w:rPr>
      <w:rFonts w:ascii="Verdana" w:cs="Times New Roman" w:eastAsia="Times New Roman" w:hAnsi="Verdana"/>
      <w:color w:val="00000A"/>
      <w:sz w:val="17"/>
      <w:szCs w:val="20"/>
      <w:lang w:bidi="ar-SA" w:eastAsia="en-US" w:val="sk-SK"/>
    </w:rPr>
  </w:style>
  <w:style w:styleId="style1" w:type="paragraph">
    <w:name w:val="Nadpis 1"/>
    <w:basedOn w:val="style0"/>
    <w:next w:val="style1"/>
    <w:pPr>
      <w:keepNext/>
    </w:pPr>
    <w:rPr>
      <w:rFonts w:cs="Arial"/>
      <w:b/>
      <w:bCs/>
      <w:caps/>
      <w:sz w:val="18"/>
      <w:szCs w:val="32"/>
      <w:u w:val="single"/>
    </w:rPr>
  </w:style>
  <w:style w:styleId="style2" w:type="paragraph">
    <w:name w:val="Nadpis 2"/>
    <w:basedOn w:val="style0"/>
    <w:next w:val="style2"/>
    <w:pPr>
      <w:keepNext/>
    </w:pPr>
    <w:rPr>
      <w:rFonts w:cs="Arial"/>
      <w:b/>
      <w:bCs/>
      <w:iCs/>
      <w:szCs w:val="28"/>
    </w:rPr>
  </w:style>
  <w:style w:styleId="style3" w:type="paragraph">
    <w:name w:val="Nadpis 3"/>
    <w:basedOn w:val="style0"/>
    <w:next w:val="style3"/>
    <w:pPr>
      <w:keepNext/>
    </w:pPr>
    <w:rPr>
      <w:rFonts w:cs="Arial"/>
      <w:bCs/>
      <w:szCs w:val="26"/>
      <w:u w:val="single"/>
    </w:rPr>
  </w:style>
  <w:style w:styleId="style4" w:type="paragraph">
    <w:name w:val="Nadpis 4"/>
    <w:basedOn w:val="style0"/>
    <w:next w:val="style4"/>
    <w:pPr>
      <w:keepNext/>
    </w:pPr>
    <w:rPr>
      <w:bCs/>
      <w:i/>
      <w:szCs w:val="28"/>
    </w:rPr>
  </w:style>
  <w:style w:styleId="style5" w:type="paragraph">
    <w:name w:val="Nadpis 5"/>
    <w:basedOn w:val="style0"/>
    <w:next w:val="style5"/>
    <w:pPr>
      <w:spacing w:after="60" w:before="240"/>
      <w:contextualSpacing w:val="false"/>
    </w:pPr>
    <w:rPr>
      <w:b/>
      <w:bCs/>
      <w:i/>
      <w:iCs/>
      <w:szCs w:val="26"/>
    </w:rPr>
  </w:style>
  <w:style w:styleId="style6" w:type="paragraph">
    <w:name w:val="Nadpis 6"/>
    <w:basedOn w:val="style0"/>
    <w:next w:val="style6"/>
    <w:pPr>
      <w:spacing w:after="60" w:before="240"/>
      <w:contextualSpacing w:val="false"/>
    </w:pPr>
    <w:rPr>
      <w:b/>
      <w:bCs/>
      <w:szCs w:val="22"/>
    </w:rPr>
  </w:style>
  <w:style w:styleId="style7" w:type="paragraph">
    <w:name w:val="Nadpis 7"/>
    <w:basedOn w:val="style0"/>
    <w:next w:val="style7"/>
    <w:pPr>
      <w:spacing w:after="60" w:before="240"/>
      <w:contextualSpacing w:val="false"/>
    </w:pPr>
    <w:rPr>
      <w:szCs w:val="24"/>
    </w:rPr>
  </w:style>
  <w:style w:styleId="style8" w:type="paragraph">
    <w:name w:val="Nadpis 8"/>
    <w:basedOn w:val="style0"/>
    <w:next w:val="style8"/>
    <w:pPr>
      <w:spacing w:after="60" w:before="240"/>
      <w:contextualSpacing w:val="false"/>
    </w:pPr>
    <w:rPr>
      <w:i/>
      <w:iCs/>
      <w:szCs w:val="24"/>
    </w:rPr>
  </w:style>
  <w:style w:styleId="style9" w:type="paragraph">
    <w:name w:val="Nadpis 9"/>
    <w:basedOn w:val="style0"/>
    <w:next w:val="style9"/>
    <w:pPr>
      <w:spacing w:after="60" w:before="240"/>
      <w:contextualSpacing w:val="false"/>
    </w:pPr>
    <w:rPr>
      <w:rFonts w:cs="Arial"/>
      <w:szCs w:val="22"/>
    </w:rPr>
  </w:style>
  <w:style w:styleId="style15" w:type="character">
    <w:name w:val="Default Paragraph Font"/>
    <w:next w:val="style15"/>
    <w:rPr/>
  </w:style>
  <w:style w:styleId="style16" w:type="character">
    <w:name w:val="page number"/>
    <w:basedOn w:val="style15"/>
    <w:next w:val="style16"/>
    <w:rPr/>
  </w:style>
  <w:style w:styleId="style17" w:type="character">
    <w:name w:val="annotation reference"/>
    <w:next w:val="style17"/>
    <w:rPr>
      <w:sz w:val="16"/>
      <w:szCs w:val="16"/>
    </w:rPr>
  </w:style>
  <w:style w:styleId="style18" w:type="character">
    <w:name w:val="Header Char"/>
    <w:basedOn w:val="style15"/>
    <w:next w:val="style18"/>
    <w:rPr>
      <w:rFonts w:ascii="Verdana" w:hAnsi="Verdana"/>
      <w:b/>
      <w:sz w:val="17"/>
      <w:lang w:eastAsia="en-US"/>
    </w:rPr>
  </w:style>
  <w:style w:styleId="style19" w:type="character">
    <w:name w:val="Heading 2 Char"/>
    <w:basedOn w:val="style15"/>
    <w:next w:val="style19"/>
    <w:rPr>
      <w:rFonts w:ascii="Verdana" w:cs="Arial" w:hAnsi="Verdana"/>
      <w:b/>
      <w:bCs/>
      <w:iCs/>
      <w:sz w:val="17"/>
      <w:szCs w:val="28"/>
      <w:lang w:eastAsia="en-US"/>
    </w:rPr>
  </w:style>
  <w:style w:styleId="style20" w:type="character">
    <w:name w:val="Footer Char"/>
    <w:basedOn w:val="style15"/>
    <w:next w:val="style20"/>
    <w:rPr>
      <w:rFonts w:ascii="Verdana" w:hAnsi="Verdana"/>
      <w:sz w:val="17"/>
      <w:lang w:eastAsia="en-US"/>
    </w:rPr>
  </w:style>
  <w:style w:styleId="style21" w:type="character">
    <w:name w:val="ListLabel 1"/>
    <w:next w:val="style21"/>
    <w:rPr>
      <w:rFonts w:cs="Courier New"/>
    </w:rPr>
  </w:style>
  <w:style w:styleId="style22" w:type="character">
    <w:name w:val="ListLabel 2"/>
    <w:next w:val="style22"/>
    <w:rPr>
      <w:color w:val="00000A"/>
    </w:rPr>
  </w:style>
  <w:style w:styleId="style23" w:type="character">
    <w:name w:val="ListLabel 3"/>
    <w:next w:val="style23"/>
    <w:rPr>
      <w:rFonts w:cs="Times New Roman" w:eastAsia="Times New Roman"/>
    </w:rPr>
  </w:style>
  <w:style w:styleId="style24" w:type="character">
    <w:name w:val="ListLabel 4"/>
    <w:next w:val="style24"/>
    <w:rPr>
      <w:rFonts w:cs="Symbol"/>
      <w:color w:val="00000A"/>
    </w:rPr>
  </w:style>
  <w:style w:styleId="style25" w:type="character">
    <w:name w:val="ListLabel 5"/>
    <w:next w:val="style25"/>
    <w:rPr>
      <w:rFonts w:cs="Courier New"/>
    </w:rPr>
  </w:style>
  <w:style w:styleId="style26" w:type="character">
    <w:name w:val="ListLabel 6"/>
    <w:next w:val="style26"/>
    <w:rPr>
      <w:rFonts w:cs="Wingdings"/>
    </w:rPr>
  </w:style>
  <w:style w:styleId="style27" w:type="character">
    <w:name w:val="ListLabel 7"/>
    <w:next w:val="style27"/>
    <w:rPr>
      <w:rFonts w:cs="Symbol"/>
    </w:rPr>
  </w:style>
  <w:style w:styleId="style28" w:type="character">
    <w:name w:val="ListLabel 8"/>
    <w:next w:val="style28"/>
    <w:rPr>
      <w:rFonts w:cs="Symbol"/>
      <w:color w:val="00000A"/>
    </w:rPr>
  </w:style>
  <w:style w:styleId="style29" w:type="character">
    <w:name w:val="ListLabel 9"/>
    <w:next w:val="style29"/>
    <w:rPr>
      <w:rFonts w:cs="Courier New"/>
    </w:rPr>
  </w:style>
  <w:style w:styleId="style30" w:type="character">
    <w:name w:val="ListLabel 10"/>
    <w:next w:val="style30"/>
    <w:rPr>
      <w:rFonts w:cs="Wingdings"/>
    </w:rPr>
  </w:style>
  <w:style w:styleId="style31" w:type="character">
    <w:name w:val="ListLabel 11"/>
    <w:next w:val="style31"/>
    <w:rPr>
      <w:rFonts w:cs="Symbol"/>
    </w:rPr>
  </w:style>
  <w:style w:styleId="style32" w:type="character">
    <w:name w:val="ListLabel 12"/>
    <w:next w:val="style32"/>
    <w:rPr>
      <w:rFonts w:cs="Symbol"/>
      <w:color w:val="00000A"/>
    </w:rPr>
  </w:style>
  <w:style w:styleId="style33" w:type="character">
    <w:name w:val="ListLabel 13"/>
    <w:next w:val="style33"/>
    <w:rPr>
      <w:rFonts w:cs="Courier New"/>
    </w:rPr>
  </w:style>
  <w:style w:styleId="style34" w:type="character">
    <w:name w:val="ListLabel 14"/>
    <w:next w:val="style34"/>
    <w:rPr>
      <w:rFonts w:cs="Wingdings"/>
    </w:rPr>
  </w:style>
  <w:style w:styleId="style35" w:type="character">
    <w:name w:val="ListLabel 15"/>
    <w:next w:val="style35"/>
    <w:rPr>
      <w:rFonts w:cs="Symbol"/>
    </w:rPr>
  </w:style>
  <w:style w:styleId="style36" w:type="character">
    <w:name w:val="ListLabel 16"/>
    <w:next w:val="style36"/>
    <w:rPr>
      <w:rFonts w:cs="Symbol"/>
      <w:color w:val="00000A"/>
    </w:rPr>
  </w:style>
  <w:style w:styleId="style37" w:type="character">
    <w:name w:val="ListLabel 17"/>
    <w:next w:val="style37"/>
    <w:rPr>
      <w:rFonts w:cs="Courier New"/>
    </w:rPr>
  </w:style>
  <w:style w:styleId="style38" w:type="character">
    <w:name w:val="ListLabel 18"/>
    <w:next w:val="style38"/>
    <w:rPr>
      <w:rFonts w:cs="Wingdings"/>
    </w:rPr>
  </w:style>
  <w:style w:styleId="style39" w:type="character">
    <w:name w:val="ListLabel 19"/>
    <w:next w:val="style39"/>
    <w:rPr>
      <w:rFonts w:cs="Symbol"/>
    </w:rPr>
  </w:style>
  <w:style w:styleId="style40" w:type="character">
    <w:name w:val="ListLabel 20"/>
    <w:next w:val="style40"/>
    <w:rPr>
      <w:rFonts w:cs="Symbol"/>
      <w:color w:val="00000A"/>
    </w:rPr>
  </w:style>
  <w:style w:styleId="style41" w:type="character">
    <w:name w:val="ListLabel 21"/>
    <w:next w:val="style41"/>
    <w:rPr>
      <w:rFonts w:cs="Courier New"/>
    </w:rPr>
  </w:style>
  <w:style w:styleId="style42" w:type="character">
    <w:name w:val="ListLabel 22"/>
    <w:next w:val="style42"/>
    <w:rPr>
      <w:rFonts w:cs="Wingdings"/>
    </w:rPr>
  </w:style>
  <w:style w:styleId="style43" w:type="character">
    <w:name w:val="ListLabel 23"/>
    <w:next w:val="style43"/>
    <w:rPr>
      <w:rFonts w:cs="Symbol"/>
    </w:rPr>
  </w:style>
  <w:style w:styleId="style44" w:type="character">
    <w:name w:val="ListLabel 24"/>
    <w:next w:val="style44"/>
    <w:rPr>
      <w:rFonts w:cs="Symbol"/>
      <w:color w:val="00000A"/>
    </w:rPr>
  </w:style>
  <w:style w:styleId="style45" w:type="character">
    <w:name w:val="ListLabel 25"/>
    <w:next w:val="style45"/>
    <w:rPr>
      <w:rFonts w:cs="Courier New"/>
    </w:rPr>
  </w:style>
  <w:style w:styleId="style46" w:type="character">
    <w:name w:val="ListLabel 26"/>
    <w:next w:val="style46"/>
    <w:rPr>
      <w:rFonts w:cs="Wingdings"/>
    </w:rPr>
  </w:style>
  <w:style w:styleId="style47" w:type="character">
    <w:name w:val="ListLabel 27"/>
    <w:next w:val="style47"/>
    <w:rPr>
      <w:rFonts w:cs="Symbol"/>
    </w:rPr>
  </w:style>
  <w:style w:styleId="style48" w:type="character">
    <w:name w:val="ListLabel 28"/>
    <w:next w:val="style48"/>
    <w:rPr>
      <w:rFonts w:cs="Symbol"/>
      <w:color w:val="00000A"/>
    </w:rPr>
  </w:style>
  <w:style w:styleId="style49" w:type="character">
    <w:name w:val="ListLabel 29"/>
    <w:next w:val="style49"/>
    <w:rPr>
      <w:rFonts w:cs="Courier New"/>
    </w:rPr>
  </w:style>
  <w:style w:styleId="style50" w:type="character">
    <w:name w:val="ListLabel 30"/>
    <w:next w:val="style50"/>
    <w:rPr>
      <w:rFonts w:cs="Wingdings"/>
    </w:rPr>
  </w:style>
  <w:style w:styleId="style51" w:type="character">
    <w:name w:val="ListLabel 31"/>
    <w:next w:val="style51"/>
    <w:rPr>
      <w:rFonts w:cs="Symbol"/>
    </w:rPr>
  </w:style>
  <w:style w:styleId="style52" w:type="character">
    <w:name w:val="ListLabel 32"/>
    <w:next w:val="style52"/>
    <w:rPr>
      <w:rFonts w:cs="Symbol"/>
      <w:color w:val="00000A"/>
    </w:rPr>
  </w:style>
  <w:style w:styleId="style53" w:type="character">
    <w:name w:val="ListLabel 33"/>
    <w:next w:val="style53"/>
    <w:rPr>
      <w:rFonts w:cs="Courier New"/>
    </w:rPr>
  </w:style>
  <w:style w:styleId="style54" w:type="character">
    <w:name w:val="ListLabel 34"/>
    <w:next w:val="style54"/>
    <w:rPr>
      <w:rFonts w:cs="Wingdings"/>
    </w:rPr>
  </w:style>
  <w:style w:styleId="style55" w:type="character">
    <w:name w:val="ListLabel 35"/>
    <w:next w:val="style55"/>
    <w:rPr>
      <w:rFonts w:cs="Symbol"/>
    </w:rPr>
  </w:style>
  <w:style w:styleId="style56" w:type="character">
    <w:name w:val="ListLabel 36"/>
    <w:next w:val="style56"/>
    <w:rPr>
      <w:rFonts w:cs="Symbol"/>
      <w:color w:val="00000A"/>
    </w:rPr>
  </w:style>
  <w:style w:styleId="style57" w:type="character">
    <w:name w:val="ListLabel 37"/>
    <w:next w:val="style57"/>
    <w:rPr>
      <w:rFonts w:cs="Courier New"/>
    </w:rPr>
  </w:style>
  <w:style w:styleId="style58" w:type="character">
    <w:name w:val="ListLabel 38"/>
    <w:next w:val="style58"/>
    <w:rPr>
      <w:rFonts w:cs="Wingdings"/>
    </w:rPr>
  </w:style>
  <w:style w:styleId="style59" w:type="character">
    <w:name w:val="ListLabel 39"/>
    <w:next w:val="style59"/>
    <w:rPr>
      <w:rFonts w:cs="Symbol"/>
    </w:rPr>
  </w:style>
  <w:style w:styleId="style60" w:type="paragraph">
    <w:name w:val="Nadpis"/>
    <w:basedOn w:val="style0"/>
    <w:next w:val="style61"/>
    <w:pPr>
      <w:keepNext/>
      <w:spacing w:after="120" w:before="240"/>
      <w:contextualSpacing w:val="false"/>
    </w:pPr>
    <w:rPr>
      <w:rFonts w:ascii="Arial" w:cs="Mangal" w:eastAsia="Microsoft YaHei" w:hAnsi="Arial"/>
      <w:sz w:val="28"/>
      <w:szCs w:val="28"/>
    </w:rPr>
  </w:style>
  <w:style w:styleId="style61" w:type="paragraph">
    <w:name w:val="Telo textu"/>
    <w:basedOn w:val="style0"/>
    <w:next w:val="style61"/>
    <w:pPr>
      <w:spacing w:after="120" w:before="0"/>
      <w:contextualSpacing w:val="false"/>
    </w:pPr>
    <w:rPr>
      <w:sz w:val="24"/>
      <w:lang w:eastAsia="sk-SK" w:val="cs-CZ"/>
    </w:rPr>
  </w:style>
  <w:style w:styleId="style62" w:type="paragraph">
    <w:name w:val="Zoznam"/>
    <w:basedOn w:val="style61"/>
    <w:next w:val="style62"/>
    <w:pPr/>
    <w:rPr>
      <w:rFonts w:cs="Mangal"/>
    </w:rPr>
  </w:style>
  <w:style w:styleId="style63" w:type="paragraph">
    <w:name w:val="Popis"/>
    <w:basedOn w:val="style0"/>
    <w:next w:val="style63"/>
    <w:pPr>
      <w:suppressLineNumbers/>
      <w:spacing w:after="120" w:before="120"/>
      <w:contextualSpacing w:val="false"/>
    </w:pPr>
    <w:rPr>
      <w:rFonts w:cs="Mangal"/>
      <w:i/>
      <w:iCs/>
      <w:sz w:val="24"/>
      <w:szCs w:val="24"/>
    </w:rPr>
  </w:style>
  <w:style w:styleId="style64" w:type="paragraph">
    <w:name w:val="Index"/>
    <w:basedOn w:val="style0"/>
    <w:next w:val="style64"/>
    <w:pPr>
      <w:suppressLineNumbers/>
    </w:pPr>
    <w:rPr>
      <w:rFonts w:cs="Mangal"/>
    </w:rPr>
  </w:style>
  <w:style w:styleId="style65" w:type="paragraph">
    <w:name w:val="Hlavička"/>
    <w:basedOn w:val="style0"/>
    <w:next w:val="style65"/>
    <w:pPr>
      <w:tabs>
        <w:tab w:leader="none" w:pos="4536" w:val="center"/>
        <w:tab w:leader="none" w:pos="9072" w:val="right"/>
      </w:tabs>
    </w:pPr>
    <w:rPr>
      <w:b/>
    </w:rPr>
  </w:style>
  <w:style w:styleId="style66" w:type="paragraph">
    <w:name w:val="Päta"/>
    <w:basedOn w:val="style0"/>
    <w:next w:val="style66"/>
    <w:pPr>
      <w:tabs>
        <w:tab w:leader="none" w:pos="4703" w:val="center"/>
        <w:tab w:leader="none" w:pos="9406" w:val="right"/>
      </w:tabs>
    </w:pPr>
    <w:rPr/>
  </w:style>
  <w:style w:styleId="style67" w:type="paragraph">
    <w:name w:val="Balloon Text"/>
    <w:basedOn w:val="style0"/>
    <w:next w:val="style67"/>
    <w:pPr/>
    <w:rPr>
      <w:rFonts w:ascii="Tahoma" w:cs="Tahoma" w:hAnsi="Tahoma"/>
      <w:sz w:val="16"/>
      <w:szCs w:val="16"/>
    </w:rPr>
  </w:style>
  <w:style w:styleId="style68" w:type="paragraph">
    <w:name w:val="annotation text"/>
    <w:basedOn w:val="style0"/>
    <w:next w:val="style68"/>
    <w:pPr/>
    <w:rPr>
      <w:sz w:val="20"/>
    </w:rPr>
  </w:style>
  <w:style w:styleId="style69" w:type="paragraph">
    <w:name w:val="annotation subject"/>
    <w:basedOn w:val="style68"/>
    <w:next w:val="style69"/>
    <w:pPr/>
    <w:rPr>
      <w:b/>
      <w:bCs/>
    </w:rPr>
  </w:style>
  <w:style w:styleId="style70" w:type="paragraph">
    <w:name w:val="table header"/>
    <w:basedOn w:val="style0"/>
    <w:next w:val="style70"/>
    <w:pPr>
      <w:jc w:val="center"/>
    </w:pPr>
    <w:rPr>
      <w:rFonts w:ascii="Times New Roman Bold" w:hAnsi="Times New Roman Bold"/>
      <w:b/>
      <w:i/>
      <w:sz w:val="20"/>
      <w:lang w:eastAsia="sk-SK"/>
    </w:rPr>
  </w:style>
  <w:style w:styleId="style71" w:type="paragraph">
    <w:name w:val="Revision"/>
    <w:next w:val="style71"/>
    <w:pPr>
      <w:widowControl/>
      <w:suppressAutoHyphens w:val="true"/>
    </w:pPr>
    <w:rPr>
      <w:rFonts w:ascii="Verdana" w:cs="Times New Roman" w:eastAsia="Times New Roman" w:hAnsi="Verdana"/>
      <w:color w:val="00000A"/>
      <w:sz w:val="17"/>
      <w:szCs w:val="20"/>
      <w:lang w:bidi="ar-SA" w:eastAsia="en-US" w:val="sk-SK"/>
    </w:rPr>
  </w:style>
  <w:style w:styleId="style72" w:type="paragraph">
    <w:name w:val="List Paragraph"/>
    <w:basedOn w:val="style0"/>
    <w:next w:val="style72"/>
    <w:pPr>
      <w:ind w:hanging="0" w:left="708" w:right="0"/>
    </w:pPr>
    <w:rPr/>
  </w:style>
  <w:style w:styleId="style73" w:type="paragraph">
    <w:name w:val="Citácie"/>
    <w:basedOn w:val="style0"/>
    <w:next w:val="style73"/>
    <w:pPr/>
    <w:rPr/>
  </w:style>
  <w:style w:styleId="style74" w:type="paragraph">
    <w:name w:val="Názov"/>
    <w:basedOn w:val="style60"/>
    <w:next w:val="style74"/>
    <w:pPr/>
    <w:rPr/>
  </w:style>
  <w:style w:styleId="style75" w:type="paragraph">
    <w:name w:val="Podnázov"/>
    <w:basedOn w:val="style60"/>
    <w:next w:val="style75"/>
    <w:pPr/>
    <w:rPr/>
  </w:style>
  <w:style w:styleId="style76" w:type="paragraph">
    <w:name w:val="Obsah tabuľky"/>
    <w:basedOn w:val="style0"/>
    <w:next w:val="style76"/>
    <w:pPr/>
    <w:rPr/>
  </w:style>
  <w:style w:styleId="style77" w:type="paragraph">
    <w:name w:val="Nadpis tabuľky"/>
    <w:basedOn w:val="style76"/>
    <w:next w:val="style77"/>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17</TotalTime>
  <Application>LibreOffice/4.1.1.2$Windows_x86 LibreOffice_project/7e4286b58adc75a14f6d83f53a03b6c11fa2903</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2015-12-14T14:56:00Z</dcterms:created>
  <dc:creator>Alena Durkova</dc:creator>
  <cp:lastModifiedBy>Ondrackova, Jana (SK - Bratislava)</cp:lastModifiedBy>
  <cp:lastPrinted>2018-03-12T12:15:22Z</cp:lastPrinted>
  <dcterms:modified xsi:type="dcterms:W3CDTF">2016-01-20T15:48:00Z</dcterms:modified>
  <cp:revision>13</cp:revision>
  <dc:title>Návod na použitie:</dc:title>
</cp:coreProperties>
</file>