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ÚČTOVNEJ ZÁVIERKE 201</w:t>
      </w:r>
      <w:r>
        <w:rPr>
          <w:rFonts w:ascii="Arial Narrow" w:hAnsi="Arial Narrow"/>
          <w:b/>
        </w:rPr>
        <w:t>8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/>
      </w:pPr>
      <w:r>
        <w:rPr>
          <w:rFonts w:ascii="Arial Narrow" w:hAnsi="Arial Narrow"/>
          <w:b/>
        </w:rPr>
        <w:t xml:space="preserve">pre </w:t>
      </w:r>
      <w:r>
        <w:rPr>
          <w:rFonts w:ascii="Arial Narrow" w:hAnsi="Arial Narrow"/>
          <w:b/>
        </w:rPr>
        <w:t>mikro</w:t>
      </w:r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  <w:r>
        <w:br w:type="page"/>
      </w:r>
    </w:p>
    <w:tbl>
      <w:tblPr>
        <w:tblW w:w="4900" w:type="pct"/>
        <w:jc w:val="left"/>
        <w:tblInd w:w="-1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noVBand="0" w:val="00a0" w:noHBand="0" w:lastColumn="0" w:firstColumn="1" w:lastRow="0" w:firstRow="1"/>
      </w:tblPr>
      <w:tblGrid>
        <w:gridCol w:w="2589"/>
        <w:gridCol w:w="6855"/>
      </w:tblGrid>
      <w:tr>
        <w:trPr>
          <w:trHeight w:val="231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pageBreakBefore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PROFI industry s.r.o.</w:t>
            </w:r>
          </w:p>
        </w:tc>
      </w:tr>
      <w:tr>
        <w:trPr>
          <w:trHeight w:val="249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013 32  Dlhé Pole 1164</w:t>
            </w:r>
          </w:p>
        </w:tc>
      </w:tr>
      <w:tr>
        <w:trPr>
          <w:trHeight w:val="125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s.r.o.</w:t>
            </w:r>
          </w:p>
        </w:tc>
      </w:tr>
      <w:tr>
        <w:trPr>
          <w:trHeight w:val="143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Zápis do obchodného registra:  11.8.2016</w:t>
            </w:r>
          </w:p>
        </w:tc>
      </w:tr>
      <w:tr>
        <w:trPr>
          <w:trHeight w:val="175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>Hlavný predmet podnikania:</w:t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59" w:before="0" w:after="160"/>
              <w:rPr/>
            </w:pPr>
            <w:r>
              <w:rPr/>
              <w:t>Prípravné práce k realizácii stavby</w:t>
              <w:br/>
              <w:t>uskutočňovanie stavieb a zmien</w:t>
              <w:br/>
              <w:t>dokončovacie stavebné práce</w:t>
              <w:br/>
              <w:t>reklamné a marketingové služby</w:t>
              <w:br/>
              <w:t>administratívne služby</w:t>
            </w:r>
          </w:p>
        </w:tc>
      </w:tr>
      <w:tr>
        <w:trPr>
          <w:trHeight w:val="194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</w:t>
            </w:r>
            <w:r>
              <w:rPr/>
              <w:t>8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rPr/>
        <w:t>preto zostavuje účtovnú závierku podľa metodiky pre túto veľkostnú skupinu (Opatrenie č.MF/23378/2014-74).</w:t>
      </w:r>
    </w:p>
    <w:tbl>
      <w:tblPr>
        <w:tblW w:w="9568" w:type="dxa"/>
        <w:jc w:val="left"/>
        <w:tblInd w:w="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193"/>
        <w:gridCol w:w="3406"/>
        <w:gridCol w:w="3969"/>
      </w:tblGrid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Primerný prepočítaný počet zamestnancov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</w:tr>
    </w:tbl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/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>účtovná závierka k 31.12.201</w:t>
      </w:r>
      <w:r>
        <w:rPr>
          <w:rFonts w:cs="Arial Narrow" w:ascii="Arial Narrow" w:hAnsi="Arial Narrow"/>
        </w:rPr>
        <w:t>7 bola schválená</w:t>
      </w:r>
      <w:r>
        <w:rPr>
          <w:rFonts w:cs="Arial Narrow" w:ascii="Arial Narrow" w:hAnsi="Arial Narrow"/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right="0" w:hanging="0"/>
        <w:jc w:val="both"/>
        <w:rPr/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>k 31.12.201</w:t>
      </w:r>
      <w:r>
        <w:rPr>
          <w:rFonts w:cs="Arial Narrow" w:ascii="Arial Narrow" w:hAnsi="Arial Narrow"/>
        </w:rPr>
        <w:t>8</w:t>
      </w:r>
      <w:r>
        <w:rPr>
          <w:rFonts w:cs="Arial Narrow" w:ascii="Arial Narrow" w:hAnsi="Arial Narrow"/>
        </w:rPr>
        <w:t xml:space="preserve"> je účtovná závierka zostavená ako riadna účtovná závierka za účtovné obdobie od 1.1.201</w:t>
      </w:r>
      <w:r>
        <w:rPr>
          <w:rFonts w:cs="Arial Narrow" w:ascii="Arial Narrow" w:hAnsi="Arial Narrow"/>
        </w:rPr>
        <w:t>8</w:t>
      </w:r>
      <w:r>
        <w:rPr>
          <w:rFonts w:cs="Arial Narrow" w:ascii="Arial Narrow" w:hAnsi="Arial Narrow"/>
        </w:rPr>
        <w:t xml:space="preserve"> do          </w:t>
      </w:r>
    </w:p>
    <w:p>
      <w:pPr>
        <w:pStyle w:val="Normal"/>
        <w:ind w:right="0" w:hanging="0"/>
        <w:jc w:val="both"/>
        <w:rPr/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</w:t>
      </w:r>
      <w:r>
        <w:rPr>
          <w:rFonts w:cs="Arial Narrow" w:ascii="Arial Narrow" w:hAnsi="Arial Narrow"/>
        </w:rPr>
        <w:t>8</w:t>
      </w:r>
      <w:r>
        <w:rPr>
          <w:rFonts w:cs="Arial Narrow" w:ascii="Arial Narrow" w:hAnsi="Arial Narrow"/>
        </w:rPr>
        <w:t>.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spoločnosť nie je súčasťou žiadnej skupiny.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mc:AlternateContent>
          <mc:Choice Requires="wps">
            <w:drawing>
              <wp:anchor behindDoc="0" distT="0" distB="0" distL="89535" distR="89535" simplePos="0" locked="0" layoutInCell="1" allowOverlap="1" relativeHeight="2">
                <wp:simplePos x="0" y="0"/>
                <wp:positionH relativeFrom="margin">
                  <wp:posOffset>-82550</wp:posOffset>
                </wp:positionH>
                <wp:positionV relativeFrom="paragraph">
                  <wp:posOffset>46355</wp:posOffset>
                </wp:positionV>
                <wp:extent cx="5922645" cy="1059180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2000" cy="105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73" w:tblpYSpec="" w:topFromText="0" w:vertAnchor="text"/>
                              <w:tblW w:w="9324" w:type="dxa"/>
                              <w:jc w:val="left"/>
                              <w:tblInd w:w="39" w:type="dxa"/>
                              <w:tblCellMar>
                                <w:top w:w="0" w:type="dxa"/>
                                <w:left w:w="16" w:type="dxa"/>
                                <w:bottom w:w="0" w:type="dxa"/>
                                <w:right w:w="108" w:type="dxa"/>
                              </w:tblCellMar>
                              <w:tblLook w:noVBand="1" w:val="04a0" w:noHBand="0" w:lastColumn="0" w:firstColumn="1" w:lastRow="0" w:firstRow="1"/>
                            </w:tblPr>
                            <w:tblGrid>
                              <w:gridCol w:w="4124"/>
                              <w:gridCol w:w="2412"/>
                              <w:gridCol w:w="2788"/>
                            </w:tblGrid>
                            <w:tr>
                              <w:trPr/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6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6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Priemerný prepočítaný počet zamestnancov počas účtovného obdobia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-6.5pt;margin-top:3.65pt;width:466.25pt;height:83.3pt;mso-position-horizontal-relative:margin">
                <w10:wrap type="none"/>
                <v:fill on="false" o:detectmouseclick="t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73" w:tblpYSpec="" w:topFromText="0" w:vertAnchor="text"/>
                        <w:tblW w:w="9324" w:type="dxa"/>
                        <w:jc w:val="left"/>
                        <w:tblInd w:w="39" w:type="dxa"/>
                        <w:tblCellMar>
                          <w:top w:w="0" w:type="dxa"/>
                          <w:left w:w="16" w:type="dxa"/>
                          <w:bottom w:w="0" w:type="dxa"/>
                          <w:right w:w="108" w:type="dxa"/>
                        </w:tblCellMar>
                        <w:tblLook w:noVBand="1" w:val="04a0" w:noHBand="0" w:lastColumn="0" w:firstColumn="1" w:lastRow="0" w:firstRow="1"/>
                      </w:tblPr>
                      <w:tblGrid>
                        <w:gridCol w:w="4124"/>
                        <w:gridCol w:w="2412"/>
                        <w:gridCol w:w="2788"/>
                      </w:tblGrid>
                      <w:tr>
                        <w:trPr/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6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6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Priemerný prepočítaný počet zamestnancov počas účtovného obdobia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/>
          <w:color w:val="000000"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  <w:color w:val="000000"/>
        </w:rPr>
        <w:t xml:space="preserve">– </w:t>
      </w:r>
      <w:r>
        <w:rPr>
          <w:rFonts w:cs="Times New Roman" w:ascii="Times New Roman" w:hAnsi="Times New Roman"/>
          <w:bCs/>
          <w:color w:val="000000"/>
        </w:rPr>
        <w:t>pre členov štatutárneho orgánu neboli poskytnuté    .           žiadne záruky, žiadne zabezpečenia, pôžičky.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cs="Times New Roman" w:ascii="Times New Roman" w:hAnsi="Times New Roman"/>
          <w:bCs/>
          <w:color w:val="000000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III</w:t>
        <w:tab/>
        <w:t>Informácie o 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color w:val="000000"/>
          <w:szCs w:val="24"/>
        </w:rPr>
        <w:t>III. 1</w:t>
        <w:tab/>
        <w:t>Účtovná jednotka bude nepretržite pokračovať</w:t>
      </w:r>
      <w:r>
        <w:rPr>
          <w:rFonts w:cs="Times New Roman" w:ascii="Times New Roman" w:hAnsi="Times New Roman"/>
          <w:b/>
          <w:szCs w:val="24"/>
        </w:rPr>
        <w:t xml:space="preserve">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-1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netvorila opravné položky k pohľadávkam, u ktorých je opodstatnené predpokladať, že ju </w:t>
      </w:r>
    </w:p>
    <w:p>
      <w:pPr>
        <w:pStyle w:val="NoSpacing"/>
        <w:rPr/>
      </w:pPr>
      <w:r>
        <w:rPr/>
        <w:t>dlžník úplne alebo čiastočne nezaplatí a k spornej pohľadávke voči dlžníkovi, s ktorým sa vedie spor o jej uznanie. Celková hodnota opravných položiek k pohľadávkam k 31.12.201</w:t>
      </w:r>
      <w:r>
        <w:rPr/>
        <w:t>8</w:t>
      </w:r>
      <w:r>
        <w:rPr/>
        <w:t xml:space="preserve"> predstavuje      0     €.</w:t>
      </w:r>
    </w:p>
    <w:p>
      <w:pPr>
        <w:pStyle w:val="NoSpacing"/>
        <w:rPr/>
      </w:pPr>
      <w:r>
        <w:rPr/>
        <w:t>Neuhradené pohľadávky z obchodného styku ku koncu roku sú v celkovej výške 0       €.</w:t>
      </w:r>
    </w:p>
    <w:p>
      <w:pPr>
        <w:pStyle w:val="NoSpacing"/>
        <w:rPr/>
      </w:pPr>
      <w:r>
        <w:rPr/>
        <w:t xml:space="preserve"> </w:t>
      </w:r>
    </w:p>
    <w:tbl>
      <w:tblPr>
        <w:tblW w:w="9568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1"/>
        <w:gridCol w:w="3686"/>
      </w:tblGrid>
      <w:tr>
        <w:trPr>
          <w:trHeight w:val="735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Spacing"/>
        <w:rPr/>
      </w:pPr>
      <w:r>
        <w:rPr/>
        <w:t>Spoločnosť 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tbl>
      <w:tblPr>
        <w:tblW w:w="9341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2"/>
        <w:gridCol w:w="3458"/>
      </w:tblGrid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 w:themeColor="text1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0  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284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332"/>
        <w:gridCol w:w="2126"/>
        <w:gridCol w:w="1556"/>
        <w:gridCol w:w="2269"/>
      </w:tblGrid>
      <w:tr>
        <w:trPr>
          <w:trHeight w:val="1870" w:hRule="atLeast"/>
        </w:trPr>
        <w:tc>
          <w:tcPr>
            <w:tcW w:w="333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3332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37" w:type="dxa"/>
        <w:jc w:val="left"/>
        <w:tblInd w:w="-30" w:type="dxa"/>
        <w:tblCellMar>
          <w:top w:w="0" w:type="dxa"/>
          <w:left w:w="30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839"/>
        <w:gridCol w:w="2954"/>
        <w:gridCol w:w="3544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Budovy a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Drobné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 w:before="0" w:after="12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/>
      </w:pPr>
      <w:r>
        <w:rPr>
          <w:rFonts w:cs="Times New Roman" w:ascii="Times New Roman" w:hAnsi="Times New Roman"/>
        </w:rPr>
        <w:t>ÚJ používa rovnomerné odpisovanie dlhodobého hmotného majetku a dlhodobého nehmotného majetku. Podrobný účtovný odpisový plán po položkách sa vedie v podsystéme DHM s podporou softvéru  OMEGA – Kros a.s. (taktiež daňové odpisy podľa zákona o dani z príjmov).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4"/>
        <w:gridCol w:w="2602"/>
        <w:gridCol w:w="2860"/>
      </w:tblGrid>
      <w:tr>
        <w:trPr>
          <w:trHeight w:val="975" w:hRule="atLeast"/>
        </w:trPr>
        <w:tc>
          <w:tcPr>
            <w:tcW w:w="389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tržby za 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prenájom nebytov. priestorov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dopravné výkony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jc w:val="left"/>
        <w:tblInd w:w="-66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8"/>
        <w:gridCol w:w="2765"/>
        <w:gridCol w:w="2693"/>
      </w:tblGrid>
      <w:tr>
        <w:trPr>
          <w:trHeight w:val="694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000000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údajoch na podsúvahových účtoch</w:t>
      </w:r>
    </w:p>
    <w:tbl>
      <w:tblPr>
        <w:tblW w:w="9341" w:type="dxa"/>
        <w:jc w:val="left"/>
        <w:tblInd w:w="-67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0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/>
      </w:pPr>
      <w:r>
        <w:rPr>
          <w:b/>
          <w:color w:val="000000"/>
        </w:rPr>
        <w:t xml:space="preserve">VI.              </w:t>
      </w:r>
      <w:r>
        <w:rPr>
          <w:rFonts w:cs="Times New Roman" w:ascii="Times New Roman" w:hAnsi="Times New Roman"/>
          <w:color w:val="000000"/>
        </w:rPr>
        <w:t>Po 31.12.201</w:t>
      </w:r>
      <w:r>
        <w:rPr>
          <w:rFonts w:cs="Times New Roman" w:ascii="Times New Roman" w:hAnsi="Times New Roman"/>
          <w:color w:val="000000"/>
        </w:rPr>
        <w:t>8</w:t>
      </w:r>
      <w:r>
        <w:rPr>
          <w:rFonts w:cs="Times New Roman" w:ascii="Times New Roman" w:hAnsi="Times New Roman"/>
          <w:color w:val="000000"/>
        </w:rPr>
        <w:t xml:space="preserve"> do dňa zostavenia účtovnej závierky nenastali žiadne významné skutočnosti, </w:t>
      </w:r>
    </w:p>
    <w:p>
      <w:pPr>
        <w:pStyle w:val="NoSpacing"/>
        <w:rPr/>
      </w:pPr>
      <w:r>
        <w:rPr>
          <w:rFonts w:cs="Times New Roman" w:ascii="Times New Roman" w:hAnsi="Times New Roman"/>
          <w:color w:val="000000"/>
        </w:rPr>
        <w:t xml:space="preserve">                   </w:t>
      </w:r>
      <w:r>
        <w:rPr>
          <w:rFonts w:cs="Times New Roman" w:ascii="Times New Roman" w:hAnsi="Times New Roman"/>
          <w:color w:val="000000"/>
        </w:rPr>
        <w:t>ktoré by ovplyvnili výsledok hospodárenia spoločnosti za rok 201</w:t>
      </w:r>
      <w:r>
        <w:rPr>
          <w:rFonts w:cs="Times New Roman" w:ascii="Times New Roman" w:hAnsi="Times New Roman"/>
          <w:color w:val="000000"/>
        </w:rPr>
        <w:t>8</w:t>
      </w:r>
      <w:r>
        <w:rPr>
          <w:rFonts w:cs="Times New Roman" w:ascii="Times New Roman" w:hAnsi="Times New Roman"/>
          <w:color w:val="000000"/>
        </w:rPr>
        <w:t>.</w:t>
      </w:r>
    </w:p>
    <w:p>
      <w:pPr>
        <w:pStyle w:val="NoSpacing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Spacing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2016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b/>
      </w:rPr>
      <w:t xml:space="preserve">Strana </w:t>
    </w:r>
    <w:r>
      <w:rPr>
        <w:b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317" w:type="dxa"/>
      <w:jc w:val="left"/>
      <w:tblInd w:w="0" w:type="dxa"/>
      <w:tblCellMar>
        <w:top w:w="0" w:type="dxa"/>
        <w:left w:w="128" w:type="dxa"/>
        <w:bottom w:w="0" w:type="dxa"/>
        <w:right w:w="108" w:type="dxa"/>
      </w:tblCellMar>
      <w:tblLook w:noVBand="1" w:val="04a0" w:noHBand="0" w:lastColumn="0" w:firstColumn="1" w:lastRow="0" w:firstRow="1"/>
    </w:tblPr>
    <w:tblGrid>
      <w:gridCol w:w="2609"/>
      <w:gridCol w:w="686"/>
      <w:gridCol w:w="288"/>
      <w:gridCol w:w="289"/>
      <w:gridCol w:w="288"/>
      <w:gridCol w:w="287"/>
      <w:gridCol w:w="287"/>
      <w:gridCol w:w="288"/>
      <w:gridCol w:w="289"/>
      <w:gridCol w:w="288"/>
      <w:gridCol w:w="840"/>
      <w:gridCol w:w="288"/>
      <w:gridCol w:w="289"/>
      <w:gridCol w:w="289"/>
      <w:gridCol w:w="287"/>
      <w:gridCol w:w="288"/>
      <w:gridCol w:w="288"/>
      <w:gridCol w:w="288"/>
      <w:gridCol w:w="288"/>
      <w:gridCol w:w="287"/>
      <w:gridCol w:w="283"/>
    </w:tblGrid>
    <w:tr>
      <w:trPr>
        <w:trHeight w:val="138" w:hRule="atLeast"/>
      </w:trPr>
      <w:tc>
        <w:tcPr>
          <w:tcW w:w="260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86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5</w:t>
          </w:r>
        </w:p>
      </w:tc>
      <w:tc>
        <w:tcPr>
          <w:tcW w:w="289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>
            <w:left w:val="nil"/>
            <w:right w:val="nil"/>
            <w:insideV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840" w:type="dxa"/>
          <w:tcBorders>
            <w:top w:val="nil"/>
            <w:bottom w:val="nil"/>
            <w:insideH w:val="nil"/>
          </w:tcBorders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9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3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ad663b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Times New Roman" w:hAnsi="Times New Roman" w:cs="Symbol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ascii="Times New Roman" w:hAnsi="Times New Roman" w:cs="Symbol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Wingdings"/>
    </w:rPr>
  </w:style>
  <w:style w:type="character" w:styleId="ListLabel9">
    <w:name w:val="ListLabel 9"/>
    <w:qFormat/>
    <w:rPr>
      <w:rFonts w:ascii="Times New Roman" w:hAnsi="Times New Roman" w:cs="Symbo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link w:val="ZkladntextChar"/>
    <w:uiPriority w:val="1"/>
    <w:unhideWhenUsed/>
    <w:qFormat/>
    <w:rsid w:val="00ad663b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Zoznam"/>
    <w:basedOn w:val="Normal"/>
    <w:rsid w:val="00176074"/>
    <w:pPr>
      <w:spacing w:lineRule="auto" w:line="240" w:before="0" w:after="0"/>
      <w:ind w:left="283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634</TotalTime>
  <Application>LibreOffice/4.4.0.3$Windows_x86 LibreOffice_project/de093506bcdc5fafd9023ee680b8c60e3e0645d7</Application>
  <Paragraphs>248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2017-01-29T11:23:00Z</dcterms:created>
  <dc:creator>Martin T</dc:creator>
  <dc:language>sk-SK</dc:language>
  <cp:lastPrinted>2016-01-29T11:21:00Z</cp:lastPrinted>
  <dcterms:modified xsi:type="dcterms:W3CDTF">2019-03-26T11:00:26Z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