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065" w:rsidRDefault="009742D1" w:rsidP="00974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540"/>
          <w:tab w:val="left" w:pos="4060"/>
          <w:tab w:val="left" w:pos="7220"/>
          <w:tab w:val="left" w:pos="7740"/>
        </w:tabs>
        <w:rPr>
          <w:sz w:val="20"/>
          <w:szCs w:val="20"/>
        </w:rPr>
      </w:pPr>
      <w:bookmarkStart w:id="0" w:name="page1"/>
      <w:bookmarkEnd w:id="0"/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45952" behindDoc="1" locked="0" layoutInCell="0" allowOverlap="1">
            <wp:simplePos x="0" y="0"/>
            <wp:positionH relativeFrom="page">
              <wp:posOffset>613410</wp:posOffset>
            </wp:positionH>
            <wp:positionV relativeFrom="page">
              <wp:posOffset>397510</wp:posOffset>
            </wp:positionV>
            <wp:extent cx="1593215" cy="2254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21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46976" behindDoc="1" locked="0" layoutInCell="0" allowOverlap="1">
            <wp:simplePos x="0" y="0"/>
            <wp:positionH relativeFrom="page">
              <wp:posOffset>5545455</wp:posOffset>
            </wp:positionH>
            <wp:positionV relativeFrom="page">
              <wp:posOffset>397510</wp:posOffset>
            </wp:positionV>
            <wp:extent cx="158115" cy="22542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48000" behindDoc="1" locked="0" layoutInCell="0" allowOverlap="1">
            <wp:simplePos x="0" y="0"/>
            <wp:positionH relativeFrom="page">
              <wp:posOffset>5833745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49024" behindDoc="1" locked="0" layoutInCell="0" allowOverlap="1">
            <wp:simplePos x="0" y="0"/>
            <wp:positionH relativeFrom="page">
              <wp:posOffset>5977255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0048" behindDoc="1" locked="0" layoutInCell="0" allowOverlap="1">
            <wp:simplePos x="0" y="0"/>
            <wp:positionH relativeFrom="page">
              <wp:posOffset>6121400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1072" behindDoc="1" locked="0" layoutInCell="0" allowOverlap="1">
            <wp:simplePos x="0" y="0"/>
            <wp:positionH relativeFrom="page">
              <wp:posOffset>6265545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2096" behindDoc="1" locked="0" layoutInCell="0" allowOverlap="1">
            <wp:simplePos x="0" y="0"/>
            <wp:positionH relativeFrom="page">
              <wp:posOffset>6409690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3120" behindDoc="1" locked="0" layoutInCell="0" allowOverlap="1">
            <wp:simplePos x="0" y="0"/>
            <wp:positionH relativeFrom="page">
              <wp:posOffset>6553835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4144" behindDoc="1" locked="0" layoutInCell="0" allowOverlap="1">
            <wp:simplePos x="0" y="0"/>
            <wp:positionH relativeFrom="page">
              <wp:posOffset>6697345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5168" behindDoc="1" locked="0" layoutInCell="0" allowOverlap="1">
            <wp:simplePos x="0" y="0"/>
            <wp:positionH relativeFrom="page">
              <wp:posOffset>6841490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6192" behindDoc="1" locked="0" layoutInCell="0" allowOverlap="1">
            <wp:simplePos x="0" y="0"/>
            <wp:positionH relativeFrom="page">
              <wp:posOffset>6985635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7216" behindDoc="1" locked="0" layoutInCell="0" allowOverlap="1">
            <wp:simplePos x="0" y="0"/>
            <wp:positionH relativeFrom="page">
              <wp:posOffset>3205480</wp:posOffset>
            </wp:positionH>
            <wp:positionV relativeFrom="page">
              <wp:posOffset>397510</wp:posOffset>
            </wp:positionV>
            <wp:extent cx="158115" cy="22542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3493770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3637280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page">
              <wp:posOffset>3781425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page">
              <wp:posOffset>3925570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page">
              <wp:posOffset>4069715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page">
              <wp:posOffset>4213225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page">
              <wp:posOffset>4357370</wp:posOffset>
            </wp:positionH>
            <wp:positionV relativeFrom="page">
              <wp:posOffset>397510</wp:posOffset>
            </wp:positionV>
            <wp:extent cx="9525" cy="225425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20"/>
          <w:szCs w:val="20"/>
        </w:rPr>
        <w:t xml:space="preserve">Poznámky </w:t>
      </w:r>
      <w:proofErr w:type="spellStart"/>
      <w:r>
        <w:rPr>
          <w:rFonts w:ascii="Arial" w:eastAsia="Arial" w:hAnsi="Arial" w:cs="Arial"/>
          <w:sz w:val="20"/>
          <w:szCs w:val="20"/>
        </w:rPr>
        <w:t>Úč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MÚJ 3 - 01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IČO</w:t>
      </w:r>
      <w:r>
        <w:rPr>
          <w:rFonts w:ascii="Arial" w:eastAsia="Arial" w:hAnsi="Arial" w:cs="Arial"/>
          <w:sz w:val="20"/>
          <w:szCs w:val="20"/>
        </w:rPr>
        <w:tab/>
        <w:t>4  4  5  6  8  9  1  6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DIČ</w:t>
      </w:r>
      <w:r>
        <w:rPr>
          <w:rFonts w:ascii="Arial" w:eastAsia="Arial" w:hAnsi="Arial" w:cs="Arial"/>
          <w:sz w:val="20"/>
          <w:szCs w:val="20"/>
        </w:rPr>
        <w:tab/>
        <w:t>2  0  2  2  7  4  9  1  0  2</w:t>
      </w:r>
    </w:p>
    <w:p w:rsidR="00F87065" w:rsidRDefault="00F87065" w:rsidP="00974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ectPr w:rsidR="00F87065">
          <w:pgSz w:w="11920" w:h="16845"/>
          <w:pgMar w:top="673" w:right="970" w:bottom="929" w:left="1020" w:header="0" w:footer="0" w:gutter="0"/>
          <w:cols w:space="708" w:equalWidth="0">
            <w:col w:w="9920"/>
          </w:cols>
        </w:sect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200" w:lineRule="exact"/>
        <w:rPr>
          <w:sz w:val="24"/>
          <w:szCs w:val="24"/>
        </w:rPr>
      </w:pPr>
    </w:p>
    <w:p w:rsidR="00F87065" w:rsidRDefault="00F87065">
      <w:pPr>
        <w:spacing w:line="320" w:lineRule="exact"/>
        <w:rPr>
          <w:sz w:val="24"/>
          <w:szCs w:val="24"/>
        </w:rPr>
      </w:pPr>
    </w:p>
    <w:p w:rsidR="00F87065" w:rsidRDefault="009742D1">
      <w:pPr>
        <w:ind w:left="62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36"/>
          <w:szCs w:val="36"/>
        </w:rPr>
        <w:t>Poznámky k účtovnej závierke za rok 201</w:t>
      </w:r>
      <w:r w:rsidR="002D3EEC">
        <w:rPr>
          <w:rFonts w:ascii="Arial" w:eastAsia="Arial" w:hAnsi="Arial" w:cs="Arial"/>
          <w:b/>
          <w:bCs/>
          <w:sz w:val="36"/>
          <w:szCs w:val="36"/>
        </w:rPr>
        <w:t>8</w:t>
      </w:r>
    </w:p>
    <w:p w:rsidR="00F87065" w:rsidRDefault="00F87065">
      <w:pPr>
        <w:spacing w:line="245" w:lineRule="exact"/>
        <w:rPr>
          <w:sz w:val="24"/>
          <w:szCs w:val="24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7940"/>
      </w:tblGrid>
      <w:tr w:rsidR="00F87065">
        <w:trPr>
          <w:trHeight w:val="301"/>
        </w:trPr>
        <w:tc>
          <w:tcPr>
            <w:tcW w:w="17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Obchodné meno:</w:t>
            </w:r>
          </w:p>
        </w:tc>
        <w:tc>
          <w:tcPr>
            <w:tcW w:w="7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C&amp;F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locrandi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spol.s.r.o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F87065">
        <w:trPr>
          <w:trHeight w:val="210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</w:tr>
      <w:tr w:rsidR="00F87065">
        <w:trPr>
          <w:trHeight w:val="281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Sídlo:</w:t>
            </w:r>
          </w:p>
        </w:tc>
        <w:tc>
          <w:tcPr>
            <w:tcW w:w="794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Šiba 153, 086 22 Kľušov</w:t>
            </w:r>
          </w:p>
        </w:tc>
      </w:tr>
      <w:tr w:rsidR="00F87065">
        <w:trPr>
          <w:trHeight w:val="210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</w:tr>
      <w:tr w:rsidR="00F87065">
        <w:trPr>
          <w:trHeight w:val="281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Právna forma:</w:t>
            </w:r>
          </w:p>
        </w:tc>
        <w:tc>
          <w:tcPr>
            <w:tcW w:w="794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20"/>
              <w:rPr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s.r.o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F87065">
        <w:trPr>
          <w:trHeight w:val="210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</w:tr>
      <w:tr w:rsidR="00F87065">
        <w:trPr>
          <w:trHeight w:val="264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Dátum vzniku:</w:t>
            </w: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15.01.2009</w:t>
            </w:r>
          </w:p>
        </w:tc>
      </w:tr>
      <w:tr w:rsidR="00F87065">
        <w:trPr>
          <w:trHeight w:val="227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Hlavný predmet</w:t>
            </w:r>
          </w:p>
        </w:tc>
        <w:tc>
          <w:tcPr>
            <w:tcW w:w="794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spacing w:line="227" w:lineRule="exact"/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pohostinská činnosť</w:t>
            </w:r>
          </w:p>
        </w:tc>
      </w:tr>
      <w:tr w:rsidR="00F87065">
        <w:trPr>
          <w:trHeight w:val="258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podnikania:</w:t>
            </w: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</w:tr>
      <w:tr w:rsidR="00F87065">
        <w:trPr>
          <w:trHeight w:val="286"/>
        </w:trPr>
        <w:tc>
          <w:tcPr>
            <w:tcW w:w="1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40"/>
              <w:rPr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Štaturárny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orgán:</w:t>
            </w:r>
          </w:p>
        </w:tc>
        <w:tc>
          <w:tcPr>
            <w:tcW w:w="794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Martin Jakubov</w:t>
            </w:r>
          </w:p>
        </w:tc>
      </w:tr>
      <w:tr w:rsidR="00F87065">
        <w:trPr>
          <w:trHeight w:val="210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7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</w:tr>
    </w:tbl>
    <w:p w:rsidR="00F87065" w:rsidRDefault="00F87065">
      <w:pPr>
        <w:sectPr w:rsidR="00F87065">
          <w:type w:val="continuous"/>
          <w:pgSz w:w="11920" w:h="16845"/>
          <w:pgMar w:top="673" w:right="970" w:bottom="929" w:left="1020" w:header="0" w:footer="0" w:gutter="0"/>
          <w:cols w:space="708" w:equalWidth="0">
            <w:col w:w="9920"/>
          </w:cols>
        </w:sectPr>
      </w:pPr>
    </w:p>
    <w:p w:rsidR="00F87065" w:rsidRDefault="00F87065">
      <w:pPr>
        <w:spacing w:line="1" w:lineRule="exact"/>
        <w:rPr>
          <w:sz w:val="20"/>
          <w:szCs w:val="20"/>
        </w:rPr>
      </w:pPr>
      <w:bookmarkStart w:id="1" w:name="page2"/>
      <w:bookmarkEnd w:id="1"/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600"/>
        <w:gridCol w:w="220"/>
        <w:gridCol w:w="220"/>
        <w:gridCol w:w="240"/>
        <w:gridCol w:w="220"/>
        <w:gridCol w:w="220"/>
        <w:gridCol w:w="240"/>
        <w:gridCol w:w="220"/>
        <w:gridCol w:w="220"/>
        <w:gridCol w:w="188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660"/>
      </w:tblGrid>
      <w:tr w:rsidR="00F87065">
        <w:trPr>
          <w:trHeight w:val="311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Poznámky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Úč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MÚJ 3 - 01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1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IČO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14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DIČ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660" w:type="dxa"/>
            <w:vAlign w:val="bottom"/>
          </w:tcPr>
          <w:p w:rsidR="00F87065" w:rsidRDefault="009742D1">
            <w:pPr>
              <w:ind w:left="2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0"/>
                <w:szCs w:val="20"/>
              </w:rPr>
              <w:t>str.2</w:t>
            </w:r>
          </w:p>
        </w:tc>
      </w:tr>
      <w:tr w:rsidR="00F87065">
        <w:trPr>
          <w:trHeight w:val="29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</w:tr>
    </w:tbl>
    <w:p w:rsidR="00F87065" w:rsidRDefault="00F87065">
      <w:pPr>
        <w:spacing w:line="133" w:lineRule="exact"/>
        <w:rPr>
          <w:sz w:val="20"/>
          <w:szCs w:val="20"/>
        </w:rPr>
      </w:pP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Čl. I - (3)</w:t>
      </w:r>
    </w:p>
    <w:p w:rsidR="00F87065" w:rsidRDefault="00F87065">
      <w:pPr>
        <w:spacing w:line="56" w:lineRule="exact"/>
        <w:rPr>
          <w:sz w:val="20"/>
          <w:szCs w:val="20"/>
        </w:rPr>
      </w:pPr>
    </w:p>
    <w:p w:rsidR="00F87065" w:rsidRDefault="009742D1">
      <w:pPr>
        <w:spacing w:line="274" w:lineRule="auto"/>
        <w:ind w:left="60" w:right="30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Dátum schválenia účtovnej závierky za bezprostredne predchádzajúce účtovné obdobie príslušným orgánom účtovnej jednotky.</w:t>
      </w:r>
    </w:p>
    <w:p w:rsidR="00F87065" w:rsidRDefault="009742D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5408" behindDoc="1" locked="0" layoutInCell="0" allowOverlap="1">
            <wp:simplePos x="0" y="0"/>
            <wp:positionH relativeFrom="column">
              <wp:posOffset>6350</wp:posOffset>
            </wp:positionH>
            <wp:positionV relativeFrom="paragraph">
              <wp:posOffset>39370</wp:posOffset>
            </wp:positionV>
            <wp:extent cx="6849745" cy="18923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45" cy="18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87065" w:rsidRDefault="00F87065">
      <w:pPr>
        <w:spacing w:line="78" w:lineRule="exact"/>
        <w:rPr>
          <w:sz w:val="20"/>
          <w:szCs w:val="20"/>
        </w:rPr>
      </w:pPr>
    </w:p>
    <w:p w:rsidR="00F87065" w:rsidRDefault="009742D1">
      <w:pPr>
        <w:numPr>
          <w:ilvl w:val="0"/>
          <w:numId w:val="1"/>
        </w:numPr>
        <w:tabs>
          <w:tab w:val="left" w:pos="180"/>
        </w:tabs>
        <w:ind w:left="180" w:hanging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účtovná závierka za r.201</w:t>
      </w:r>
      <w:r w:rsidR="008C2D97">
        <w:rPr>
          <w:rFonts w:ascii="Arial" w:eastAsia="Arial" w:hAnsi="Arial" w:cs="Arial"/>
          <w:sz w:val="20"/>
          <w:szCs w:val="20"/>
        </w:rPr>
        <w:t>7</w:t>
      </w:r>
      <w:r>
        <w:rPr>
          <w:rFonts w:ascii="Arial" w:eastAsia="Arial" w:hAnsi="Arial" w:cs="Arial"/>
          <w:sz w:val="20"/>
          <w:szCs w:val="20"/>
        </w:rPr>
        <w:t xml:space="preserve"> bola schválená 26.</w:t>
      </w:r>
      <w:r w:rsidR="002D3EEC">
        <w:rPr>
          <w:rFonts w:ascii="Arial" w:eastAsia="Arial" w:hAnsi="Arial" w:cs="Arial"/>
          <w:sz w:val="20"/>
          <w:szCs w:val="20"/>
        </w:rPr>
        <w:t>3</w:t>
      </w:r>
      <w:r>
        <w:rPr>
          <w:rFonts w:ascii="Arial" w:eastAsia="Arial" w:hAnsi="Arial" w:cs="Arial"/>
          <w:sz w:val="20"/>
          <w:szCs w:val="20"/>
        </w:rPr>
        <w:t>.201</w:t>
      </w:r>
      <w:r w:rsidR="002D3EEC">
        <w:rPr>
          <w:rFonts w:ascii="Arial" w:eastAsia="Arial" w:hAnsi="Arial" w:cs="Arial"/>
          <w:sz w:val="20"/>
          <w:szCs w:val="20"/>
        </w:rPr>
        <w:t>9</w:t>
      </w:r>
    </w:p>
    <w:p w:rsidR="00F87065" w:rsidRDefault="00F87065">
      <w:pPr>
        <w:spacing w:line="51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ind w:left="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Čl. I - (4)</w:t>
      </w:r>
    </w:p>
    <w:p w:rsidR="00F87065" w:rsidRDefault="00F87065">
      <w:pPr>
        <w:spacing w:line="55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ind w:left="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Právny dôvod na zostavenie účtovnej závierky.</w:t>
      </w:r>
    </w:p>
    <w:p w:rsidR="00F87065" w:rsidRDefault="00F87065">
      <w:pPr>
        <w:spacing w:line="53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numPr>
          <w:ilvl w:val="0"/>
          <w:numId w:val="1"/>
        </w:numPr>
        <w:tabs>
          <w:tab w:val="left" w:pos="180"/>
        </w:tabs>
        <w:ind w:left="180" w:hanging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účtovná jednotka zostavila riadnu účtovnú závierku k 31.12.201</w:t>
      </w:r>
      <w:r w:rsidR="002D3EEC">
        <w:rPr>
          <w:rFonts w:ascii="Arial" w:eastAsia="Arial" w:hAnsi="Arial" w:cs="Arial"/>
          <w:sz w:val="20"/>
          <w:szCs w:val="20"/>
        </w:rPr>
        <w:t>8</w:t>
      </w:r>
    </w:p>
    <w:p w:rsidR="00F87065" w:rsidRDefault="00F87065">
      <w:pPr>
        <w:spacing w:line="51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ind w:left="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Čl. I - (5)</w:t>
      </w:r>
    </w:p>
    <w:p w:rsidR="00F87065" w:rsidRDefault="00F87065">
      <w:pPr>
        <w:spacing w:line="55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ind w:left="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Údaje o skupine, a to:</w:t>
      </w:r>
    </w:p>
    <w:p w:rsidR="00F87065" w:rsidRDefault="009742D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6432" behindDoc="1" locked="0" layoutInCell="0" allowOverlap="1">
            <wp:simplePos x="0" y="0"/>
            <wp:positionH relativeFrom="column">
              <wp:posOffset>6350</wp:posOffset>
            </wp:positionH>
            <wp:positionV relativeFrom="paragraph">
              <wp:posOffset>-528320</wp:posOffset>
            </wp:positionV>
            <wp:extent cx="6849745" cy="18923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45" cy="18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87065" w:rsidRDefault="00F87065">
      <w:pPr>
        <w:spacing w:line="208" w:lineRule="exact"/>
        <w:rPr>
          <w:sz w:val="20"/>
          <w:szCs w:val="20"/>
        </w:rPr>
      </w:pPr>
    </w:p>
    <w:p w:rsidR="00F87065" w:rsidRDefault="009742D1">
      <w:pPr>
        <w:numPr>
          <w:ilvl w:val="0"/>
          <w:numId w:val="2"/>
        </w:numPr>
        <w:tabs>
          <w:tab w:val="left" w:pos="293"/>
        </w:tabs>
        <w:spacing w:line="274" w:lineRule="auto"/>
        <w:ind w:left="6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obchodné meno a sídlo účtovnej jednotky, ktorá zostavuje konsolidovanú účtovnú závierku za najväčšiu skupinu, ktorej súčasťou je účtovná jednotka ako dcérska účtovná jednotka,</w:t>
      </w:r>
    </w:p>
    <w:p w:rsidR="00F87065" w:rsidRDefault="00F87065">
      <w:pPr>
        <w:spacing w:line="162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numPr>
          <w:ilvl w:val="0"/>
          <w:numId w:val="2"/>
        </w:numPr>
        <w:tabs>
          <w:tab w:val="left" w:pos="293"/>
        </w:tabs>
        <w:spacing w:line="256" w:lineRule="auto"/>
        <w:ind w:left="60" w:right="44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obchodné meno a sídlo účtovnej jednotky, ktorá zostavuje konsolidovanú účtovnú závierku za najmenšiu skupinu, ktorej súčasťou je účtovná jednotka ako dcérska účtovná jednotka, a ktorá je tiež začlenená do skupiny účtovných jednotiek uvedených v písmene a),</w:t>
      </w:r>
    </w:p>
    <w:p w:rsidR="00F87065" w:rsidRDefault="00F87065">
      <w:pPr>
        <w:spacing w:line="180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numPr>
          <w:ilvl w:val="0"/>
          <w:numId w:val="2"/>
        </w:numPr>
        <w:tabs>
          <w:tab w:val="left" w:pos="280"/>
        </w:tabs>
        <w:ind w:left="280" w:hanging="2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adresa, kde sa môže vyžiadať kópia konsolidovaných účtovných závierok uvedených v písmenách a) a b),</w:t>
      </w:r>
    </w:p>
    <w:p w:rsidR="00F87065" w:rsidRDefault="00F87065">
      <w:pPr>
        <w:spacing w:line="228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numPr>
          <w:ilvl w:val="0"/>
          <w:numId w:val="2"/>
        </w:numPr>
        <w:tabs>
          <w:tab w:val="left" w:pos="293"/>
        </w:tabs>
        <w:spacing w:line="274" w:lineRule="auto"/>
        <w:ind w:left="60" w:right="116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údaj, či účtovná jednotka je materskou účtovnou jednotkou a údaj, či je oslobodená od povinnosti zostaviť konsolidovanú účtovnú závierku a konsolidovanú výročnú správu podľa § 22 zákona, pričom sa uvádzajú</w:t>
      </w:r>
    </w:p>
    <w:p w:rsidR="00F87065" w:rsidRDefault="00F87065">
      <w:pPr>
        <w:spacing w:line="162" w:lineRule="exact"/>
        <w:rPr>
          <w:rFonts w:ascii="Arial" w:eastAsia="Arial" w:hAnsi="Arial" w:cs="Arial"/>
          <w:sz w:val="20"/>
          <w:szCs w:val="20"/>
        </w:rPr>
      </w:pPr>
    </w:p>
    <w:p w:rsidR="00F87065" w:rsidRDefault="009742D1">
      <w:pPr>
        <w:numPr>
          <w:ilvl w:val="1"/>
          <w:numId w:val="2"/>
        </w:numPr>
        <w:tabs>
          <w:tab w:val="left" w:pos="500"/>
        </w:tabs>
        <w:spacing w:line="239" w:lineRule="auto"/>
        <w:ind w:left="500" w:right="920" w:hanging="21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pri oslobodení podľa § 22 ods. 8 zákona obchodné meno a sídlo materskej účtovnej jednotky zostavujúcej konsolidovanú účtovnú závierku podľa osobitných predpisov,12)</w:t>
      </w:r>
    </w:p>
    <w:p w:rsidR="00F87065" w:rsidRDefault="009742D1">
      <w:pPr>
        <w:numPr>
          <w:ilvl w:val="1"/>
          <w:numId w:val="2"/>
        </w:numPr>
        <w:tabs>
          <w:tab w:val="left" w:pos="500"/>
        </w:tabs>
        <w:ind w:left="500" w:hanging="21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pri oslobodení podľa § 22 ods. 10 a 12 zákona obchodné meno a sídlo dcérskych účtovných jednotiek.</w:t>
      </w:r>
    </w:p>
    <w:p w:rsidR="00F87065" w:rsidRDefault="009742D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7456" behindDoc="1" locked="0" layoutInCell="0" allowOverlap="1">
            <wp:simplePos x="0" y="0"/>
            <wp:positionH relativeFrom="column">
              <wp:posOffset>6350</wp:posOffset>
            </wp:positionH>
            <wp:positionV relativeFrom="paragraph">
              <wp:posOffset>22225</wp:posOffset>
            </wp:positionV>
            <wp:extent cx="6849745" cy="32385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45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87065" w:rsidRDefault="00F87065">
      <w:pPr>
        <w:spacing w:line="51" w:lineRule="exact"/>
        <w:rPr>
          <w:sz w:val="20"/>
          <w:szCs w:val="20"/>
        </w:rPr>
      </w:pPr>
    </w:p>
    <w:p w:rsidR="00F87065" w:rsidRDefault="009742D1">
      <w:pPr>
        <w:spacing w:line="257" w:lineRule="auto"/>
        <w:ind w:left="180" w:right="180" w:hanging="11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'- účtovná jednotka nezostavuje konsolidovanú účtovnú závierku, ani sa </w:t>
      </w:r>
      <w:proofErr w:type="spellStart"/>
      <w:r>
        <w:rPr>
          <w:rFonts w:ascii="Arial" w:eastAsia="Arial" w:hAnsi="Arial" w:cs="Arial"/>
          <w:sz w:val="20"/>
          <w:szCs w:val="20"/>
        </w:rPr>
        <w:t>nezahrňa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do </w:t>
      </w:r>
      <w:proofErr w:type="spellStart"/>
      <w:r>
        <w:rPr>
          <w:rFonts w:ascii="Arial" w:eastAsia="Arial" w:hAnsi="Arial" w:cs="Arial"/>
          <w:sz w:val="20"/>
          <w:szCs w:val="20"/>
        </w:rPr>
        <w:t>konsolidovvanej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účtovnej závierky inej spoločnosti.'</w:t>
      </w:r>
    </w:p>
    <w:p w:rsidR="00F87065" w:rsidRDefault="00F87065">
      <w:pPr>
        <w:spacing w:line="1" w:lineRule="exact"/>
        <w:rPr>
          <w:sz w:val="20"/>
          <w:szCs w:val="20"/>
        </w:rPr>
      </w:pPr>
    </w:p>
    <w:p w:rsidR="00F87065" w:rsidRDefault="009742D1">
      <w:pPr>
        <w:spacing w:line="251" w:lineRule="auto"/>
        <w:ind w:left="60" w:right="1300"/>
        <w:jc w:val="both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Čl. I - (6) </w:t>
      </w:r>
      <w:r>
        <w:rPr>
          <w:rFonts w:ascii="Arial" w:eastAsia="Arial" w:hAnsi="Arial" w:cs="Arial"/>
          <w:sz w:val="20"/>
          <w:szCs w:val="20"/>
        </w:rPr>
        <w:t>Priemerný prepočítaný počet zamestnancov účtovnej jednotky počas účtovného obdobia, počet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zamestnancov účtovnej jednotky ku dňu, ku ktorému sa zostavuje účtovná závierka, z toho počet vedúcich zamestnancov, ktorými sa rozumejú členovia štatutárneho orgánu účtovnej jednotky a vedúci zamestnanci v priamej pôsobnosti štatutárneho orgánu alebo člena štatutárneho orgánu.</w:t>
      </w:r>
    </w:p>
    <w:p w:rsidR="00F87065" w:rsidRDefault="00F87065">
      <w:pPr>
        <w:spacing w:line="4" w:lineRule="exact"/>
        <w:rPr>
          <w:sz w:val="20"/>
          <w:szCs w:val="20"/>
        </w:rPr>
      </w:pP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Tabuľka 1: Informácie k Čl. I </w:t>
      </w:r>
      <w:proofErr w:type="spellStart"/>
      <w:r>
        <w:rPr>
          <w:rFonts w:ascii="Arial" w:eastAsia="Arial" w:hAnsi="Arial" w:cs="Arial"/>
          <w:sz w:val="20"/>
          <w:szCs w:val="20"/>
        </w:rPr>
        <w:t>odst</w:t>
      </w:r>
      <w:proofErr w:type="spellEnd"/>
      <w:r>
        <w:rPr>
          <w:rFonts w:ascii="Arial" w:eastAsia="Arial" w:hAnsi="Arial" w:cs="Arial"/>
          <w:sz w:val="20"/>
          <w:szCs w:val="20"/>
        </w:rPr>
        <w:t>. 6 o počte zamestnancov</w:t>
      </w:r>
    </w:p>
    <w:p w:rsidR="00F87065" w:rsidRDefault="00F87065">
      <w:pPr>
        <w:spacing w:line="17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0"/>
        <w:gridCol w:w="3180"/>
        <w:gridCol w:w="3340"/>
        <w:gridCol w:w="30"/>
      </w:tblGrid>
      <w:tr w:rsidR="00F87065">
        <w:trPr>
          <w:trHeight w:val="255"/>
        </w:trPr>
        <w:tc>
          <w:tcPr>
            <w:tcW w:w="42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15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523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264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43"/>
        </w:trPr>
        <w:tc>
          <w:tcPr>
            <w:tcW w:w="4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31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334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564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4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334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44"/>
        </w:trPr>
        <w:tc>
          <w:tcPr>
            <w:tcW w:w="4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305"/>
        </w:trPr>
        <w:tc>
          <w:tcPr>
            <w:tcW w:w="4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42"/>
        </w:trPr>
        <w:tc>
          <w:tcPr>
            <w:tcW w:w="4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71"/>
        </w:trPr>
        <w:tc>
          <w:tcPr>
            <w:tcW w:w="4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Stav zamestnancov ku dňu, ku ktorému</w:t>
            </w:r>
          </w:p>
        </w:tc>
        <w:tc>
          <w:tcPr>
            <w:tcW w:w="318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334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48"/>
        </w:trPr>
        <w:tc>
          <w:tcPr>
            <w:tcW w:w="4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sa zostavuje účtovná závierka, z toho:</w:t>
            </w:r>
          </w:p>
        </w:tc>
        <w:tc>
          <w:tcPr>
            <w:tcW w:w="31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334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16"/>
        </w:trPr>
        <w:tc>
          <w:tcPr>
            <w:tcW w:w="4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0"/>
                <w:szCs w:val="1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0"/>
                <w:szCs w:val="10"/>
              </w:rPr>
            </w:pP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40"/>
        </w:trPr>
        <w:tc>
          <w:tcPr>
            <w:tcW w:w="4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320"/>
        </w:trPr>
        <w:tc>
          <w:tcPr>
            <w:tcW w:w="4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Počet vedúcich zamestnancov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334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57"/>
        </w:trPr>
        <w:tc>
          <w:tcPr>
            <w:tcW w:w="4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4"/>
                <w:szCs w:val="4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4"/>
                <w:szCs w:val="4"/>
              </w:rPr>
            </w:pPr>
          </w:p>
        </w:tc>
        <w:tc>
          <w:tcPr>
            <w:tcW w:w="3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</w:tbl>
    <w:p w:rsidR="00F87065" w:rsidRDefault="00F87065">
      <w:pPr>
        <w:spacing w:line="20" w:lineRule="exact"/>
        <w:rPr>
          <w:sz w:val="20"/>
          <w:szCs w:val="20"/>
        </w:rPr>
      </w:pPr>
    </w:p>
    <w:p w:rsidR="00F87065" w:rsidRDefault="009742D1">
      <w:pPr>
        <w:spacing w:line="239" w:lineRule="auto"/>
        <w:ind w:left="60" w:right="1100"/>
        <w:rPr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Čl.II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- (2) </w:t>
      </w:r>
      <w:r>
        <w:rPr>
          <w:rFonts w:ascii="Arial" w:eastAsia="Arial" w:hAnsi="Arial" w:cs="Arial"/>
          <w:sz w:val="20"/>
          <w:szCs w:val="20"/>
        </w:rPr>
        <w:t>Informácia o aplikácií účtovných zásad a účtovných metód, ktoré sú dôležité na posúdenie majetku,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záväzkov, finančnej situácie a výsledku hospodárenia. Informácia o zmenách účtovných zásad a zmenách účtovných metód, a to s uvedením dôvodu ich uplatnenia a ich vplyvu na hodnotu majetku, záväzkov, vlastného imania a výsledku hospodárenia účtovnej jednotky. Ak v dôsledku zmeny účtovných zásad</w:t>
      </w:r>
    </w:p>
    <w:p w:rsidR="00F87065" w:rsidRDefault="00F87065">
      <w:pPr>
        <w:spacing w:line="3" w:lineRule="exact"/>
        <w:rPr>
          <w:sz w:val="20"/>
          <w:szCs w:val="20"/>
        </w:rPr>
      </w:pPr>
    </w:p>
    <w:p w:rsidR="00F87065" w:rsidRDefault="009742D1">
      <w:pPr>
        <w:spacing w:line="301" w:lineRule="auto"/>
        <w:ind w:left="60" w:right="186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a účtovných metód nie sú hodnoty za bezprostredne predchádzajúce účtovné obdobie v jednotlivých súčastiach účtovnej závierky porovnateľné, uvádza sa vysvetlenie o neporovnateľných hodnotách.</w:t>
      </w:r>
    </w:p>
    <w:p w:rsidR="00F87065" w:rsidRDefault="009742D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8480" behindDoc="1" locked="0" layoutInCell="0" allowOverlap="1">
            <wp:simplePos x="0" y="0"/>
            <wp:positionH relativeFrom="column">
              <wp:posOffset>6350</wp:posOffset>
            </wp:positionH>
            <wp:positionV relativeFrom="paragraph">
              <wp:posOffset>-17145</wp:posOffset>
            </wp:positionV>
            <wp:extent cx="6849745" cy="189865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45" cy="189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účtovná jednotka účtuje v sústave PÚ.</w:t>
      </w:r>
    </w:p>
    <w:p w:rsidR="00F87065" w:rsidRDefault="00F87065">
      <w:pPr>
        <w:sectPr w:rsidR="00F87065">
          <w:pgSz w:w="11920" w:h="16845"/>
          <w:pgMar w:top="549" w:right="550" w:bottom="1440" w:left="560" w:header="0" w:footer="0" w:gutter="0"/>
          <w:cols w:space="708" w:equalWidth="0">
            <w:col w:w="108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600"/>
        <w:gridCol w:w="220"/>
        <w:gridCol w:w="220"/>
        <w:gridCol w:w="240"/>
        <w:gridCol w:w="220"/>
        <w:gridCol w:w="220"/>
        <w:gridCol w:w="240"/>
        <w:gridCol w:w="220"/>
        <w:gridCol w:w="220"/>
        <w:gridCol w:w="188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660"/>
      </w:tblGrid>
      <w:tr w:rsidR="00F87065">
        <w:trPr>
          <w:trHeight w:val="311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bookmarkStart w:id="2" w:name="page3"/>
            <w:bookmarkEnd w:id="2"/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Poznámky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Úč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MÚJ 3 - 01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1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IČO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14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DIČ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660" w:type="dxa"/>
            <w:vAlign w:val="bottom"/>
          </w:tcPr>
          <w:p w:rsidR="00F87065" w:rsidRDefault="009742D1">
            <w:pPr>
              <w:ind w:left="2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0"/>
                <w:szCs w:val="20"/>
              </w:rPr>
              <w:t>str.3</w:t>
            </w:r>
          </w:p>
        </w:tc>
      </w:tr>
      <w:tr w:rsidR="00F87065">
        <w:trPr>
          <w:trHeight w:val="29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</w:tr>
    </w:tbl>
    <w:p w:rsidR="00F87065" w:rsidRDefault="00F87065">
      <w:pPr>
        <w:spacing w:line="133" w:lineRule="exact"/>
        <w:rPr>
          <w:sz w:val="20"/>
          <w:szCs w:val="20"/>
        </w:rPr>
      </w:pPr>
    </w:p>
    <w:p w:rsidR="00F87065" w:rsidRDefault="009742D1">
      <w:pPr>
        <w:ind w:left="460" w:right="1160" w:hanging="388"/>
        <w:rPr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Čl.II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- (4) </w:t>
      </w:r>
      <w:r>
        <w:rPr>
          <w:rFonts w:ascii="Arial" w:eastAsia="Arial" w:hAnsi="Arial" w:cs="Arial"/>
          <w:sz w:val="20"/>
          <w:szCs w:val="20"/>
        </w:rPr>
        <w:t>Spôsob a určenie ocenenia majetku a záväzkov vrátane určenia rozhodujúcich účtovných odhadov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 predpokladov, pričom sa zohľadňuje zásada významnosti. Uvádza sa najmä</w:t>
      </w:r>
    </w:p>
    <w:p w:rsidR="00F87065" w:rsidRDefault="009742D1">
      <w:pPr>
        <w:numPr>
          <w:ilvl w:val="0"/>
          <w:numId w:val="3"/>
        </w:numPr>
        <w:tabs>
          <w:tab w:val="left" w:pos="293"/>
        </w:tabs>
        <w:spacing w:line="239" w:lineRule="auto"/>
        <w:ind w:left="60" w:right="188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obstarávacia cena, vlastné náklady, menovitá hodnota, reálna hodnota, hodnota zistená metódou vlastného imania, aktivovanie úrokov tvoriacich súčasť ocenenia majetku a záväzkov,</w:t>
      </w:r>
    </w:p>
    <w:p w:rsidR="00F87065" w:rsidRDefault="009742D1">
      <w:pPr>
        <w:numPr>
          <w:ilvl w:val="0"/>
          <w:numId w:val="3"/>
        </w:numPr>
        <w:tabs>
          <w:tab w:val="left" w:pos="300"/>
        </w:tabs>
        <w:ind w:left="300" w:hanging="23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určenie odhadu zníženia hodnoty majetku a tvorba opravnej položky k majetku,</w:t>
      </w:r>
    </w:p>
    <w:p w:rsidR="00F87065" w:rsidRDefault="009742D1">
      <w:pPr>
        <w:numPr>
          <w:ilvl w:val="0"/>
          <w:numId w:val="3"/>
        </w:numPr>
        <w:tabs>
          <w:tab w:val="left" w:pos="280"/>
        </w:tabs>
        <w:ind w:left="280" w:hanging="2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určenie ocenenia záväzkov, stanovenie odhadu ocenenia rezerv,</w:t>
      </w:r>
    </w:p>
    <w:p w:rsidR="00F87065" w:rsidRDefault="009742D1">
      <w:pPr>
        <w:numPr>
          <w:ilvl w:val="0"/>
          <w:numId w:val="3"/>
        </w:numPr>
        <w:tabs>
          <w:tab w:val="left" w:pos="293"/>
        </w:tabs>
        <w:spacing w:line="239" w:lineRule="auto"/>
        <w:ind w:left="60" w:right="84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určenie ocenenia finančných nástrojov alebo majetku, ktorý nie je finančným nástrojom pri oceňovaní reálnou hodnotou, a to:</w:t>
      </w:r>
    </w:p>
    <w:p w:rsidR="00F87065" w:rsidRDefault="009742D1">
      <w:pPr>
        <w:numPr>
          <w:ilvl w:val="1"/>
          <w:numId w:val="3"/>
        </w:numPr>
        <w:tabs>
          <w:tab w:val="left" w:pos="560"/>
        </w:tabs>
        <w:spacing w:line="239" w:lineRule="auto"/>
        <w:ind w:left="560" w:right="200" w:hanging="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určenie ocenenia reálnou hodnotou, pričom sa uvádza aplikácia reálnej hodnoty podľa zákona; pri kvalifikovanom odhade sa uvádza stanovenie významných predpokladov slúžiacich ako základ modelov a postupov ocenenia,</w:t>
      </w:r>
    </w:p>
    <w:p w:rsidR="00F87065" w:rsidRDefault="009742D1">
      <w:pPr>
        <w:numPr>
          <w:ilvl w:val="1"/>
          <w:numId w:val="3"/>
        </w:numPr>
        <w:tabs>
          <w:tab w:val="left" w:pos="560"/>
        </w:tabs>
        <w:spacing w:line="239" w:lineRule="auto"/>
        <w:ind w:left="560" w:hanging="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pre každú kategóriu finančných nástrojov alebo majetku, ktorý nie je finančným nástrojom sa uvádza reálna hodnota a údaj o tom, v akej sume sa zmeny reálnej hodnoty zahrnuli do výkazu ziskov a strát a v akej sume sa zahrnuli do vlastného imania ako oceňovacie rozdiely,</w:t>
      </w:r>
    </w:p>
    <w:p w:rsidR="00F87065" w:rsidRDefault="009742D1">
      <w:pPr>
        <w:numPr>
          <w:ilvl w:val="1"/>
          <w:numId w:val="3"/>
        </w:numPr>
        <w:tabs>
          <w:tab w:val="left" w:pos="560"/>
        </w:tabs>
        <w:spacing w:line="239" w:lineRule="auto"/>
        <w:ind w:left="560" w:right="40" w:hanging="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pre každý druh derivátových finančných nástrojov informácie o rozsahu a podstate týchto nástrojov vrátane </w:t>
      </w:r>
      <w:proofErr w:type="spellStart"/>
      <w:r>
        <w:rPr>
          <w:rFonts w:ascii="Arial" w:eastAsia="Arial" w:hAnsi="Arial" w:cs="Arial"/>
          <w:sz w:val="20"/>
          <w:szCs w:val="20"/>
        </w:rPr>
        <w:t>hlavnýc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podmienok a okolností, ktoré môžu ovplyvniť sumu, časový priebeh a mieru istoty budúcich peňažných tokov,</w:t>
      </w:r>
    </w:p>
    <w:p w:rsidR="00F87065" w:rsidRDefault="009742D1">
      <w:pPr>
        <w:numPr>
          <w:ilvl w:val="0"/>
          <w:numId w:val="3"/>
        </w:numPr>
        <w:tabs>
          <w:tab w:val="left" w:pos="300"/>
        </w:tabs>
        <w:ind w:left="300" w:hanging="23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určenie ocenenia finančných nástrojov pri oceňovaní obstarávacou cenou alebo vlastnými nákladmi, a to:</w:t>
      </w:r>
    </w:p>
    <w:p w:rsidR="00F87065" w:rsidRDefault="009742D1">
      <w:pPr>
        <w:numPr>
          <w:ilvl w:val="1"/>
          <w:numId w:val="3"/>
        </w:numPr>
        <w:tabs>
          <w:tab w:val="left" w:pos="560"/>
        </w:tabs>
        <w:spacing w:line="239" w:lineRule="auto"/>
        <w:ind w:left="560" w:right="440" w:hanging="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pre každý druh derivátových finančných nástrojov sa uvádza reálna hodnota týchto finančných nástrojov, ak sa môže spoľahlivo určiť ako trhová cena a informácia o rozsahu a charaktere týchto nástrojov,</w:t>
      </w:r>
    </w:p>
    <w:p w:rsidR="00F87065" w:rsidRDefault="009742D1">
      <w:pPr>
        <w:numPr>
          <w:ilvl w:val="1"/>
          <w:numId w:val="3"/>
        </w:numPr>
        <w:tabs>
          <w:tab w:val="left" w:pos="560"/>
        </w:tabs>
        <w:ind w:left="560" w:hanging="21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pri dlhodobom finančnom majetku, ktorý sa vykazuje vo vyššej hodnote ako je jeho reálna hodnota, sa uvádza</w:t>
      </w:r>
    </w:p>
    <w:p w:rsidR="00F87065" w:rsidRDefault="009742D1">
      <w:pPr>
        <w:spacing w:line="239" w:lineRule="auto"/>
        <w:ind w:left="900" w:right="400" w:hanging="277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2a. účtovná hodnota a reálna hodnota za jednotlivé položky majetku alebo skupiny týchto jednotlivých položiek majetku,</w:t>
      </w:r>
    </w:p>
    <w:p w:rsidR="00F87065" w:rsidRDefault="009742D1">
      <w:pPr>
        <w:spacing w:line="239" w:lineRule="auto"/>
        <w:ind w:left="960" w:right="640" w:hanging="333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2b. dôvod pre nezníženie účtovnej hodnoty vrátane povahy dôkazov pre predpoklad, že sa účtovná hodnota opätovne dosiahne,</w:t>
      </w:r>
    </w:p>
    <w:p w:rsidR="00F87065" w:rsidRDefault="009742D1">
      <w:pPr>
        <w:numPr>
          <w:ilvl w:val="0"/>
          <w:numId w:val="4"/>
        </w:numPr>
        <w:tabs>
          <w:tab w:val="left" w:pos="238"/>
        </w:tabs>
        <w:spacing w:line="239" w:lineRule="auto"/>
        <w:ind w:left="60" w:right="600" w:firstLine="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tvorba odpisového plánu pre dlhodobý majetok, pričom sa uvádza doba odpisovania, sadzby odpisov a odpisové metódy pre účtovné odpisy,</w:t>
      </w:r>
    </w:p>
    <w:p w:rsidR="00F87065" w:rsidRDefault="009742D1">
      <w:pPr>
        <w:numPr>
          <w:ilvl w:val="0"/>
          <w:numId w:val="4"/>
        </w:numPr>
        <w:tabs>
          <w:tab w:val="left" w:pos="300"/>
        </w:tabs>
        <w:ind w:left="300" w:hanging="23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informácia o poskytnutých dotáciách a pri dotáciách na obstaranie majetku sa uvedú zložky majetku a ich ocenenie.</w:t>
      </w:r>
    </w:p>
    <w:p w:rsidR="00F87065" w:rsidRDefault="009742D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9504" behindDoc="1" locked="0" layoutInCell="0" allowOverlap="1">
            <wp:simplePos x="0" y="0"/>
            <wp:positionH relativeFrom="column">
              <wp:posOffset>6350</wp:posOffset>
            </wp:positionH>
            <wp:positionV relativeFrom="paragraph">
              <wp:posOffset>8255</wp:posOffset>
            </wp:positionV>
            <wp:extent cx="6849745" cy="466725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4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87065" w:rsidRDefault="00F87065">
      <w:pPr>
        <w:spacing w:line="29" w:lineRule="exact"/>
        <w:rPr>
          <w:sz w:val="20"/>
          <w:szCs w:val="20"/>
        </w:rPr>
      </w:pP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'- zásoby v r.2016 neboli </w:t>
      </w:r>
      <w:proofErr w:type="spellStart"/>
      <w:r>
        <w:rPr>
          <w:rFonts w:ascii="Arial" w:eastAsia="Arial" w:hAnsi="Arial" w:cs="Arial"/>
          <w:sz w:val="20"/>
          <w:szCs w:val="20"/>
        </w:rPr>
        <w:t>obstaravané</w:t>
      </w:r>
      <w:proofErr w:type="spellEnd"/>
      <w:r>
        <w:rPr>
          <w:rFonts w:ascii="Arial" w:eastAsia="Arial" w:hAnsi="Arial" w:cs="Arial"/>
          <w:sz w:val="20"/>
          <w:szCs w:val="20"/>
        </w:rPr>
        <w:t>.</w:t>
      </w:r>
    </w:p>
    <w:p w:rsidR="00F87065" w:rsidRDefault="009742D1">
      <w:pPr>
        <w:numPr>
          <w:ilvl w:val="0"/>
          <w:numId w:val="5"/>
        </w:numPr>
        <w:tabs>
          <w:tab w:val="left" w:pos="180"/>
        </w:tabs>
        <w:ind w:left="180" w:hanging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dlhodobý odpisovaný majetok firma nevlastní.</w:t>
      </w:r>
    </w:p>
    <w:p w:rsidR="00F87065" w:rsidRDefault="009742D1">
      <w:pPr>
        <w:numPr>
          <w:ilvl w:val="0"/>
          <w:numId w:val="5"/>
        </w:numPr>
        <w:tabs>
          <w:tab w:val="left" w:pos="180"/>
        </w:tabs>
        <w:ind w:left="180" w:hanging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záväzky a finančný majetok boli oceňované menovitou hodnotou.'</w:t>
      </w:r>
    </w:p>
    <w:p w:rsidR="00F87065" w:rsidRDefault="00F87065">
      <w:pPr>
        <w:spacing w:line="370" w:lineRule="exact"/>
        <w:rPr>
          <w:sz w:val="20"/>
          <w:szCs w:val="20"/>
        </w:rPr>
      </w:pPr>
    </w:p>
    <w:p w:rsidR="00F87065" w:rsidRDefault="009742D1">
      <w:pPr>
        <w:ind w:left="60"/>
        <w:rPr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Čl.III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- q)</w:t>
      </w:r>
      <w:r>
        <w:rPr>
          <w:rFonts w:ascii="Arial" w:eastAsia="Arial" w:hAnsi="Arial" w:cs="Arial"/>
          <w:sz w:val="20"/>
          <w:szCs w:val="20"/>
        </w:rPr>
        <w:t>hodnote pohľadávok do lehoty splatnosti a po lehote splatnosti,</w:t>
      </w:r>
    </w:p>
    <w:p w:rsidR="00F87065" w:rsidRDefault="00F87065">
      <w:pPr>
        <w:spacing w:line="54" w:lineRule="exact"/>
        <w:rPr>
          <w:sz w:val="20"/>
          <w:szCs w:val="20"/>
        </w:rPr>
      </w:pP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Tabuľka 19: Informácie k Čl. III odst.1 písm. q) o vekovej štruktúre pohľadávok</w:t>
      </w:r>
    </w:p>
    <w:p w:rsidR="00F87065" w:rsidRDefault="00F87065">
      <w:pPr>
        <w:spacing w:line="19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0"/>
        <w:gridCol w:w="2220"/>
        <w:gridCol w:w="2220"/>
        <w:gridCol w:w="2200"/>
        <w:gridCol w:w="30"/>
      </w:tblGrid>
      <w:tr w:rsidR="00F87065">
        <w:trPr>
          <w:trHeight w:val="285"/>
        </w:trPr>
        <w:tc>
          <w:tcPr>
            <w:tcW w:w="41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14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 lehote splatnosti</w:t>
            </w:r>
          </w:p>
        </w:tc>
        <w:tc>
          <w:tcPr>
            <w:tcW w:w="2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2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 lehote splatnosti</w:t>
            </w:r>
          </w:p>
        </w:tc>
        <w:tc>
          <w:tcPr>
            <w:tcW w:w="2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27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Pohľadávky spolu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35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58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20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99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99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5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Dlhodobé pohľadávky</w:t>
            </w:r>
          </w:p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2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Pohľadávky z obchodného styku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34"/>
        </w:trPr>
        <w:tc>
          <w:tcPr>
            <w:tcW w:w="4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Pohľadávka voči dcérskej účtovnej jednotke a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33"/>
        </w:trPr>
        <w:tc>
          <w:tcPr>
            <w:tcW w:w="41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materskej účtovnej jednotke</w:t>
            </w: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41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29"/>
        </w:trPr>
        <w:tc>
          <w:tcPr>
            <w:tcW w:w="4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Ostatné pohľadávky v rámci konsolidovaného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33"/>
        </w:trPr>
        <w:tc>
          <w:tcPr>
            <w:tcW w:w="41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celku</w:t>
            </w: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41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59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Pohľadávky voči spoločníkom, členom a združeniu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Iné pohľadávky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5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Dlhodobé pohľadávky spolu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Krátkodobé pohľadávky</w:t>
            </w:r>
          </w:p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2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Pohľadávky z obchodného styku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34"/>
        </w:trPr>
        <w:tc>
          <w:tcPr>
            <w:tcW w:w="4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Pohľadávka voči dcérskej účtovnej jednotke a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33"/>
        </w:trPr>
        <w:tc>
          <w:tcPr>
            <w:tcW w:w="41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materskej účtovnej jednotke</w:t>
            </w: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41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29"/>
        </w:trPr>
        <w:tc>
          <w:tcPr>
            <w:tcW w:w="4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Ostatné pohľadávky v rámci konsolidovaného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33"/>
        </w:trPr>
        <w:tc>
          <w:tcPr>
            <w:tcW w:w="41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celku</w:t>
            </w: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41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58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Pohľadávky voči spoločníkom, členom a združeniu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Sociálne poistenie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Daňové pohľadávky a dotácie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Iné pohľadávky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5"/>
        </w:trPr>
        <w:tc>
          <w:tcPr>
            <w:tcW w:w="4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</w:tbl>
    <w:p w:rsidR="00F87065" w:rsidRDefault="00F87065">
      <w:pPr>
        <w:sectPr w:rsidR="00F87065">
          <w:pgSz w:w="11920" w:h="16845"/>
          <w:pgMar w:top="549" w:right="550" w:bottom="1440" w:left="560" w:header="0" w:footer="0" w:gutter="0"/>
          <w:cols w:space="708" w:equalWidth="0">
            <w:col w:w="10800"/>
          </w:cols>
        </w:sectPr>
      </w:pPr>
    </w:p>
    <w:p w:rsidR="00F87065" w:rsidRDefault="00F87065">
      <w:pPr>
        <w:spacing w:line="1" w:lineRule="exact"/>
        <w:rPr>
          <w:sz w:val="20"/>
          <w:szCs w:val="20"/>
        </w:rPr>
      </w:pPr>
      <w:bookmarkStart w:id="3" w:name="page4"/>
      <w:bookmarkEnd w:id="3"/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900"/>
        <w:gridCol w:w="700"/>
        <w:gridCol w:w="220"/>
        <w:gridCol w:w="220"/>
        <w:gridCol w:w="240"/>
        <w:gridCol w:w="220"/>
        <w:gridCol w:w="220"/>
        <w:gridCol w:w="240"/>
        <w:gridCol w:w="220"/>
        <w:gridCol w:w="220"/>
        <w:gridCol w:w="1700"/>
        <w:gridCol w:w="40"/>
        <w:gridCol w:w="14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180"/>
        <w:gridCol w:w="560"/>
        <w:gridCol w:w="30"/>
      </w:tblGrid>
      <w:tr w:rsidR="00F87065">
        <w:trPr>
          <w:trHeight w:val="311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Poznámky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Úč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MÚJ 3 - 01</w:t>
            </w:r>
          </w:p>
        </w:tc>
        <w:tc>
          <w:tcPr>
            <w:tcW w:w="90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5"/>
                <w:sz w:val="20"/>
                <w:szCs w:val="20"/>
              </w:rPr>
              <w:t>IČO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740" w:type="dxa"/>
            <w:gridSpan w:val="2"/>
            <w:vAlign w:val="bottom"/>
          </w:tcPr>
          <w:p w:rsidR="00F87065" w:rsidRDefault="009742D1">
            <w:pPr>
              <w:ind w:left="14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2"/>
                <w:sz w:val="20"/>
                <w:szCs w:val="20"/>
              </w:rPr>
              <w:t>DIČ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5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8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str.4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9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gridSpan w:val="2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80" w:type="dxa"/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404"/>
        </w:trPr>
        <w:tc>
          <w:tcPr>
            <w:tcW w:w="5920" w:type="dxa"/>
            <w:gridSpan w:val="11"/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Čl.III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t)</w:t>
            </w:r>
            <w:r>
              <w:rPr>
                <w:rFonts w:ascii="Arial" w:eastAsia="Arial" w:hAnsi="Arial" w:cs="Arial"/>
                <w:sz w:val="20"/>
                <w:szCs w:val="20"/>
              </w:rPr>
              <w:t>zložkách krátkodobého finančného majetku,</w:t>
            </w:r>
          </w:p>
        </w:tc>
        <w:tc>
          <w:tcPr>
            <w:tcW w:w="170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F87065" w:rsidRDefault="00F8706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56"/>
        </w:trPr>
        <w:tc>
          <w:tcPr>
            <w:tcW w:w="10240" w:type="dxa"/>
            <w:gridSpan w:val="25"/>
            <w:tcBorders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Tabuľka 21: Informácie k Čl. III odst.1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písm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t) o krátkodobom finančnom majetku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56"/>
        </w:trPr>
        <w:tc>
          <w:tcPr>
            <w:tcW w:w="342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F87065" w:rsidRDefault="009742D1">
            <w:pPr>
              <w:ind w:left="19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700" w:type="dxa"/>
            <w:vAlign w:val="bottom"/>
          </w:tcPr>
          <w:p w:rsidR="00F87065" w:rsidRDefault="00F87065"/>
        </w:tc>
        <w:tc>
          <w:tcPr>
            <w:tcW w:w="220" w:type="dxa"/>
            <w:vAlign w:val="bottom"/>
          </w:tcPr>
          <w:p w:rsidR="00F87065" w:rsidRDefault="00F87065"/>
        </w:tc>
        <w:tc>
          <w:tcPr>
            <w:tcW w:w="220" w:type="dxa"/>
            <w:vAlign w:val="bottom"/>
          </w:tcPr>
          <w:p w:rsidR="00F87065" w:rsidRDefault="00F87065"/>
        </w:tc>
        <w:tc>
          <w:tcPr>
            <w:tcW w:w="240" w:type="dxa"/>
            <w:vAlign w:val="bottom"/>
          </w:tcPr>
          <w:p w:rsidR="00F87065" w:rsidRDefault="00F87065"/>
        </w:tc>
        <w:tc>
          <w:tcPr>
            <w:tcW w:w="220" w:type="dxa"/>
            <w:vAlign w:val="bottom"/>
          </w:tcPr>
          <w:p w:rsidR="00F87065" w:rsidRDefault="00F87065"/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vAlign w:val="bottom"/>
          </w:tcPr>
          <w:p w:rsidR="00F87065" w:rsidRDefault="00F87065"/>
        </w:tc>
        <w:tc>
          <w:tcPr>
            <w:tcW w:w="2180" w:type="dxa"/>
            <w:gridSpan w:val="4"/>
            <w:vMerge w:val="restart"/>
            <w:vAlign w:val="bottom"/>
          </w:tcPr>
          <w:p w:rsidR="00F87065" w:rsidRDefault="009742D1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40" w:type="dxa"/>
            <w:vAlign w:val="bottom"/>
          </w:tcPr>
          <w:p w:rsidR="00F87065" w:rsidRDefault="00F87065"/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2780" w:type="dxa"/>
            <w:gridSpan w:val="11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43"/>
        </w:trPr>
        <w:tc>
          <w:tcPr>
            <w:tcW w:w="342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180" w:type="dxa"/>
            <w:gridSpan w:val="4"/>
            <w:vMerge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1760" w:type="dxa"/>
            <w:gridSpan w:val="8"/>
            <w:vMerge w:val="restart"/>
            <w:vAlign w:val="bottom"/>
          </w:tcPr>
          <w:p w:rsidR="00F87065" w:rsidRDefault="009742D1">
            <w:pPr>
              <w:ind w:left="1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2520" w:type="dxa"/>
            <w:tcBorders>
              <w:lef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90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70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760" w:type="dxa"/>
            <w:gridSpan w:val="8"/>
            <w:vMerge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43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3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58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Pokladnica, ceniny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3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2D3EEC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5240" w:type="dxa"/>
            <w:gridSpan w:val="8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Bežné účty v banke alebo v pobočke zahraničnej banky</w:t>
            </w: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3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06"/>
        </w:trPr>
        <w:tc>
          <w:tcPr>
            <w:tcW w:w="5240" w:type="dxa"/>
            <w:gridSpan w:val="8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spacing w:line="206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Vkladové účty v banke alebo v pobočke zahraničnej banky</w:t>
            </w: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3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33"/>
        </w:trPr>
        <w:tc>
          <w:tcPr>
            <w:tcW w:w="342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termínované</w:t>
            </w:r>
          </w:p>
        </w:tc>
        <w:tc>
          <w:tcPr>
            <w:tcW w:w="70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3420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Peniaze na ceste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3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5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3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2D3EEC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40"/>
        </w:trPr>
        <w:tc>
          <w:tcPr>
            <w:tcW w:w="25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1760" w:type="dxa"/>
            <w:gridSpan w:val="8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07"/>
        </w:trPr>
        <w:tc>
          <w:tcPr>
            <w:tcW w:w="2520" w:type="dxa"/>
            <w:tcBorders>
              <w:lef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gridSpan w:val="8"/>
            <w:vAlign w:val="bottom"/>
          </w:tcPr>
          <w:p w:rsidR="00F87065" w:rsidRDefault="009742D1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Bezprostredne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10"/>
        </w:trPr>
        <w:tc>
          <w:tcPr>
            <w:tcW w:w="2520" w:type="dxa"/>
            <w:tcBorders>
              <w:lef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10"/>
            <w:vAlign w:val="bottom"/>
          </w:tcPr>
          <w:p w:rsidR="00F87065" w:rsidRDefault="009742D1">
            <w:pPr>
              <w:ind w:right="74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Názov položky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  <w:gridSpan w:val="10"/>
            <w:vAlign w:val="bottom"/>
          </w:tcPr>
          <w:p w:rsidR="00F87065" w:rsidRDefault="009742D1">
            <w:pPr>
              <w:ind w:left="27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predchádzajúce účtovné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43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gridSpan w:val="7"/>
            <w:tcBorders>
              <w:bottom w:val="single" w:sz="8" w:space="0" w:color="auto"/>
            </w:tcBorders>
            <w:vAlign w:val="bottom"/>
          </w:tcPr>
          <w:p w:rsidR="00F87065" w:rsidRDefault="009742D1">
            <w:pPr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obdobie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0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Účtovná strata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2D3EEC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-960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Vysporiadanie účtovnej straty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580" w:type="dxa"/>
            <w:gridSpan w:val="12"/>
            <w:tcBorders>
              <w:bottom w:val="single" w:sz="8" w:space="0" w:color="auto"/>
            </w:tcBorders>
            <w:vAlign w:val="bottom"/>
          </w:tcPr>
          <w:p w:rsidR="00F87065" w:rsidRDefault="009742D1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2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Zo zákonného rezervného fondu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Zo štatutárnych a ostatných fondov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 nerozdeleného zisku minulých období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Úhrada straty spoločníkmi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412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Prevod do neuhradenej straty minulých rokov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-3419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Iné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5"/>
        </w:trPr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-3419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</w:tbl>
    <w:p w:rsidR="00F87065" w:rsidRDefault="00F87065">
      <w:pPr>
        <w:spacing w:line="77" w:lineRule="exact"/>
        <w:rPr>
          <w:sz w:val="20"/>
          <w:szCs w:val="20"/>
        </w:rPr>
      </w:pPr>
    </w:p>
    <w:p w:rsidR="00F87065" w:rsidRDefault="009742D1">
      <w:pPr>
        <w:spacing w:line="257" w:lineRule="auto"/>
        <w:ind w:left="280" w:hanging="199"/>
        <w:jc w:val="both"/>
        <w:rPr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Čl.III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- (2) - b)</w:t>
      </w:r>
      <w:r>
        <w:rPr>
          <w:rFonts w:ascii="Arial" w:eastAsia="Arial" w:hAnsi="Arial" w:cs="Arial"/>
          <w:sz w:val="20"/>
          <w:szCs w:val="20"/>
        </w:rPr>
        <w:t>jednotlivých druhoch rezerv za bežné účtovné obdobie s uvedením ich stavu na začiatku bežného účtovného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obdobia, ich tvorba, použitie, zrušenie počas bežného účtovného obdobia, ich stav na konci účtovného obdobia, pričom sa uvedie predpokladaný rok použitia rezerv,</w:t>
      </w:r>
    </w:p>
    <w:p w:rsidR="00F87065" w:rsidRDefault="00F87065">
      <w:pPr>
        <w:spacing w:line="55" w:lineRule="exact"/>
        <w:rPr>
          <w:sz w:val="20"/>
          <w:szCs w:val="20"/>
        </w:rPr>
      </w:pP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Tabuľka 25: Informácia k Čl. III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odst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>. 2 písm. b) o rezervách</w:t>
      </w:r>
    </w:p>
    <w:p w:rsidR="00F87065" w:rsidRDefault="00F87065">
      <w:pPr>
        <w:spacing w:line="19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0"/>
        <w:gridCol w:w="1640"/>
        <w:gridCol w:w="1640"/>
        <w:gridCol w:w="1640"/>
        <w:gridCol w:w="220"/>
        <w:gridCol w:w="1320"/>
        <w:gridCol w:w="1580"/>
        <w:gridCol w:w="30"/>
      </w:tblGrid>
      <w:tr w:rsidR="00F87065">
        <w:trPr>
          <w:trHeight w:val="260"/>
        </w:trPr>
        <w:tc>
          <w:tcPr>
            <w:tcW w:w="27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350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87065" w:rsidRDefault="009742D1">
            <w:pPr>
              <w:ind w:left="13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3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39"/>
        </w:trPr>
        <w:tc>
          <w:tcPr>
            <w:tcW w:w="27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Stav na začiatku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Stav na konci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6"/>
        </w:trPr>
        <w:tc>
          <w:tcPr>
            <w:tcW w:w="27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8"/>
                <w:sz w:val="18"/>
                <w:szCs w:val="18"/>
              </w:rPr>
              <w:t>účtovného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47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Tvorba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4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Použitie</w:t>
            </w: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3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Zrušenie</w:t>
            </w:r>
          </w:p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účtovného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4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15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48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obdobia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1"/>
                <w:szCs w:val="21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obdobia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4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05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b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spacing w:line="205" w:lineRule="exact"/>
              <w:ind w:right="7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spacing w:line="205" w:lineRule="exact"/>
              <w:ind w:right="7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17"/>
                <w:szCs w:val="17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spacing w:line="205" w:lineRule="exact"/>
              <w:ind w:right="6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8"/>
                <w:sz w:val="18"/>
                <w:szCs w:val="18"/>
              </w:rPr>
              <w:t>f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0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Dlhodobé rezervy, z toho: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5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Krátkodobé rezervy, z toho: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>
            <w:pPr>
              <w:rPr>
                <w:sz w:val="23"/>
                <w:szCs w:val="23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2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87065" w:rsidRDefault="00F87065"/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</w:tbl>
    <w:p w:rsidR="00F87065" w:rsidRDefault="00F87065">
      <w:pPr>
        <w:sectPr w:rsidR="00F87065">
          <w:pgSz w:w="11920" w:h="16845"/>
          <w:pgMar w:top="549" w:right="550" w:bottom="1440" w:left="560" w:header="0" w:footer="0" w:gutter="0"/>
          <w:cols w:space="708" w:equalWidth="0">
            <w:col w:w="10800"/>
          </w:cols>
        </w:sectPr>
      </w:pPr>
    </w:p>
    <w:p w:rsidR="00F87065" w:rsidRDefault="00F87065">
      <w:pPr>
        <w:spacing w:line="1" w:lineRule="exact"/>
        <w:rPr>
          <w:sz w:val="20"/>
          <w:szCs w:val="20"/>
        </w:rPr>
      </w:pPr>
      <w:bookmarkStart w:id="4" w:name="page5"/>
      <w:bookmarkEnd w:id="4"/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600"/>
        <w:gridCol w:w="220"/>
        <w:gridCol w:w="220"/>
        <w:gridCol w:w="240"/>
        <w:gridCol w:w="220"/>
        <w:gridCol w:w="220"/>
        <w:gridCol w:w="240"/>
        <w:gridCol w:w="220"/>
        <w:gridCol w:w="220"/>
        <w:gridCol w:w="188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660"/>
      </w:tblGrid>
      <w:tr w:rsidR="00F87065">
        <w:trPr>
          <w:trHeight w:val="311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Poznámky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Úč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MÚJ 3 - 01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1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IČO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left="14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DIČ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660" w:type="dxa"/>
            <w:vAlign w:val="bottom"/>
          </w:tcPr>
          <w:p w:rsidR="00F87065" w:rsidRDefault="009742D1">
            <w:pPr>
              <w:ind w:left="2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7"/>
                <w:sz w:val="20"/>
                <w:szCs w:val="20"/>
              </w:rPr>
              <w:t>str.5</w:t>
            </w:r>
          </w:p>
        </w:tc>
      </w:tr>
      <w:tr w:rsidR="00F87065">
        <w:trPr>
          <w:trHeight w:val="29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Align w:val="bottom"/>
          </w:tcPr>
          <w:p w:rsidR="00F87065" w:rsidRDefault="00F87065">
            <w:pPr>
              <w:rPr>
                <w:sz w:val="2"/>
                <w:szCs w:val="2"/>
              </w:rPr>
            </w:pPr>
          </w:p>
        </w:tc>
      </w:tr>
    </w:tbl>
    <w:p w:rsidR="00F87065" w:rsidRDefault="00F87065">
      <w:pPr>
        <w:spacing w:line="133" w:lineRule="exact"/>
        <w:rPr>
          <w:sz w:val="20"/>
          <w:szCs w:val="20"/>
        </w:rPr>
      </w:pPr>
    </w:p>
    <w:p w:rsidR="00F87065" w:rsidRDefault="009742D1">
      <w:pPr>
        <w:ind w:left="60"/>
        <w:rPr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Čl.III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- (2) - c)</w:t>
      </w:r>
      <w:r>
        <w:rPr>
          <w:rFonts w:ascii="Arial" w:eastAsia="Arial" w:hAnsi="Arial" w:cs="Arial"/>
          <w:sz w:val="20"/>
          <w:szCs w:val="20"/>
        </w:rPr>
        <w:t>výške záväzkov do lehoty splatnosti a po lehote splatnosti,</w:t>
      </w:r>
    </w:p>
    <w:p w:rsidR="00F87065" w:rsidRDefault="00F87065">
      <w:pPr>
        <w:spacing w:line="1" w:lineRule="exact"/>
        <w:rPr>
          <w:sz w:val="20"/>
          <w:szCs w:val="20"/>
        </w:rPr>
      </w:pPr>
    </w:p>
    <w:p w:rsidR="00F87065" w:rsidRDefault="009742D1">
      <w:pPr>
        <w:spacing w:line="233" w:lineRule="auto"/>
        <w:ind w:left="280" w:right="40" w:hanging="221"/>
        <w:rPr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Čl.III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- (2) - d)</w:t>
      </w:r>
      <w:r>
        <w:rPr>
          <w:rFonts w:ascii="Arial" w:eastAsia="Arial" w:hAnsi="Arial" w:cs="Arial"/>
          <w:sz w:val="20"/>
          <w:szCs w:val="20"/>
        </w:rPr>
        <w:t>štruktúre záväzkov podľa zostatkovej doby splatnosti v členení v nadväznosti na položky súvahy; uvádza sa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hodnota záväzkov so zostatkovou dobou splatnosti viac ako päť rokov,</w:t>
      </w:r>
    </w:p>
    <w:p w:rsidR="00F87065" w:rsidRDefault="00F87065">
      <w:pPr>
        <w:spacing w:line="1" w:lineRule="exact"/>
        <w:rPr>
          <w:sz w:val="20"/>
          <w:szCs w:val="20"/>
        </w:rPr>
      </w:pP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Tabuľka 26: Informácie k Čl. III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odst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>. 2 písm. c) a d) o záväzkoch</w:t>
      </w:r>
    </w:p>
    <w:p w:rsidR="00F87065" w:rsidRDefault="00F87065">
      <w:pPr>
        <w:spacing w:line="2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0"/>
        <w:gridCol w:w="2780"/>
        <w:gridCol w:w="2780"/>
        <w:gridCol w:w="30"/>
      </w:tblGrid>
      <w:tr w:rsidR="00F87065">
        <w:trPr>
          <w:trHeight w:val="256"/>
        </w:trPr>
        <w:tc>
          <w:tcPr>
            <w:tcW w:w="52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19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3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43"/>
        </w:trPr>
        <w:tc>
          <w:tcPr>
            <w:tcW w:w="52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6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4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0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2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Záväzky so zostatkovou dobou splatnosti nad päť rokov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Záväzky so zostatkovou dobou splatnosti jeden rok až päť rokov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5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43140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2D3EEC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43140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04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spacing w:line="204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Záväzky so zostatkovou dobou splatnosti do jedného roka</w:t>
            </w: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33"/>
        </w:trPr>
        <w:tc>
          <w:tcPr>
            <w:tcW w:w="52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vrátane</w:t>
            </w: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0"/>
        </w:trPr>
        <w:tc>
          <w:tcPr>
            <w:tcW w:w="52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8"/>
                <w:szCs w:val="8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8"/>
                <w:szCs w:val="8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58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Záväzky po lehote splatnosti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2D3EEC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43140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2D3EEC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43140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</w:tbl>
    <w:p w:rsidR="00F87065" w:rsidRDefault="00F87065">
      <w:pPr>
        <w:spacing w:line="348" w:lineRule="exact"/>
        <w:rPr>
          <w:sz w:val="20"/>
          <w:szCs w:val="20"/>
        </w:rPr>
      </w:pPr>
    </w:p>
    <w:p w:rsidR="00F87065" w:rsidRDefault="009742D1">
      <w:pPr>
        <w:spacing w:line="259" w:lineRule="auto"/>
        <w:ind w:left="620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9"/>
          <w:szCs w:val="19"/>
        </w:rPr>
        <w:t xml:space="preserve">Čl. IV - (4) </w:t>
      </w:r>
      <w:r>
        <w:rPr>
          <w:rFonts w:ascii="Arial" w:eastAsia="Arial" w:hAnsi="Arial" w:cs="Arial"/>
          <w:sz w:val="19"/>
          <w:szCs w:val="19"/>
        </w:rPr>
        <w:t>V poznámkach sa uvádza členenie čistého obratu podľa § 2 ods. 14 zákona podľa jednotlivých typov výrobkov,</w:t>
      </w:r>
      <w:r>
        <w:rPr>
          <w:rFonts w:ascii="Arial" w:eastAsia="Arial" w:hAnsi="Arial" w:cs="Arial"/>
          <w:b/>
          <w:bCs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tovarov, služieb alebo iných činností účtovnej jednotky a hlavných geografických oblastí odbytu, ak sa tieto činnosti</w:t>
      </w:r>
    </w:p>
    <w:p w:rsidR="00F87065" w:rsidRDefault="009742D1">
      <w:pPr>
        <w:spacing w:line="254" w:lineRule="auto"/>
        <w:ind w:left="340" w:right="40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 oblasti odbytu z hľadiska organizácie predaja výrobkov a tovarov a poskytovania služieb výrazne odlišujú. Ak predmetom činnosti účtovnej jednotky je dosahovanie iných výnosov ako sú výnosy z predaja výrobkov, tovarov a služieb, uvádza sa aj opis iných výnosov zahrňovaných do čistého obratu.</w:t>
      </w:r>
    </w:p>
    <w:p w:rsidR="00F87065" w:rsidRDefault="009742D1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Tabuľka 47: Informácie k čl. IV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odst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>. 4 o čistom obrate</w:t>
      </w:r>
    </w:p>
    <w:p w:rsidR="00F87065" w:rsidRDefault="00F87065">
      <w:pPr>
        <w:spacing w:line="19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0"/>
        <w:gridCol w:w="2780"/>
        <w:gridCol w:w="2780"/>
        <w:gridCol w:w="30"/>
      </w:tblGrid>
      <w:tr w:rsidR="00F87065">
        <w:trPr>
          <w:trHeight w:val="256"/>
        </w:trPr>
        <w:tc>
          <w:tcPr>
            <w:tcW w:w="52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19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7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right="3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Bezprostredne predchádzajúce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43"/>
        </w:trPr>
        <w:tc>
          <w:tcPr>
            <w:tcW w:w="52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vAlign w:val="bottom"/>
          </w:tcPr>
          <w:p w:rsidR="00F87065" w:rsidRDefault="009742D1">
            <w:pPr>
              <w:ind w:right="61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105"/>
        </w:trPr>
        <w:tc>
          <w:tcPr>
            <w:tcW w:w="5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44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F87065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58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Tržby za vlastné výrobky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Tržby z predaja služieb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2D3EEC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Tržby za tovar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2D3EEC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Výnosy zo zákazky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  <w:bookmarkStart w:id="5" w:name="_GoBack"/>
        <w:bookmarkEnd w:id="5"/>
      </w:tr>
      <w:tr w:rsidR="00F87065">
        <w:trPr>
          <w:trHeight w:val="263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Výnosy z nehnuteľností na predaj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4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Iné výnosy súvisiace s bežnou činnosťou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2D3EEC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  <w:tr w:rsidR="00F87065">
        <w:trPr>
          <w:trHeight w:val="265"/>
        </w:trPr>
        <w:tc>
          <w:tcPr>
            <w:tcW w:w="5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9742D1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87065" w:rsidRDefault="002D3EEC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0" w:type="dxa"/>
            <w:vAlign w:val="bottom"/>
          </w:tcPr>
          <w:p w:rsidR="00F87065" w:rsidRDefault="00F87065">
            <w:pPr>
              <w:rPr>
                <w:sz w:val="1"/>
                <w:szCs w:val="1"/>
              </w:rPr>
            </w:pPr>
          </w:p>
        </w:tc>
      </w:tr>
    </w:tbl>
    <w:p w:rsidR="00F87065" w:rsidRDefault="00F87065">
      <w:pPr>
        <w:spacing w:line="1" w:lineRule="exact"/>
        <w:rPr>
          <w:sz w:val="20"/>
          <w:szCs w:val="20"/>
        </w:rPr>
      </w:pPr>
    </w:p>
    <w:sectPr w:rsidR="00F87065">
      <w:pgSz w:w="11920" w:h="16845"/>
      <w:pgMar w:top="549" w:right="550" w:bottom="1440" w:left="560" w:header="0" w:footer="0" w:gutter="0"/>
      <w:cols w:space="708" w:equalWidth="0">
        <w:col w:w="108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5CFF"/>
    <w:multiLevelType w:val="hybridMultilevel"/>
    <w:tmpl w:val="BC3AA456"/>
    <w:lvl w:ilvl="0" w:tplc="EA8A71C8">
      <w:start w:val="1"/>
      <w:numFmt w:val="bullet"/>
      <w:lvlText w:val="-"/>
      <w:lvlJc w:val="left"/>
    </w:lvl>
    <w:lvl w:ilvl="1" w:tplc="624C51D2">
      <w:numFmt w:val="decimal"/>
      <w:lvlText w:val=""/>
      <w:lvlJc w:val="left"/>
    </w:lvl>
    <w:lvl w:ilvl="2" w:tplc="6FD242CC">
      <w:numFmt w:val="decimal"/>
      <w:lvlText w:val=""/>
      <w:lvlJc w:val="left"/>
    </w:lvl>
    <w:lvl w:ilvl="3" w:tplc="ED2C5948">
      <w:numFmt w:val="decimal"/>
      <w:lvlText w:val=""/>
      <w:lvlJc w:val="left"/>
    </w:lvl>
    <w:lvl w:ilvl="4" w:tplc="924CEFCA">
      <w:numFmt w:val="decimal"/>
      <w:lvlText w:val=""/>
      <w:lvlJc w:val="left"/>
    </w:lvl>
    <w:lvl w:ilvl="5" w:tplc="AA8AED28">
      <w:numFmt w:val="decimal"/>
      <w:lvlText w:val=""/>
      <w:lvlJc w:val="left"/>
    </w:lvl>
    <w:lvl w:ilvl="6" w:tplc="DCB0F9A6">
      <w:numFmt w:val="decimal"/>
      <w:lvlText w:val=""/>
      <w:lvlJc w:val="left"/>
    </w:lvl>
    <w:lvl w:ilvl="7" w:tplc="05EA346A">
      <w:numFmt w:val="decimal"/>
      <w:lvlText w:val=""/>
      <w:lvlJc w:val="left"/>
    </w:lvl>
    <w:lvl w:ilvl="8" w:tplc="2E002364">
      <w:numFmt w:val="decimal"/>
      <w:lvlText w:val=""/>
      <w:lvlJc w:val="left"/>
    </w:lvl>
  </w:abstractNum>
  <w:abstractNum w:abstractNumId="1" w15:restartNumberingAfterBreak="0">
    <w:nsid w:val="238E1F29"/>
    <w:multiLevelType w:val="hybridMultilevel"/>
    <w:tmpl w:val="FD36AAB2"/>
    <w:lvl w:ilvl="0" w:tplc="F3801A2E">
      <w:start w:val="6"/>
      <w:numFmt w:val="lowerLetter"/>
      <w:lvlText w:val="%1)"/>
      <w:lvlJc w:val="left"/>
    </w:lvl>
    <w:lvl w:ilvl="1" w:tplc="DCF07536">
      <w:numFmt w:val="decimal"/>
      <w:lvlText w:val=""/>
      <w:lvlJc w:val="left"/>
    </w:lvl>
    <w:lvl w:ilvl="2" w:tplc="0742EA8C">
      <w:numFmt w:val="decimal"/>
      <w:lvlText w:val=""/>
      <w:lvlJc w:val="left"/>
    </w:lvl>
    <w:lvl w:ilvl="3" w:tplc="A7B69EFA">
      <w:numFmt w:val="decimal"/>
      <w:lvlText w:val=""/>
      <w:lvlJc w:val="left"/>
    </w:lvl>
    <w:lvl w:ilvl="4" w:tplc="57969B10">
      <w:numFmt w:val="decimal"/>
      <w:lvlText w:val=""/>
      <w:lvlJc w:val="left"/>
    </w:lvl>
    <w:lvl w:ilvl="5" w:tplc="58680334">
      <w:numFmt w:val="decimal"/>
      <w:lvlText w:val=""/>
      <w:lvlJc w:val="left"/>
    </w:lvl>
    <w:lvl w:ilvl="6" w:tplc="3D8219C2">
      <w:numFmt w:val="decimal"/>
      <w:lvlText w:val=""/>
      <w:lvlJc w:val="left"/>
    </w:lvl>
    <w:lvl w:ilvl="7" w:tplc="9D5C4B08">
      <w:numFmt w:val="decimal"/>
      <w:lvlText w:val=""/>
      <w:lvlJc w:val="left"/>
    </w:lvl>
    <w:lvl w:ilvl="8" w:tplc="F6E66BC0">
      <w:numFmt w:val="decimal"/>
      <w:lvlText w:val=""/>
      <w:lvlJc w:val="left"/>
    </w:lvl>
  </w:abstractNum>
  <w:abstractNum w:abstractNumId="2" w15:restartNumberingAfterBreak="0">
    <w:nsid w:val="2AE8944A"/>
    <w:multiLevelType w:val="hybridMultilevel"/>
    <w:tmpl w:val="29FE3828"/>
    <w:lvl w:ilvl="0" w:tplc="C254AA76">
      <w:start w:val="1"/>
      <w:numFmt w:val="lowerLetter"/>
      <w:lvlText w:val="%1)"/>
      <w:lvlJc w:val="left"/>
    </w:lvl>
    <w:lvl w:ilvl="1" w:tplc="0E9CCE3C">
      <w:start w:val="1"/>
      <w:numFmt w:val="decimal"/>
      <w:lvlText w:val="%2."/>
      <w:lvlJc w:val="left"/>
    </w:lvl>
    <w:lvl w:ilvl="2" w:tplc="6E1A61C6">
      <w:numFmt w:val="decimal"/>
      <w:lvlText w:val=""/>
      <w:lvlJc w:val="left"/>
    </w:lvl>
    <w:lvl w:ilvl="3" w:tplc="40F42B7A">
      <w:numFmt w:val="decimal"/>
      <w:lvlText w:val=""/>
      <w:lvlJc w:val="left"/>
    </w:lvl>
    <w:lvl w:ilvl="4" w:tplc="44EA324E">
      <w:numFmt w:val="decimal"/>
      <w:lvlText w:val=""/>
      <w:lvlJc w:val="left"/>
    </w:lvl>
    <w:lvl w:ilvl="5" w:tplc="20EC5722">
      <w:numFmt w:val="decimal"/>
      <w:lvlText w:val=""/>
      <w:lvlJc w:val="left"/>
    </w:lvl>
    <w:lvl w:ilvl="6" w:tplc="0D68C88E">
      <w:numFmt w:val="decimal"/>
      <w:lvlText w:val=""/>
      <w:lvlJc w:val="left"/>
    </w:lvl>
    <w:lvl w:ilvl="7" w:tplc="8A30BBD4">
      <w:numFmt w:val="decimal"/>
      <w:lvlText w:val=""/>
      <w:lvlJc w:val="left"/>
    </w:lvl>
    <w:lvl w:ilvl="8" w:tplc="4C24749E">
      <w:numFmt w:val="decimal"/>
      <w:lvlText w:val=""/>
      <w:lvlJc w:val="left"/>
    </w:lvl>
  </w:abstractNum>
  <w:abstractNum w:abstractNumId="3" w15:restartNumberingAfterBreak="0">
    <w:nsid w:val="46E87CCD"/>
    <w:multiLevelType w:val="hybridMultilevel"/>
    <w:tmpl w:val="25AE023A"/>
    <w:lvl w:ilvl="0" w:tplc="D3F29898">
      <w:start w:val="1"/>
      <w:numFmt w:val="bullet"/>
      <w:lvlText w:val="-"/>
      <w:lvlJc w:val="left"/>
    </w:lvl>
    <w:lvl w:ilvl="1" w:tplc="696E25C6">
      <w:numFmt w:val="decimal"/>
      <w:lvlText w:val=""/>
      <w:lvlJc w:val="left"/>
    </w:lvl>
    <w:lvl w:ilvl="2" w:tplc="A5C28DE2">
      <w:numFmt w:val="decimal"/>
      <w:lvlText w:val=""/>
      <w:lvlJc w:val="left"/>
    </w:lvl>
    <w:lvl w:ilvl="3" w:tplc="C256F42E">
      <w:numFmt w:val="decimal"/>
      <w:lvlText w:val=""/>
      <w:lvlJc w:val="left"/>
    </w:lvl>
    <w:lvl w:ilvl="4" w:tplc="421E0AD6">
      <w:numFmt w:val="decimal"/>
      <w:lvlText w:val=""/>
      <w:lvlJc w:val="left"/>
    </w:lvl>
    <w:lvl w:ilvl="5" w:tplc="194E1F82">
      <w:numFmt w:val="decimal"/>
      <w:lvlText w:val=""/>
      <w:lvlJc w:val="left"/>
    </w:lvl>
    <w:lvl w:ilvl="6" w:tplc="416AEBF2">
      <w:numFmt w:val="decimal"/>
      <w:lvlText w:val=""/>
      <w:lvlJc w:val="left"/>
    </w:lvl>
    <w:lvl w:ilvl="7" w:tplc="4218EB76">
      <w:numFmt w:val="decimal"/>
      <w:lvlText w:val=""/>
      <w:lvlJc w:val="left"/>
    </w:lvl>
    <w:lvl w:ilvl="8" w:tplc="A964F8B4">
      <w:numFmt w:val="decimal"/>
      <w:lvlText w:val=""/>
      <w:lvlJc w:val="left"/>
    </w:lvl>
  </w:abstractNum>
  <w:abstractNum w:abstractNumId="4" w15:restartNumberingAfterBreak="0">
    <w:nsid w:val="625558EC"/>
    <w:multiLevelType w:val="hybridMultilevel"/>
    <w:tmpl w:val="4DE26786"/>
    <w:lvl w:ilvl="0" w:tplc="E2FA392C">
      <w:start w:val="1"/>
      <w:numFmt w:val="lowerLetter"/>
      <w:lvlText w:val="%1)"/>
      <w:lvlJc w:val="left"/>
    </w:lvl>
    <w:lvl w:ilvl="1" w:tplc="A2866414">
      <w:start w:val="1"/>
      <w:numFmt w:val="decimal"/>
      <w:lvlText w:val="%2."/>
      <w:lvlJc w:val="left"/>
    </w:lvl>
    <w:lvl w:ilvl="2" w:tplc="C57EEBB4">
      <w:numFmt w:val="decimal"/>
      <w:lvlText w:val=""/>
      <w:lvlJc w:val="left"/>
    </w:lvl>
    <w:lvl w:ilvl="3" w:tplc="09344ADC">
      <w:numFmt w:val="decimal"/>
      <w:lvlText w:val=""/>
      <w:lvlJc w:val="left"/>
    </w:lvl>
    <w:lvl w:ilvl="4" w:tplc="4D065DD0">
      <w:numFmt w:val="decimal"/>
      <w:lvlText w:val=""/>
      <w:lvlJc w:val="left"/>
    </w:lvl>
    <w:lvl w:ilvl="5" w:tplc="7A0A75F2">
      <w:numFmt w:val="decimal"/>
      <w:lvlText w:val=""/>
      <w:lvlJc w:val="left"/>
    </w:lvl>
    <w:lvl w:ilvl="6" w:tplc="661E1670">
      <w:numFmt w:val="decimal"/>
      <w:lvlText w:val=""/>
      <w:lvlJc w:val="left"/>
    </w:lvl>
    <w:lvl w:ilvl="7" w:tplc="0B728FCC">
      <w:numFmt w:val="decimal"/>
      <w:lvlText w:val=""/>
      <w:lvlJc w:val="left"/>
    </w:lvl>
    <w:lvl w:ilvl="8" w:tplc="0504DFEC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065"/>
    <w:rsid w:val="002D3EEC"/>
    <w:rsid w:val="008C2D97"/>
    <w:rsid w:val="009742D1"/>
    <w:rsid w:val="00F8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CDC5F9-F8FA-468A-A28F-EA504FC27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1612</Words>
  <Characters>9192</Characters>
  <Application>Microsoft Office Word</Application>
  <DocSecurity>0</DocSecurity>
  <Lines>76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2</cp:revision>
  <dcterms:created xsi:type="dcterms:W3CDTF">2019-03-26T08:57:00Z</dcterms:created>
  <dcterms:modified xsi:type="dcterms:W3CDTF">2019-03-26T08:57:00Z</dcterms:modified>
</cp:coreProperties>
</file>