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6BA" w:rsidRPr="00E57406" w:rsidRDefault="00CA26BA" w:rsidP="00C839EE">
      <w:pPr>
        <w:pStyle w:val="Default"/>
        <w:jc w:val="center"/>
        <w:rPr>
          <w:rFonts w:ascii="Calibri" w:hAnsi="Calibri"/>
          <w:b/>
          <w:szCs w:val="28"/>
        </w:rPr>
      </w:pPr>
      <w:r w:rsidRPr="00E57406">
        <w:rPr>
          <w:rFonts w:ascii="Calibri" w:hAnsi="Calibri"/>
          <w:b/>
          <w:szCs w:val="28"/>
        </w:rPr>
        <w:t>POZNÁMKY</w:t>
      </w:r>
    </w:p>
    <w:p w:rsidR="00CA26BA" w:rsidRPr="00A87CD4" w:rsidRDefault="00CA26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 xml:space="preserve"> individuálnej účtovnej závierky zostavenej </w:t>
      </w:r>
      <w:r>
        <w:rPr>
          <w:rFonts w:ascii="Calibri" w:hAnsi="Calibri"/>
          <w:sz w:val="20"/>
        </w:rPr>
        <w:t>mal</w:t>
      </w:r>
      <w:r w:rsidRPr="00A87CD4">
        <w:rPr>
          <w:rFonts w:ascii="Calibri" w:hAnsi="Calibri"/>
          <w:sz w:val="20"/>
        </w:rPr>
        <w:t xml:space="preserve">ou účtovnou jednotkou </w:t>
      </w:r>
      <w:r>
        <w:rPr>
          <w:rFonts w:ascii="Calibri" w:hAnsi="Calibri"/>
          <w:sz w:val="20"/>
        </w:rPr>
        <w:t>k 31.12.2018</w:t>
      </w:r>
    </w:p>
    <w:p w:rsidR="00CA26BA" w:rsidRPr="00A87CD4" w:rsidRDefault="00CA26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>(v rozsahu prílohy č. 1 k opatreni</w:t>
      </w:r>
      <w:r>
        <w:rPr>
          <w:rFonts w:ascii="Calibri" w:hAnsi="Calibri"/>
          <w:sz w:val="20"/>
        </w:rPr>
        <w:t>u</w:t>
      </w:r>
      <w:r w:rsidRPr="00A87CD4">
        <w:rPr>
          <w:rFonts w:ascii="Calibri" w:hAnsi="Calibri"/>
          <w:sz w:val="20"/>
        </w:rPr>
        <w:t xml:space="preserve"> MF SR č. MF/2337</w:t>
      </w:r>
      <w:r>
        <w:rPr>
          <w:rFonts w:ascii="Calibri" w:hAnsi="Calibri"/>
          <w:sz w:val="20"/>
        </w:rPr>
        <w:t>8</w:t>
      </w:r>
      <w:r w:rsidRPr="00A87CD4">
        <w:rPr>
          <w:rFonts w:ascii="Calibri" w:hAnsi="Calibri"/>
          <w:sz w:val="20"/>
        </w:rPr>
        <w:t>/2014-74)</w:t>
      </w:r>
    </w:p>
    <w:p w:rsidR="00CA26BA" w:rsidRDefault="00CA26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ab/>
      </w:r>
    </w:p>
    <w:p w:rsidR="00CA26BA" w:rsidRPr="00A87CD4" w:rsidRDefault="00CA26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</w:p>
    <w:p w:rsidR="00CA26BA" w:rsidRPr="00E57406" w:rsidRDefault="00CA26BA" w:rsidP="009F61B1">
      <w:pPr>
        <w:pStyle w:val="Default"/>
        <w:jc w:val="center"/>
        <w:rPr>
          <w:rFonts w:ascii="Calibri" w:hAnsi="Calibri"/>
          <w:b/>
          <w:color w:val="auto"/>
          <w:sz w:val="22"/>
          <w:szCs w:val="22"/>
        </w:rPr>
      </w:pPr>
      <w:r w:rsidRPr="00E57406">
        <w:rPr>
          <w:rFonts w:ascii="Calibri" w:hAnsi="Calibri"/>
          <w:b/>
          <w:bCs/>
          <w:color w:val="auto"/>
          <w:sz w:val="22"/>
          <w:szCs w:val="22"/>
        </w:rPr>
        <w:t>Čl. I</w:t>
      </w:r>
    </w:p>
    <w:p w:rsidR="00CA26BA" w:rsidRPr="00E57406" w:rsidRDefault="00CA26BA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CA26BA" w:rsidRPr="004B7CE0" w:rsidRDefault="00CA26BA" w:rsidP="00C839EE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color w:val="990099"/>
          <w:sz w:val="20"/>
          <w:szCs w:val="20"/>
        </w:rPr>
        <w:t xml:space="preserve"> </w:t>
      </w:r>
    </w:p>
    <w:p w:rsidR="00CA26BA" w:rsidRPr="004B7CE0" w:rsidRDefault="00CA26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(1.)  Informácie o účtovnej jednotke</w:t>
      </w:r>
    </w:p>
    <w:p w:rsidR="00CA26BA" w:rsidRPr="004B7CE0" w:rsidRDefault="00CA26BA" w:rsidP="009F61B1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9F61B1">
      <w:pPr>
        <w:pStyle w:val="ListParagraph"/>
        <w:ind w:left="0"/>
        <w:rPr>
          <w:rFonts w:cs="Arial"/>
          <w:color w:val="000000"/>
          <w:sz w:val="20"/>
          <w:szCs w:val="20"/>
        </w:rPr>
      </w:pPr>
      <w:r w:rsidRPr="004B7CE0">
        <w:rPr>
          <w:rFonts w:cs="Calibri"/>
          <w:bCs/>
          <w:color w:val="000000"/>
          <w:sz w:val="20"/>
          <w:szCs w:val="20"/>
        </w:rPr>
        <w:t>a) Základné informácie o účtovnej jednotke:</w:t>
      </w:r>
      <w:r w:rsidRPr="004B7CE0">
        <w:rPr>
          <w:rFonts w:cs="Arial"/>
          <w:color w:val="000000"/>
          <w:sz w:val="20"/>
          <w:szCs w:val="20"/>
        </w:rPr>
        <w:t xml:space="preserve"> 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0A0"/>
      </w:tblPr>
      <w:tblGrid>
        <w:gridCol w:w="2772"/>
        <w:gridCol w:w="6500"/>
      </w:tblGrid>
      <w:tr w:rsidR="00CA26BA" w:rsidRPr="004B7CE0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275FF4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 xml:space="preserve">Kontainer – Servis 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s</w:t>
            </w: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 xml:space="preserve">pol. 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s</w:t>
            </w: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 r.o.</w:t>
            </w:r>
          </w:p>
        </w:tc>
      </w:tr>
      <w:tr w:rsidR="00CA26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Poľná 14, 903 01  Senec</w:t>
            </w:r>
          </w:p>
        </w:tc>
      </w:tr>
      <w:tr w:rsidR="00CA26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Dátum založenia: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15.10.2004</w:t>
            </w:r>
          </w:p>
        </w:tc>
      </w:tr>
      <w:tr w:rsidR="00CA26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Dátum vzniku: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28.10.2004</w:t>
            </w:r>
          </w:p>
        </w:tc>
      </w:tr>
    </w:tbl>
    <w:p w:rsidR="00CA26BA" w:rsidRPr="004B7CE0" w:rsidRDefault="00CA26BA" w:rsidP="009F61B1">
      <w:pPr>
        <w:pStyle w:val="ListParagraph"/>
        <w:rPr>
          <w:rFonts w:cs="Arial"/>
          <w:color w:val="000000"/>
          <w:sz w:val="20"/>
          <w:szCs w:val="20"/>
        </w:rPr>
      </w:pPr>
    </w:p>
    <w:p w:rsidR="00CA26BA" w:rsidRDefault="00CA26BA" w:rsidP="009F61B1">
      <w:pPr>
        <w:pStyle w:val="ListParagraph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  <w:r w:rsidRPr="004B7CE0">
        <w:rPr>
          <w:rFonts w:cs="Arial"/>
          <w:color w:val="000000"/>
          <w:sz w:val="20"/>
          <w:szCs w:val="20"/>
        </w:rPr>
        <w:t xml:space="preserve">b) </w:t>
      </w:r>
      <w:r w:rsidRPr="004B7CE0">
        <w:rPr>
          <w:rFonts w:cs="ArialNarrow"/>
          <w:color w:val="000000"/>
          <w:sz w:val="20"/>
          <w:szCs w:val="20"/>
        </w:rPr>
        <w:t>Opis hospodárskej činnosti účtovnej jednotky:</w:t>
      </w:r>
    </w:p>
    <w:p w:rsidR="00CA26BA" w:rsidRPr="004B7CE0" w:rsidRDefault="00CA26BA" w:rsidP="009F61B1">
      <w:pPr>
        <w:pStyle w:val="ListParagraph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kúpa tovaru za účelom jeho predaja konečnému spotrebiteľovi /maloobchod/ v rozsahu voľnej živnosti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kúpa tovaru za účelom jeho predaja iným prevádzkovateľom /veľkoobchod/ v rozsahu voľnej živnosti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prenájom hnuteľných vecí a zariadení vrátane elektronických zariadení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prenájom nehnuteľností s poskytovaním iných než základných služieb spojených s prenájmom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obstarávanie služieb spojených s prevádzkou a údržbou nehnuteľností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sprostredkovanie kúpy, predaja a prenájmu nehnuteľností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organizovanie školení, prednášok, seminárov a kurzov, vzdelávacích podujatí, športových, kultúrnych podujatí, výstav a obchodných rokovaní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administratívne služby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sprostredkovateľská činnosť v oblasti obchodu a služieb v rozsahu voľnej živnosti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upratovanie bytových a nebytových priestorov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prieskum trhu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prekladateľská činnosť v rozsahu voľnej živnosti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poradenská činnosť v oblasti výroby, obchodu a služieb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činnosť organizačných a ekonomických poradcov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vedenie účtovníctva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reklamná a propagačná činnosť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ukladanie písomností nearchívnej povahy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automatizované spracovanie dát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činnosť účtovných poradcov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stavebná činnosť - vykonávanie jednoduchých stavieb a poddodávok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oprava hliníkových kontejnerov, hliníkových paliet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baliaca činnosť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strojná výroba - kovoobrábanie, oceľové konštrukcie</w:t>
      </w:r>
    </w:p>
    <w:p w:rsidR="00CA26BA" w:rsidRPr="004B7CE0" w:rsidRDefault="00CA26BA" w:rsidP="006F41FE">
      <w:pPr>
        <w:numPr>
          <w:ilvl w:val="0"/>
          <w:numId w:val="26"/>
        </w:numPr>
        <w:tabs>
          <w:tab w:val="left" w:pos="0"/>
        </w:tabs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sprostredkovanie dopravy</w:t>
      </w:r>
    </w:p>
    <w:p w:rsidR="00CA26BA" w:rsidRDefault="00CA26BA" w:rsidP="009F61B1">
      <w:pPr>
        <w:widowControl w:val="0"/>
        <w:rPr>
          <w:rFonts w:ascii="Calibri" w:hAnsi="Calibri"/>
          <w:color w:val="000000"/>
          <w:sz w:val="20"/>
          <w:szCs w:val="20"/>
        </w:rPr>
      </w:pPr>
    </w:p>
    <w:p w:rsidR="00CA26BA" w:rsidRPr="004B7CE0" w:rsidRDefault="00CA26BA" w:rsidP="009F61B1">
      <w:pPr>
        <w:widowControl w:val="0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</w:p>
    <w:p w:rsidR="00CA26BA" w:rsidRDefault="00CA26BA" w:rsidP="009F61B1">
      <w:pPr>
        <w:widowControl w:val="0"/>
        <w:rPr>
          <w:rFonts w:ascii="Calibri" w:hAnsi="Calibri" w:cs="Calibri"/>
          <w:bCs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(2) </w:t>
      </w:r>
      <w:r w:rsidRPr="004B7CE0">
        <w:rPr>
          <w:rFonts w:ascii="Calibri" w:hAnsi="Calibri" w:cs="Arial"/>
          <w:color w:val="000000"/>
          <w:sz w:val="20"/>
          <w:szCs w:val="20"/>
        </w:rPr>
        <w:t>Schválenie účtovnej závierky za predchádzajúce obdobie</w:t>
      </w:r>
      <w:r w:rsidRPr="004B7CE0">
        <w:rPr>
          <w:rFonts w:ascii="Calibri" w:hAnsi="Calibri" w:cs="Calibri"/>
          <w:bCs/>
          <w:color w:val="000000"/>
          <w:sz w:val="20"/>
          <w:szCs w:val="20"/>
        </w:rPr>
        <w:t xml:space="preserve"> </w:t>
      </w:r>
    </w:p>
    <w:p w:rsidR="00CA26BA" w:rsidRPr="004B7CE0" w:rsidRDefault="00CA26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</w:p>
    <w:p w:rsidR="00CA26BA" w:rsidRPr="004B7CE0" w:rsidRDefault="00CA26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Účtovná závierka za rok 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2017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 bola schválená na riadnom valnom zhromaždení dňa   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30.05.2018</w:t>
      </w:r>
    </w:p>
    <w:p w:rsidR="00CA26BA" w:rsidRDefault="00CA26BA" w:rsidP="009F61B1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9F61B1">
      <w:pPr>
        <w:pStyle w:val="Default"/>
        <w:rPr>
          <w:rFonts w:ascii="Calibri" w:hAnsi="Calibri"/>
          <w:sz w:val="20"/>
          <w:szCs w:val="20"/>
        </w:rPr>
      </w:pPr>
    </w:p>
    <w:p w:rsidR="00CA26BA" w:rsidRDefault="00CA26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Právny dôvod na zostavenie účtovnej závierky. </w:t>
      </w:r>
    </w:p>
    <w:p w:rsidR="00CA26BA" w:rsidRPr="004B7CE0" w:rsidRDefault="00CA26BA" w:rsidP="009F61B1">
      <w:pPr>
        <w:pStyle w:val="Default"/>
        <w:rPr>
          <w:rFonts w:ascii="Calibri" w:hAnsi="Calibri"/>
          <w:sz w:val="20"/>
          <w:szCs w:val="20"/>
        </w:rPr>
      </w:pPr>
    </w:p>
    <w:p w:rsidR="00CA26BA" w:rsidRDefault="00CA26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>
        <w:rPr>
          <w:rFonts w:ascii="Calibri" w:hAnsi="Calibri" w:cs="Calibri"/>
          <w:snapToGrid w:val="0"/>
          <w:color w:val="000000"/>
          <w:sz w:val="20"/>
          <w:szCs w:val="20"/>
        </w:rPr>
        <w:t>Účtovná závierka k 31.12.2018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je zostavená ako riadna účtovná závierka podľa § 17 ods. 6     zákona NR SR č. 431/2002 Z. z. o účtovníctve, za účtovné obdobie od 1.j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anuára 2018 do 31. decembra 2018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>,  k posle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dnému dňu kalendárneho roka 2018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. </w:t>
      </w:r>
    </w:p>
    <w:p w:rsidR="00CA26BA" w:rsidRPr="004B7CE0" w:rsidRDefault="00CA26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</w:p>
    <w:p w:rsidR="00CA26BA" w:rsidRPr="004B7CE0" w:rsidRDefault="00CA26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</w:t>
      </w:r>
    </w:p>
    <w:p w:rsidR="00CA26BA" w:rsidRPr="004B7CE0" w:rsidRDefault="00CA26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(4) Údaje o skupine účtovných jednotiek, a to: </w:t>
      </w:r>
    </w:p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301869">
      <w:pPr>
        <w:ind w:right="-468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>Účtovná jednotka nie je súčasťou</w:t>
      </w:r>
      <w:r w:rsidRPr="004B7CE0">
        <w:rPr>
          <w:rFonts w:ascii="Calibri" w:hAnsi="Calibri"/>
          <w:color w:val="000000"/>
          <w:sz w:val="20"/>
          <w:szCs w:val="20"/>
        </w:rPr>
        <w:t xml:space="preserve"> skupiny, t.j. nie je materskou UJ ani  dcérskou UJ</w:t>
      </w:r>
    </w:p>
    <w:p w:rsidR="00CA26BA" w:rsidRPr="004B7CE0" w:rsidRDefault="00CA26BA" w:rsidP="00301869">
      <w:pPr>
        <w:pStyle w:val="Default"/>
        <w:rPr>
          <w:rFonts w:ascii="Calibri" w:hAnsi="Calibri"/>
          <w:strike/>
          <w:sz w:val="20"/>
          <w:szCs w:val="20"/>
        </w:rPr>
      </w:pP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(5) Informácia o 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56"/>
        <w:gridCol w:w="2954"/>
        <w:gridCol w:w="2725"/>
      </w:tblGrid>
      <w:tr w:rsidR="00CA26BA" w:rsidRPr="004B7CE0" w:rsidTr="006B0E20">
        <w:trPr>
          <w:jc w:val="center"/>
        </w:trPr>
        <w:tc>
          <w:tcPr>
            <w:tcW w:w="3814" w:type="dxa"/>
            <w:vAlign w:val="center"/>
          </w:tcPr>
          <w:p w:rsidR="00CA26BA" w:rsidRPr="004B7CE0" w:rsidRDefault="00CA26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849" w:type="dxa"/>
            <w:vAlign w:val="center"/>
          </w:tcPr>
          <w:p w:rsidR="00CA26BA" w:rsidRPr="004B7CE0" w:rsidRDefault="00CA26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28" w:type="dxa"/>
            <w:vAlign w:val="center"/>
          </w:tcPr>
          <w:p w:rsidR="00CA26BA" w:rsidRPr="004B7CE0" w:rsidRDefault="00CA26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CA26BA" w:rsidRPr="004B7CE0" w:rsidTr="006B0E20">
        <w:trPr>
          <w:jc w:val="center"/>
        </w:trPr>
        <w:tc>
          <w:tcPr>
            <w:tcW w:w="3814" w:type="dxa"/>
          </w:tcPr>
          <w:p w:rsidR="00CA26BA" w:rsidRPr="004B7CE0" w:rsidRDefault="00CA26BA" w:rsidP="006B0E2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49" w:type="dxa"/>
          </w:tcPr>
          <w:p w:rsidR="00CA26BA" w:rsidRPr="004B7CE0" w:rsidRDefault="00CA26BA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99</w:t>
            </w:r>
          </w:p>
        </w:tc>
        <w:tc>
          <w:tcPr>
            <w:tcW w:w="2628" w:type="dxa"/>
          </w:tcPr>
          <w:p w:rsidR="00CA26BA" w:rsidRPr="004B7CE0" w:rsidRDefault="00CA26BA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91</w:t>
            </w:r>
          </w:p>
        </w:tc>
      </w:tr>
    </w:tbl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Default="00CA26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CA26BA" w:rsidRPr="004B7CE0" w:rsidRDefault="00CA26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</w:t>
      </w:r>
    </w:p>
    <w:p w:rsidR="00CA26BA" w:rsidRPr="004B7CE0" w:rsidRDefault="00CA26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orgánoch spoločnosti</w:t>
      </w:r>
    </w:p>
    <w:p w:rsidR="00CA26BA" w:rsidRPr="004B7CE0" w:rsidRDefault="00CA26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CA26BA" w:rsidRPr="004B7CE0" w:rsidRDefault="00CA26BA" w:rsidP="00E55A84">
      <w:pPr>
        <w:pStyle w:val="Default"/>
        <w:rPr>
          <w:rFonts w:ascii="Calibri" w:hAnsi="Calibri"/>
          <w:bCs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v sledovanom období neposkytla  členom štatutárnych, dozorných a iných orgánov spoločnosti žiadne záruky, pôžičky alebo iné zabezpečenia, finančné prostriedky alebo iné plnenia.</w:t>
      </w:r>
    </w:p>
    <w:p w:rsidR="00CA26BA" w:rsidRDefault="00CA26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CA26BA" w:rsidRPr="004B7CE0" w:rsidRDefault="00CA26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CA26BA" w:rsidRPr="004B7CE0" w:rsidRDefault="00CA26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III</w:t>
      </w:r>
    </w:p>
    <w:p w:rsidR="00CA26BA" w:rsidRPr="004B7CE0" w:rsidRDefault="00CA26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prijatých postupoch</w:t>
      </w:r>
    </w:p>
    <w:p w:rsidR="00CA26BA" w:rsidRPr="004B7CE0" w:rsidRDefault="00CA26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CA26BA" w:rsidRPr="004B7CE0" w:rsidRDefault="00CA26BA" w:rsidP="00301869">
      <w:pPr>
        <w:jc w:val="both"/>
        <w:rPr>
          <w:rFonts w:ascii="Calibri" w:hAnsi="Calibri" w:cs="Calibri"/>
          <w:bCs/>
          <w:color w:val="000000"/>
          <w:sz w:val="20"/>
          <w:szCs w:val="20"/>
          <w:lang w:eastAsia="cs-CZ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(1) </w:t>
      </w:r>
      <w:r w:rsidRPr="004B7CE0">
        <w:rPr>
          <w:rFonts w:ascii="Calibri" w:hAnsi="Calibri" w:cs="Calibri"/>
          <w:bCs/>
          <w:color w:val="000000"/>
          <w:sz w:val="20"/>
          <w:szCs w:val="20"/>
          <w:lang w:eastAsia="cs-CZ"/>
        </w:rPr>
        <w:t>Účtovná závierka bola zostavená za predpokladu, že účtovná jednotka bude nepretržite pokračovať vo svojej činnosti najmenej po dobu 12 mesiacov .</w:t>
      </w: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(2) Zmena metód účtovania a zásad účtovania </w:t>
      </w:r>
    </w:p>
    <w:p w:rsidR="00CA26BA" w:rsidRPr="004B7CE0" w:rsidRDefault="00CA26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Účtovné metódy a všeobecné účtovné zásady boli účtovnou jednotkou aplikované konzistentne. </w:t>
      </w: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</w:p>
    <w:p w:rsidR="00CA26BA" w:rsidRDefault="00CA26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Informácia o transakciách, ktoré sa neuvádzajú v súvahe </w:t>
      </w:r>
    </w:p>
    <w:p w:rsidR="00CA26BA" w:rsidRPr="00A31AB9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A31AB9">
        <w:rPr>
          <w:rFonts w:ascii="Calibri" w:hAnsi="Calibri"/>
          <w:color w:val="auto"/>
          <w:sz w:val="20"/>
          <w:szCs w:val="20"/>
        </w:rPr>
        <w:t xml:space="preserve">Účtovná jednotka neuskutočnila žiadne významné transakcie, ktoré by neuviedla v súvahe.  </w:t>
      </w:r>
    </w:p>
    <w:p w:rsidR="00CA26BA" w:rsidRPr="00585CCB" w:rsidRDefault="00CA26BA" w:rsidP="00441AF2">
      <w:pPr>
        <w:pStyle w:val="Default"/>
        <w:rPr>
          <w:rFonts w:ascii="Calibri" w:hAnsi="Calibri"/>
          <w:color w:val="FF0000"/>
          <w:sz w:val="20"/>
          <w:szCs w:val="20"/>
        </w:rPr>
      </w:pP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(4) Informácia o ocenení majetku a záväzkov </w:t>
      </w: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b/>
          <w:color w:val="000000"/>
          <w:sz w:val="20"/>
          <w:szCs w:val="20"/>
        </w:rPr>
        <w:t xml:space="preserve">A) obstarávacou cenou </w:t>
      </w:r>
      <w:r w:rsidRPr="004B7CE0">
        <w:rPr>
          <w:rFonts w:ascii="Calibri" w:hAnsi="Calibri" w:cs="Tms Rmn"/>
          <w:b/>
          <w:color w:val="000000"/>
          <w:sz w:val="20"/>
          <w:szCs w:val="20"/>
        </w:rPr>
        <w:br/>
      </w:r>
      <w:r w:rsidRPr="004B7CE0">
        <w:rPr>
          <w:rFonts w:ascii="Calibri" w:hAnsi="Calibri" w:cs="Tms Rmn"/>
          <w:color w:val="000000"/>
          <w:sz w:val="20"/>
          <w:szCs w:val="20"/>
        </w:rPr>
        <w:t xml:space="preserve">1.  hmotný majetok, s výnimkou HM vytvoreného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2.  zásoby,  s výnimkou zásob vytvorených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3. podiely na základnom imaní obchodných spoločností a cenné papiere okrem cenných papierov,  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     podielov na základnom imaní obchodných spoločností, ktoré nemajú podobu cenného papiera 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4.  pohľadávky pri odplatnom nadobudnutí, 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5.  nehmotný majetok s výnimkou nehmotného majetku vytvoreného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6.  záväzky pri ich prevzatí, 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CA26BA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Obstarávacou cenou je cena, za ktorú sa majetok obstaral, a náklady súvisiace s jeho obstaraním a všetky zníženia tejto obstarávacej ceny. Náklady súvisiace s obstaraním sú: clo, prepravu, poistné, provízie, skonto. Súčasťou obstarávacej ceny nie sú úroky z cudzích zdrojov, ani realizované kurzové rozdiely. 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CA26BA" w:rsidRPr="004B7CE0" w:rsidRDefault="00CA26BA" w:rsidP="00301869">
      <w:pPr>
        <w:pStyle w:val="BodyText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 w:cs="Tms Rmn"/>
          <w:b w:val="0"/>
          <w:bCs w:val="0"/>
          <w:color w:val="000000"/>
          <w:sz w:val="20"/>
          <w:szCs w:val="20"/>
          <w:lang w:eastAsia="en-US"/>
        </w:rPr>
        <w:t>Nakupované zásoby sa pri vyskladnení oceňujú váženým aritmetickým priemerom z obstarávacích cien</w:t>
      </w:r>
      <w:r w:rsidRPr="004B7CE0">
        <w:rPr>
          <w:rFonts w:ascii="Calibri" w:hAnsi="Calibri"/>
          <w:color w:val="000000"/>
          <w:sz w:val="20"/>
          <w:szCs w:val="20"/>
        </w:rPr>
        <w:t>.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CA26BA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b/>
          <w:color w:val="000000"/>
          <w:sz w:val="20"/>
          <w:szCs w:val="20"/>
        </w:rPr>
        <w:t xml:space="preserve">B) vlastnými nákladmi </w:t>
      </w:r>
      <w:r w:rsidRPr="004B7CE0">
        <w:rPr>
          <w:rFonts w:ascii="Calibri" w:hAnsi="Calibri" w:cs="Tms Rmn"/>
          <w:b/>
          <w:color w:val="000000"/>
          <w:sz w:val="20"/>
          <w:szCs w:val="20"/>
        </w:rPr>
        <w:br/>
      </w:r>
      <w:r w:rsidRPr="004B7CE0">
        <w:rPr>
          <w:rFonts w:ascii="Calibri" w:hAnsi="Calibri" w:cs="Tms Rmn"/>
          <w:color w:val="000000"/>
          <w:sz w:val="20"/>
          <w:szCs w:val="20"/>
        </w:rPr>
        <w:t xml:space="preserve">1.  hmotný majetok vytvorený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2.  zásoby vytvorené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3.  nehmotný majetok vytvorený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</w:r>
    </w:p>
    <w:p w:rsidR="00CA26BA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Vlastné náklady  vo svojej skutočnej výške, alebo vo výške vlastných nákladov podľa operatívnych (plánových) kalkulácií. </w:t>
      </w:r>
    </w:p>
    <w:p w:rsidR="00CA26BA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>Vlastné náklady zahŕňajú: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▪ priame náklady (priamy materiál, priame mzdy a ostatné priame náklady)  a </w:t>
      </w:r>
    </w:p>
    <w:p w:rsidR="00CA26BA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▪ časť nepriamych nákladov, ktorá sa vzťahuje na výrobu (výrobná réžia). 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b/>
          <w:color w:val="000000"/>
          <w:sz w:val="20"/>
          <w:szCs w:val="20"/>
        </w:rPr>
        <w:t xml:space="preserve">C) menovitou hodnotou </w:t>
      </w:r>
      <w:r w:rsidRPr="004B7CE0">
        <w:rPr>
          <w:rFonts w:ascii="Calibri" w:hAnsi="Calibri" w:cs="Tms Rmn"/>
          <w:b/>
          <w:color w:val="000000"/>
          <w:sz w:val="20"/>
          <w:szCs w:val="20"/>
        </w:rPr>
        <w:br/>
      </w:r>
      <w:r w:rsidRPr="004B7CE0">
        <w:rPr>
          <w:rFonts w:ascii="Calibri" w:hAnsi="Calibri" w:cs="Tms Rmn"/>
          <w:color w:val="000000"/>
          <w:sz w:val="20"/>
          <w:szCs w:val="20"/>
        </w:rPr>
        <w:t xml:space="preserve">1.  peňažné prostriedky a ceniny,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2.  pohľadávky pri ich vzniku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3.  záväzky pri ich vzniku, </w:t>
      </w: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CA26BA" w:rsidRPr="004B7CE0" w:rsidRDefault="00CA26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Menovitou hodnotou je  cena, ktorá je uvedená na peňažných prostriedkoch a ceninách, alebo suma, na ktorú pohľadávka alebo záväzok znie. </w:t>
      </w:r>
    </w:p>
    <w:p w:rsidR="00CA26BA" w:rsidRDefault="00CA26BA" w:rsidP="00E55A84">
      <w:pPr>
        <w:autoSpaceDE w:val="0"/>
        <w:autoSpaceDN w:val="0"/>
        <w:adjustRightInd w:val="0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br/>
      </w:r>
      <w:r w:rsidRPr="004B7CE0">
        <w:rPr>
          <w:rFonts w:ascii="Calibri" w:hAnsi="Calibri"/>
          <w:color w:val="000000"/>
          <w:sz w:val="20"/>
          <w:szCs w:val="20"/>
        </w:rPr>
        <w:t>b) určenie odhadu zníženia hodnoty majetku a tvo</w:t>
      </w:r>
      <w:r>
        <w:rPr>
          <w:rFonts w:ascii="Calibri" w:hAnsi="Calibri"/>
          <w:color w:val="000000"/>
          <w:sz w:val="20"/>
          <w:szCs w:val="20"/>
        </w:rPr>
        <w:t>rba opravnej položky k majetku</w:t>
      </w:r>
    </w:p>
    <w:p w:rsidR="00CA26BA" w:rsidRPr="004B7CE0" w:rsidRDefault="00CA26BA" w:rsidP="00E55A84">
      <w:pPr>
        <w:autoSpaceDE w:val="0"/>
        <w:autoSpaceDN w:val="0"/>
        <w:adjustRightInd w:val="0"/>
        <w:rPr>
          <w:rFonts w:ascii="Calibri" w:hAnsi="Calibri"/>
          <w:color w:val="000000"/>
          <w:sz w:val="20"/>
          <w:szCs w:val="20"/>
        </w:rPr>
      </w:pPr>
    </w:p>
    <w:p w:rsidR="00CA26BA" w:rsidRPr="00442811" w:rsidRDefault="00CA26BA" w:rsidP="00442811">
      <w:pPr>
        <w:pStyle w:val="Default"/>
        <w:spacing w:after="14"/>
        <w:rPr>
          <w:rFonts w:ascii="Calibri" w:hAnsi="Calibri" w:cs="Tms Rmn"/>
          <w:color w:val="auto"/>
          <w:sz w:val="20"/>
          <w:szCs w:val="20"/>
        </w:rPr>
      </w:pPr>
      <w:r w:rsidRPr="00442811">
        <w:rPr>
          <w:rFonts w:ascii="Calibri" w:hAnsi="Calibri" w:cs="Tms Rmn"/>
          <w:color w:val="auto"/>
          <w:sz w:val="20"/>
          <w:szCs w:val="20"/>
        </w:rPr>
        <w:t>Účtovná jednotka  tvorí opravné položky k pohľadávkam a to ak od splatnosti pohľadávky uplynula doba dlhšia ako :</w:t>
      </w:r>
    </w:p>
    <w:p w:rsidR="00CA26BA" w:rsidRPr="00442811" w:rsidRDefault="00CA26BA" w:rsidP="00442811">
      <w:pPr>
        <w:pStyle w:val="Default"/>
        <w:spacing w:after="14"/>
        <w:rPr>
          <w:rFonts w:ascii="Calibri" w:hAnsi="Calibri" w:cs="Tms Rmn"/>
          <w:color w:val="auto"/>
          <w:sz w:val="20"/>
          <w:szCs w:val="20"/>
        </w:rPr>
      </w:pPr>
    </w:p>
    <w:p w:rsidR="00CA26BA" w:rsidRPr="00442811" w:rsidRDefault="00CA26BA" w:rsidP="00442811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442811">
        <w:rPr>
          <w:rFonts w:ascii="Calibri" w:hAnsi="Calibri" w:cs="Tms Rmn"/>
          <w:color w:val="auto"/>
          <w:sz w:val="20"/>
          <w:szCs w:val="20"/>
        </w:rPr>
        <w:t xml:space="preserve">▪ 360 dní </w:t>
      </w:r>
      <w:r w:rsidRPr="00442811">
        <w:rPr>
          <w:rFonts w:ascii="Calibri" w:hAnsi="Calibri" w:cs="Tms Rmn"/>
          <w:color w:val="auto"/>
          <w:sz w:val="20"/>
          <w:szCs w:val="20"/>
        </w:rPr>
        <w:tab/>
        <w:t xml:space="preserve">- 20 % menovitej hodnoty pohľadávky alebo jej nesplatenej časti bez príslušenstva, </w:t>
      </w:r>
      <w:r w:rsidRPr="00442811">
        <w:rPr>
          <w:rFonts w:ascii="Calibri" w:hAnsi="Calibri" w:cs="Tms Rmn"/>
          <w:color w:val="auto"/>
          <w:sz w:val="20"/>
          <w:szCs w:val="20"/>
        </w:rPr>
        <w:br/>
        <w:t xml:space="preserve">▪ 720 dní </w:t>
      </w:r>
      <w:r w:rsidRPr="00442811">
        <w:rPr>
          <w:rFonts w:ascii="Calibri" w:hAnsi="Calibri" w:cs="Tms Rmn"/>
          <w:color w:val="auto"/>
          <w:sz w:val="20"/>
          <w:szCs w:val="20"/>
        </w:rPr>
        <w:tab/>
        <w:t xml:space="preserve">-  50 % menovitej hodnoty pohľadávky alebo jej nesplatenej časti bez príslušenstva, </w:t>
      </w:r>
      <w:r w:rsidRPr="00442811">
        <w:rPr>
          <w:rFonts w:ascii="Calibri" w:hAnsi="Calibri" w:cs="Tms Rmn"/>
          <w:color w:val="auto"/>
          <w:sz w:val="20"/>
          <w:szCs w:val="20"/>
        </w:rPr>
        <w:br/>
        <w:t>▪ 1 080 dní</w:t>
      </w:r>
      <w:r w:rsidRPr="00442811">
        <w:rPr>
          <w:rFonts w:ascii="Calibri" w:hAnsi="Calibri" w:cs="Tms Rmn"/>
          <w:color w:val="auto"/>
          <w:sz w:val="20"/>
          <w:szCs w:val="20"/>
        </w:rPr>
        <w:tab/>
        <w:t>-  100 % menovitej hodnoty pohľadávky alebo jej nesplatenej časti bez príslušenstva.</w:t>
      </w:r>
    </w:p>
    <w:p w:rsidR="00CA26BA" w:rsidRPr="00442811" w:rsidRDefault="00CA26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</w:p>
    <w:p w:rsidR="00CA26BA" w:rsidRPr="00442811" w:rsidRDefault="00CA26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  <w:r w:rsidRPr="00442811">
        <w:rPr>
          <w:rFonts w:ascii="Calibri" w:hAnsi="Calibri" w:cs="Calibri"/>
          <w:color w:val="auto"/>
          <w:sz w:val="20"/>
          <w:szCs w:val="20"/>
        </w:rPr>
        <w:t xml:space="preserve">Opravné položky sa zrušia alebo sa zmení ich výška, ak nastane zmena predpokladu zníženia ich hodnoty. </w:t>
      </w: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</w:p>
    <w:p w:rsidR="00CA26BA" w:rsidRDefault="00CA26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c) určenie ocenenia záväzkov, stanovenie odhad</w:t>
      </w:r>
      <w:r>
        <w:rPr>
          <w:rFonts w:ascii="Calibri" w:hAnsi="Calibri"/>
          <w:sz w:val="20"/>
          <w:szCs w:val="20"/>
        </w:rPr>
        <w:t>u ocenenia rezerv</w:t>
      </w: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301869">
      <w:pPr>
        <w:pStyle w:val="BodyTex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A26BA" w:rsidRPr="004B7CE0" w:rsidRDefault="00CA26BA" w:rsidP="00301869">
      <w:pPr>
        <w:pStyle w:val="BodyText"/>
        <w:rPr>
          <w:rFonts w:ascii="Calibri" w:hAnsi="Calibri"/>
          <w:color w:val="000000"/>
          <w:sz w:val="20"/>
          <w:szCs w:val="20"/>
        </w:rPr>
      </w:pPr>
    </w:p>
    <w:p w:rsidR="00CA26BA" w:rsidRPr="004B7CE0" w:rsidRDefault="00CA26BA" w:rsidP="00301869">
      <w:pPr>
        <w:pStyle w:val="BodyTex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t>d) časové rozlíšenie aktív a pasív</w:t>
      </w:r>
    </w:p>
    <w:p w:rsidR="00CA26BA" w:rsidRPr="004B7CE0" w:rsidRDefault="00CA26BA" w:rsidP="00301869">
      <w:pPr>
        <w:pStyle w:val="BodyText"/>
        <w:rPr>
          <w:rFonts w:ascii="Calibri" w:hAnsi="Calibri"/>
          <w:b w:val="0"/>
          <w:color w:val="000000"/>
          <w:sz w:val="20"/>
          <w:szCs w:val="20"/>
        </w:rPr>
      </w:pPr>
    </w:p>
    <w:p w:rsidR="00CA26BA" w:rsidRPr="004B7CE0" w:rsidRDefault="00CA26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>Časové rozlíšenia aktív a pasív sa oceňujú (vykazujú) vo výške, ktorá je potrebná na dodržanie zásady vecnej a časovej súvislosti s účtovným obdobím. Náklady na prelome účtovných období (december b.r .- január nasledujúceho roka) sa účtujú do toho obdobia, v ktorom je vystavený daňový doklad.</w:t>
      </w:r>
    </w:p>
    <w:p w:rsidR="00CA26BA" w:rsidRPr="004B7CE0" w:rsidRDefault="00CA26BA" w:rsidP="00301869">
      <w:pPr>
        <w:pStyle w:val="Default"/>
        <w:rPr>
          <w:rFonts w:ascii="Calibri" w:hAnsi="Calibri"/>
          <w:strike/>
          <w:sz w:val="20"/>
          <w:szCs w:val="20"/>
          <w:highlight w:val="yellow"/>
        </w:rPr>
      </w:pP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e</w:t>
      </w:r>
      <w:r w:rsidRPr="004B7CE0">
        <w:rPr>
          <w:rFonts w:ascii="Calibri" w:hAnsi="Calibri"/>
          <w:sz w:val="20"/>
          <w:szCs w:val="20"/>
        </w:rPr>
        <w:t xml:space="preserve">) tvorba odpisového plánu pre dlhodobý majetok, pričom sa uvádza doba odpisovania, sadzby odpisov a odpisové metódy pre účtovné odpisy, </w:t>
      </w:r>
    </w:p>
    <w:p w:rsidR="00CA26BA" w:rsidRPr="004B7CE0" w:rsidRDefault="00CA26BA" w:rsidP="00301869">
      <w:pPr>
        <w:pStyle w:val="BodyText"/>
        <w:rPr>
          <w:rFonts w:ascii="Calibri" w:hAnsi="Calibri"/>
          <w:color w:val="000000"/>
          <w:sz w:val="20"/>
          <w:szCs w:val="20"/>
        </w:rPr>
      </w:pPr>
    </w:p>
    <w:p w:rsidR="00CA26BA" w:rsidRPr="004B7CE0" w:rsidRDefault="00CA26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>Odpisovať sa začína v mesiaci uvedenia dlhodobého majetku do používania. Dlhodobý hmotný majetok pri zaradení do používania účtovná jednotka zatriedi do odpisových skupín, zvolí metódu odpisovania a priradí ročnú odpisovú sadzbu. Metódu odpisovania nemení počas celej doby odpisovania.</w:t>
      </w:r>
    </w:p>
    <w:p w:rsidR="00CA26BA" w:rsidRPr="004B7CE0" w:rsidRDefault="00CA26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CA26BA" w:rsidRPr="004B7CE0" w:rsidRDefault="00CA26BA" w:rsidP="00E55A84">
      <w:pPr>
        <w:pStyle w:val="BodyText"/>
        <w:rPr>
          <w:rFonts w:ascii="Calibri" w:hAnsi="Calibri" w:cs="Calibri"/>
          <w:b w:val="0"/>
          <w:bCs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bCs w:val="0"/>
          <w:color w:val="000000"/>
          <w:sz w:val="20"/>
          <w:szCs w:val="20"/>
        </w:rPr>
        <w:t xml:space="preserve">Dlhodobý nehmotný majetok - účtovná jednotka eviduje v tomto druhu majetku len softvér. Pre softvér si stanovila účtovná jednotka dobu odpisovania 4 roky. Dlhodobý nehmotný majetok, ktorého obstarávacia cena (resp. vlastné náklady) je 2 400 EUR a nižšia, sa odpisuje jednorazovo pri uvedení do používania - účtuje sa na účet 518. </w:t>
      </w:r>
    </w:p>
    <w:p w:rsidR="00CA26BA" w:rsidRPr="004B7CE0" w:rsidRDefault="00CA26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CA26BA" w:rsidRPr="004B7CE0" w:rsidRDefault="00CA26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Drobný dlhodobý hmotný majetok, ktorého obstarávacia cena (resp. vlastné náklady) je 1 700 EUR a nižšia, sa odpisuje jednorazovo pri uvedení do používania - účtuje sa na účet 501. Pozemky sa neodpisujú. </w:t>
      </w:r>
    </w:p>
    <w:p w:rsidR="00CA26BA" w:rsidRDefault="00CA26BA" w:rsidP="00E55A84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CA26BA" w:rsidRDefault="00CA26BA" w:rsidP="00E55A84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>Predpokladaná doba používania, metóda odpisovania a odpisová sadzba sú uvedené v nasledujúcej tabuľke:</w:t>
      </w:r>
    </w:p>
    <w:p w:rsidR="00CA26BA" w:rsidRPr="004B7CE0" w:rsidRDefault="00CA26BA" w:rsidP="00E55A84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011"/>
        <w:gridCol w:w="2180"/>
        <w:gridCol w:w="2182"/>
        <w:gridCol w:w="2180"/>
      </w:tblGrid>
      <w:tr w:rsidR="00CA26BA" w:rsidRPr="004B7CE0" w:rsidTr="00F10ED7">
        <w:trPr>
          <w:trHeight w:val="162"/>
        </w:trPr>
        <w:tc>
          <w:tcPr>
            <w:tcW w:w="157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A26BA" w:rsidRDefault="00CA26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</w:p>
          <w:p w:rsidR="00CA26BA" w:rsidRPr="004B7CE0" w:rsidRDefault="00CA26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Odpisová metóda</w:t>
            </w:r>
          </w:p>
        </w:tc>
      </w:tr>
      <w:tr w:rsidR="00CA26BA" w:rsidRPr="004B7CE0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20, 40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2,5 - 5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26BA" w:rsidRPr="004B7CE0" w:rsidRDefault="00CA26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lineárna</w:t>
            </w:r>
          </w:p>
        </w:tc>
      </w:tr>
      <w:tr w:rsidR="00CA26BA" w:rsidRPr="004B7CE0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Stroje, prístroje a zariadenia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4 - 12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7,7 – 25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26BA" w:rsidRPr="004B7CE0" w:rsidRDefault="00CA26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lineárna</w:t>
            </w:r>
          </w:p>
        </w:tc>
      </w:tr>
      <w:tr w:rsidR="00CA26BA" w:rsidRPr="004B7CE0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Dopravné prostriedky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pStyle w:val="ListParagraph"/>
              <w:spacing w:after="0"/>
              <w:ind w:left="660"/>
              <w:rPr>
                <w:color w:val="000000"/>
                <w:sz w:val="20"/>
                <w:szCs w:val="20"/>
              </w:rPr>
            </w:pPr>
            <w:r w:rsidRPr="004B7CE0">
              <w:rPr>
                <w:color w:val="000000"/>
                <w:sz w:val="20"/>
                <w:szCs w:val="20"/>
              </w:rPr>
              <w:t xml:space="preserve">   4 – 6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16,6 - 25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26BA" w:rsidRPr="004B7CE0" w:rsidRDefault="00CA26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Lineárna a degresívna</w:t>
            </w:r>
          </w:p>
        </w:tc>
      </w:tr>
      <w:tr w:rsidR="00CA26BA" w:rsidRPr="004B7CE0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Drobný hmotný majetok dlhodobý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rôzna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6BA" w:rsidRPr="004B7CE0" w:rsidRDefault="00CA26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26BA" w:rsidRPr="004B7CE0" w:rsidRDefault="00CA26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Jednorazový odpis</w:t>
            </w:r>
          </w:p>
        </w:tc>
      </w:tr>
    </w:tbl>
    <w:p w:rsidR="00CA26BA" w:rsidRDefault="00CA26BA" w:rsidP="00301869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f</w:t>
      </w:r>
      <w:r w:rsidRPr="004B7CE0">
        <w:rPr>
          <w:rFonts w:ascii="Calibri" w:hAnsi="Calibri"/>
          <w:sz w:val="20"/>
          <w:szCs w:val="20"/>
        </w:rPr>
        <w:t xml:space="preserve">) informácia o poskytnutých dotáciách a  dotáciách na obstaranie majetku </w:t>
      </w: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Účtovná jednotka neprijala žiadne dotácie. </w:t>
      </w:r>
    </w:p>
    <w:p w:rsidR="00CA26BA" w:rsidRDefault="00CA26BA" w:rsidP="00301869">
      <w:pPr>
        <w:ind w:left="720" w:right="-468"/>
        <w:rPr>
          <w:rFonts w:ascii="Calibri" w:hAnsi="Calibri" w:cs="Calibri"/>
          <w:bCs/>
          <w:color w:val="000000"/>
          <w:sz w:val="20"/>
          <w:szCs w:val="20"/>
        </w:rPr>
      </w:pPr>
    </w:p>
    <w:p w:rsidR="00CA26BA" w:rsidRPr="004B7CE0" w:rsidRDefault="00CA26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(5) Informácie o oprave významných chýb minulých účtovných období účtovaných v bežnom účtovnom období </w:t>
      </w:r>
    </w:p>
    <w:p w:rsidR="00CA26BA" w:rsidRPr="004B7CE0" w:rsidRDefault="00CA26BA" w:rsidP="00301869">
      <w:pPr>
        <w:ind w:left="-142" w:right="-468"/>
        <w:rPr>
          <w:rFonts w:ascii="Calibri" w:hAnsi="Calibri" w:cs="Calibri"/>
          <w:color w:val="000000"/>
          <w:sz w:val="20"/>
          <w:szCs w:val="20"/>
        </w:rPr>
      </w:pPr>
    </w:p>
    <w:p w:rsidR="00CA26BA" w:rsidRPr="004B7CE0" w:rsidRDefault="00CA26BA" w:rsidP="00301869">
      <w:pPr>
        <w:ind w:left="-142" w:right="-468"/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 xml:space="preserve">V účtovnom období </w:t>
      </w:r>
      <w:r>
        <w:rPr>
          <w:rFonts w:ascii="Calibri" w:hAnsi="Calibri" w:cs="Calibri"/>
          <w:color w:val="000000"/>
          <w:sz w:val="20"/>
          <w:szCs w:val="20"/>
        </w:rPr>
        <w:t xml:space="preserve">2018 </w:t>
      </w:r>
      <w:r w:rsidRPr="004B7CE0">
        <w:rPr>
          <w:rFonts w:ascii="Calibri" w:hAnsi="Calibri" w:cs="Calibri"/>
          <w:color w:val="000000"/>
          <w:sz w:val="20"/>
          <w:szCs w:val="20"/>
        </w:rPr>
        <w:t xml:space="preserve">Účtovná jednotka nevykonala žiadne opravy významných chýb minulých účtovných období. </w:t>
      </w:r>
    </w:p>
    <w:p w:rsidR="00CA26BA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Default="00CA26BA" w:rsidP="00442811">
      <w:pPr>
        <w:pStyle w:val="Default"/>
        <w:rPr>
          <w:rFonts w:ascii="Calibri" w:hAnsi="Calibri"/>
          <w:sz w:val="20"/>
          <w:szCs w:val="20"/>
        </w:rPr>
      </w:pPr>
      <w:r w:rsidRPr="00DF5477">
        <w:rPr>
          <w:rFonts w:ascii="Calibri" w:hAnsi="Calibri"/>
          <w:sz w:val="20"/>
          <w:szCs w:val="20"/>
        </w:rPr>
        <w:t>(6) Informácia o štruktúre tržieb zahrnutých do čistého obratu (§2 ods. 15 zákona o účtovníctve)</w:t>
      </w:r>
    </w:p>
    <w:p w:rsidR="00CA26BA" w:rsidRPr="00DF5477" w:rsidRDefault="00CA26BA" w:rsidP="00442811">
      <w:pPr>
        <w:pStyle w:val="Default"/>
        <w:rPr>
          <w:rFonts w:ascii="Calibri" w:hAnsi="Calibri"/>
          <w:sz w:val="20"/>
          <w:szCs w:val="20"/>
        </w:rPr>
      </w:pPr>
    </w:p>
    <w:tbl>
      <w:tblPr>
        <w:tblW w:w="4944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490"/>
        <w:gridCol w:w="2127"/>
        <w:gridCol w:w="1904"/>
      </w:tblGrid>
      <w:tr w:rsidR="00CA26BA" w:rsidRPr="00DF5477" w:rsidTr="00F35E8B">
        <w:trPr>
          <w:trHeight w:val="799"/>
        </w:trPr>
        <w:tc>
          <w:tcPr>
            <w:tcW w:w="2883" w:type="pct"/>
            <w:noWrap/>
            <w:vAlign w:val="center"/>
          </w:tcPr>
          <w:p w:rsidR="00CA26BA" w:rsidRPr="00DF5477" w:rsidRDefault="00CA26BA" w:rsidP="00D17B01">
            <w:pPr>
              <w:pStyle w:val="TopHeader"/>
              <w:rPr>
                <w:rFonts w:ascii="Calibri" w:hAnsi="Calibri"/>
                <w:b w:val="0"/>
                <w:color w:val="000000"/>
                <w:sz w:val="20"/>
                <w:szCs w:val="20"/>
              </w:rPr>
            </w:pPr>
            <w:r w:rsidRPr="00DF5477">
              <w:rPr>
                <w:rFonts w:ascii="Calibri" w:hAnsi="Calibri"/>
                <w:b w:val="0"/>
                <w:color w:val="000000"/>
                <w:sz w:val="20"/>
                <w:szCs w:val="20"/>
              </w:rPr>
              <w:t>Názov položky</w:t>
            </w:r>
          </w:p>
        </w:tc>
        <w:tc>
          <w:tcPr>
            <w:tcW w:w="1117" w:type="pct"/>
            <w:noWrap/>
            <w:vAlign w:val="center"/>
          </w:tcPr>
          <w:p w:rsidR="00CA26BA" w:rsidRPr="00DF5477" w:rsidRDefault="00CA26BA" w:rsidP="00D17B01">
            <w:pPr>
              <w:pStyle w:val="TopHeader"/>
              <w:rPr>
                <w:rFonts w:ascii="Calibri" w:hAnsi="Calibri"/>
                <w:b w:val="0"/>
                <w:color w:val="000000"/>
                <w:sz w:val="20"/>
                <w:szCs w:val="20"/>
              </w:rPr>
            </w:pPr>
            <w:r w:rsidRPr="00DF5477">
              <w:rPr>
                <w:rFonts w:ascii="Calibri" w:hAnsi="Calibri"/>
                <w:b w:val="0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vAlign w:val="center"/>
          </w:tcPr>
          <w:p w:rsidR="00CA26BA" w:rsidRPr="00DF5477" w:rsidRDefault="00CA26BA" w:rsidP="00D17B01">
            <w:pPr>
              <w:pStyle w:val="TopHeader"/>
              <w:rPr>
                <w:rFonts w:ascii="Calibri" w:hAnsi="Calibri"/>
                <w:b w:val="0"/>
                <w:color w:val="000000"/>
                <w:sz w:val="20"/>
                <w:szCs w:val="20"/>
              </w:rPr>
            </w:pPr>
            <w:r w:rsidRPr="00DF5477">
              <w:rPr>
                <w:rFonts w:ascii="Calibri" w:hAnsi="Calibri"/>
                <w:b w:val="0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CA26BA" w:rsidRPr="00DF5477" w:rsidTr="00F35E8B">
        <w:trPr>
          <w:trHeight w:val="292"/>
        </w:trPr>
        <w:tc>
          <w:tcPr>
            <w:tcW w:w="2883" w:type="pct"/>
            <w:noWrap/>
            <w:vAlign w:val="center"/>
          </w:tcPr>
          <w:p w:rsidR="00CA26BA" w:rsidRPr="00DF5477" w:rsidRDefault="00CA26BA" w:rsidP="00D17B0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F5477">
              <w:rPr>
                <w:rFonts w:ascii="Calibri" w:hAnsi="Calibri" w:cs="Calibri"/>
                <w:color w:val="000000"/>
                <w:sz w:val="20"/>
                <w:szCs w:val="20"/>
              </w:rPr>
              <w:t>Tržby z predaja služieb</w:t>
            </w:r>
          </w:p>
        </w:tc>
        <w:tc>
          <w:tcPr>
            <w:tcW w:w="1117" w:type="pct"/>
            <w:noWrap/>
            <w:vAlign w:val="center"/>
          </w:tcPr>
          <w:p w:rsidR="00CA26BA" w:rsidRPr="00DF5477" w:rsidRDefault="00CA26BA" w:rsidP="00D17B01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2 785 223</w:t>
            </w:r>
          </w:p>
        </w:tc>
        <w:tc>
          <w:tcPr>
            <w:tcW w:w="1000" w:type="pct"/>
            <w:noWrap/>
            <w:vAlign w:val="center"/>
          </w:tcPr>
          <w:p w:rsidR="00CA26BA" w:rsidRPr="00DF5477" w:rsidRDefault="00CA26BA" w:rsidP="00D17B01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2 435 360</w:t>
            </w:r>
          </w:p>
        </w:tc>
      </w:tr>
      <w:tr w:rsidR="00CA26BA" w:rsidRPr="00DF5477" w:rsidTr="00F35E8B">
        <w:trPr>
          <w:trHeight w:val="292"/>
        </w:trPr>
        <w:tc>
          <w:tcPr>
            <w:tcW w:w="2883" w:type="pct"/>
            <w:noWrap/>
            <w:vAlign w:val="center"/>
          </w:tcPr>
          <w:p w:rsidR="00CA26BA" w:rsidRPr="008F5CC3" w:rsidRDefault="00CA26BA" w:rsidP="00D17B01">
            <w:pPr>
              <w:rPr>
                <w:rFonts w:ascii="Calibri" w:hAnsi="Calibri" w:cs="Calibri"/>
                <w:bCs/>
                <w:color w:val="3333CC"/>
                <w:sz w:val="20"/>
                <w:szCs w:val="20"/>
              </w:rPr>
            </w:pPr>
            <w:r w:rsidRPr="008F5CC3">
              <w:rPr>
                <w:rFonts w:ascii="Calibri" w:hAnsi="Calibri" w:cs="Calibri"/>
                <w:bCs/>
                <w:color w:val="3333CC"/>
                <w:sz w:val="20"/>
                <w:szCs w:val="20"/>
              </w:rPr>
              <w:t xml:space="preserve">Čistý obrat </w:t>
            </w:r>
          </w:p>
        </w:tc>
        <w:tc>
          <w:tcPr>
            <w:tcW w:w="1117" w:type="pct"/>
            <w:noWrap/>
            <w:vAlign w:val="center"/>
          </w:tcPr>
          <w:p w:rsidR="00CA26BA" w:rsidRPr="008F5CC3" w:rsidRDefault="00CA26BA" w:rsidP="00D17B01">
            <w:pPr>
              <w:jc w:val="right"/>
              <w:rPr>
                <w:rFonts w:ascii="Calibri" w:hAnsi="Calibri" w:cs="Calibri"/>
                <w:bCs/>
                <w:color w:val="3333CC"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color w:val="3333CC"/>
                <w:sz w:val="20"/>
                <w:szCs w:val="20"/>
              </w:rPr>
              <w:t>2 785 223</w:t>
            </w:r>
          </w:p>
        </w:tc>
        <w:tc>
          <w:tcPr>
            <w:tcW w:w="1000" w:type="pct"/>
            <w:noWrap/>
            <w:vAlign w:val="center"/>
          </w:tcPr>
          <w:p w:rsidR="00CA26BA" w:rsidRPr="008F5CC3" w:rsidRDefault="00CA26BA" w:rsidP="00D17B01">
            <w:pPr>
              <w:jc w:val="right"/>
              <w:rPr>
                <w:rFonts w:ascii="Calibri" w:hAnsi="Calibri" w:cs="Calibri"/>
                <w:bCs/>
                <w:color w:val="3333CC"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color w:val="3333CC"/>
                <w:sz w:val="20"/>
                <w:szCs w:val="20"/>
              </w:rPr>
              <w:t>2 435 360</w:t>
            </w:r>
          </w:p>
        </w:tc>
      </w:tr>
    </w:tbl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IV</w:t>
      </w:r>
    </w:p>
    <w:p w:rsidR="00CA26BA" w:rsidRPr="004B7CE0" w:rsidRDefault="00CA26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Informácie, ktoré vysvetľujú a dopĺňajú súvahu a výkaz ziskov a strát</w:t>
      </w:r>
    </w:p>
    <w:p w:rsidR="00CA26BA" w:rsidRDefault="00CA26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CA26BA" w:rsidRPr="004B7CE0" w:rsidRDefault="00CA26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(1) Účtovná jednotka neúčtovala o goodwille v bežnom účtovnom období ani v minulých účtovných obdobiach.</w:t>
      </w:r>
    </w:p>
    <w:p w:rsidR="00CA26BA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D11923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(2) Informácie o významných položkách majetku a záväzkoch zabezpečených derivátmi</w:t>
      </w:r>
    </w:p>
    <w:p w:rsidR="00CA26BA" w:rsidRPr="004B7CE0" w:rsidRDefault="00CA26BA" w:rsidP="00D11923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E55A84">
      <w:pPr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 xml:space="preserve">Účtovná jednotka nemá majetok ani záväzky zabezpečené derivátmi. V účtovnom období </w:t>
      </w:r>
      <w:r>
        <w:rPr>
          <w:rFonts w:ascii="Calibri" w:hAnsi="Calibri" w:cs="Calibri"/>
          <w:color w:val="000000"/>
          <w:sz w:val="20"/>
          <w:szCs w:val="20"/>
        </w:rPr>
        <w:t>2018</w:t>
      </w:r>
      <w:r w:rsidRPr="004B7CE0">
        <w:rPr>
          <w:rFonts w:ascii="Calibri" w:hAnsi="Calibri" w:cs="Calibri"/>
          <w:color w:val="000000"/>
          <w:sz w:val="20"/>
          <w:szCs w:val="20"/>
        </w:rPr>
        <w:t xml:space="preserve"> účtovná jednotka nevykonala žiadne derivátové operácie. </w:t>
      </w:r>
    </w:p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Default="00CA26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CA26BA" w:rsidRDefault="00CA26BA" w:rsidP="00441AF2">
      <w:pPr>
        <w:pStyle w:val="Default"/>
        <w:spacing w:after="14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o záväzkoch  </w:t>
      </w:r>
    </w:p>
    <w:p w:rsidR="00CA26BA" w:rsidRDefault="00CA26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CA26BA" w:rsidRPr="00442811" w:rsidRDefault="00CA26BA" w:rsidP="00442811">
      <w:pPr>
        <w:pStyle w:val="Default"/>
        <w:spacing w:after="14"/>
        <w:jc w:val="both"/>
        <w:rPr>
          <w:rFonts w:ascii="Calibri" w:hAnsi="Calibri" w:cs="Calibri"/>
          <w:sz w:val="20"/>
          <w:szCs w:val="20"/>
        </w:rPr>
      </w:pPr>
      <w:r w:rsidRPr="00442811">
        <w:rPr>
          <w:rFonts w:ascii="Calibri" w:hAnsi="Calibri" w:cs="Calibri"/>
          <w:sz w:val="20"/>
          <w:szCs w:val="20"/>
        </w:rPr>
        <w:t>Účtovná jednotka nemá záväzky s dobou splatnosti dlhšou ako päť rokov. V účtovnej závierke vykázané dlhodobé záväzky sú len záväzky zo s</w:t>
      </w:r>
      <w:r>
        <w:rPr>
          <w:rFonts w:ascii="Calibri" w:hAnsi="Calibri" w:cs="Calibri"/>
          <w:sz w:val="20"/>
          <w:szCs w:val="20"/>
        </w:rPr>
        <w:t>ociálneho fondu a z odloženej dani z príjmov.</w:t>
      </w:r>
    </w:p>
    <w:p w:rsidR="00CA26BA" w:rsidRPr="004B7CE0" w:rsidRDefault="00CA26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CA26BA" w:rsidRPr="004B7CE0" w:rsidRDefault="00CA26BA" w:rsidP="00301869">
      <w:pPr>
        <w:pStyle w:val="Default"/>
        <w:spacing w:after="14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a)  Informácie o štruktúre záväzkov podľa zostatkovej doby splatnosti </w:t>
      </w:r>
    </w:p>
    <w:tbl>
      <w:tblPr>
        <w:tblW w:w="48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66"/>
        <w:gridCol w:w="2929"/>
        <w:gridCol w:w="2616"/>
      </w:tblGrid>
      <w:tr w:rsidR="00CA26BA" w:rsidRPr="004B7CE0" w:rsidTr="000A1D0F">
        <w:trPr>
          <w:trHeight w:val="595"/>
          <w:jc w:val="center"/>
        </w:trPr>
        <w:tc>
          <w:tcPr>
            <w:tcW w:w="2022" w:type="pct"/>
            <w:vAlign w:val="center"/>
          </w:tcPr>
          <w:p w:rsidR="00CA26BA" w:rsidRPr="000A1D0F" w:rsidRDefault="00CA26BA" w:rsidP="006B0E20">
            <w:pPr>
              <w:pStyle w:val="TopHeader"/>
              <w:rPr>
                <w:rFonts w:ascii="Calibri" w:hAnsi="Calibri"/>
                <w:b w:val="0"/>
                <w:color w:val="000000"/>
                <w:sz w:val="18"/>
                <w:szCs w:val="20"/>
              </w:rPr>
            </w:pPr>
            <w:r w:rsidRPr="000A1D0F">
              <w:rPr>
                <w:rFonts w:ascii="Calibri" w:hAnsi="Calibri"/>
                <w:b w:val="0"/>
                <w:color w:val="000000"/>
                <w:sz w:val="18"/>
                <w:szCs w:val="20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CA26BA" w:rsidRPr="000A1D0F" w:rsidRDefault="00CA26BA" w:rsidP="006B0E20">
            <w:pPr>
              <w:pStyle w:val="TopHeader"/>
              <w:rPr>
                <w:rFonts w:ascii="Calibri" w:hAnsi="Calibri"/>
                <w:b w:val="0"/>
                <w:color w:val="000000"/>
                <w:sz w:val="18"/>
                <w:szCs w:val="20"/>
              </w:rPr>
            </w:pPr>
            <w:r w:rsidRPr="000A1D0F">
              <w:rPr>
                <w:rFonts w:ascii="Calibri" w:hAnsi="Calibri"/>
                <w:b w:val="0"/>
                <w:color w:val="000000"/>
                <w:sz w:val="18"/>
                <w:szCs w:val="20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CA26BA" w:rsidRPr="000A1D0F" w:rsidRDefault="00CA26BA" w:rsidP="006B0E20">
            <w:pPr>
              <w:pStyle w:val="TopHeader"/>
              <w:rPr>
                <w:rFonts w:ascii="Calibri" w:hAnsi="Calibri"/>
                <w:b w:val="0"/>
                <w:color w:val="000000"/>
                <w:sz w:val="18"/>
                <w:szCs w:val="20"/>
              </w:rPr>
            </w:pPr>
            <w:r w:rsidRPr="000A1D0F">
              <w:rPr>
                <w:rFonts w:ascii="Calibri" w:hAnsi="Calibri"/>
                <w:b w:val="0"/>
                <w:color w:val="000000"/>
                <w:sz w:val="18"/>
                <w:szCs w:val="20"/>
              </w:rPr>
              <w:t>Bezprostredne predchádzajúce účtovné obdobie</w:t>
            </w:r>
          </w:p>
        </w:tc>
      </w:tr>
      <w:tr w:rsidR="00CA26BA" w:rsidRPr="004B7CE0" w:rsidTr="004B7CE0">
        <w:trPr>
          <w:trHeight w:val="381"/>
          <w:jc w:val="center"/>
        </w:trPr>
        <w:tc>
          <w:tcPr>
            <w:tcW w:w="2022" w:type="pct"/>
            <w:noWrap/>
            <w:vAlign w:val="center"/>
          </w:tcPr>
          <w:p w:rsidR="00CA26BA" w:rsidRPr="004B7CE0" w:rsidRDefault="00CA26BA" w:rsidP="006B0E20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CA26BA" w:rsidRPr="004B7CE0" w:rsidRDefault="00CA26BA" w:rsidP="002D40DE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1 029 946</w:t>
            </w:r>
          </w:p>
        </w:tc>
        <w:tc>
          <w:tcPr>
            <w:tcW w:w="1405" w:type="pct"/>
            <w:noWrap/>
            <w:vAlign w:val="center"/>
          </w:tcPr>
          <w:p w:rsidR="00CA26BA" w:rsidRPr="004B7CE0" w:rsidRDefault="00CA26BA" w:rsidP="00563B73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999 135</w:t>
            </w:r>
          </w:p>
        </w:tc>
      </w:tr>
      <w:tr w:rsidR="00CA26BA" w:rsidRPr="004B7CE0" w:rsidTr="004B7CE0">
        <w:trPr>
          <w:trHeight w:val="544"/>
          <w:jc w:val="center"/>
        </w:trPr>
        <w:tc>
          <w:tcPr>
            <w:tcW w:w="2022" w:type="pct"/>
            <w:vAlign w:val="center"/>
          </w:tcPr>
          <w:p w:rsidR="00CA26BA" w:rsidRPr="004B7CE0" w:rsidRDefault="00CA26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CA26BA" w:rsidRPr="004B7CE0" w:rsidRDefault="00CA26BA" w:rsidP="002D40DE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Cs/>
                <w:color w:val="000000"/>
                <w:sz w:val="20"/>
                <w:szCs w:val="20"/>
              </w:rPr>
              <w:t>1 029 946</w:t>
            </w:r>
          </w:p>
        </w:tc>
        <w:tc>
          <w:tcPr>
            <w:tcW w:w="1405" w:type="pct"/>
            <w:vAlign w:val="center"/>
          </w:tcPr>
          <w:p w:rsidR="00CA26BA" w:rsidRPr="004B7CE0" w:rsidRDefault="00CA26BA" w:rsidP="00563B73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Cs/>
                <w:color w:val="000000"/>
                <w:sz w:val="20"/>
                <w:szCs w:val="20"/>
              </w:rPr>
              <w:t>999 135</w:t>
            </w:r>
          </w:p>
        </w:tc>
      </w:tr>
      <w:tr w:rsidR="00CA26BA" w:rsidRPr="004B7CE0" w:rsidTr="004B7CE0">
        <w:trPr>
          <w:trHeight w:val="381"/>
          <w:jc w:val="center"/>
        </w:trPr>
        <w:tc>
          <w:tcPr>
            <w:tcW w:w="2022" w:type="pct"/>
            <w:vAlign w:val="center"/>
          </w:tcPr>
          <w:p w:rsidR="00CA26BA" w:rsidRPr="004B7CE0" w:rsidRDefault="00CA26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CA26BA" w:rsidRPr="004B7CE0" w:rsidRDefault="00CA26BA" w:rsidP="006B0E20">
            <w:pPr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5" w:type="pct"/>
            <w:vAlign w:val="center"/>
          </w:tcPr>
          <w:p w:rsidR="00CA26BA" w:rsidRPr="004B7CE0" w:rsidRDefault="00CA26BA" w:rsidP="006B0E20">
            <w:pPr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CA26BA" w:rsidRPr="004B7CE0" w:rsidRDefault="00CA26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CA26BA" w:rsidRPr="004B7CE0" w:rsidRDefault="00CA26BA" w:rsidP="00E55A84">
      <w:pPr>
        <w:pStyle w:val="Default"/>
        <w:spacing w:after="14"/>
        <w:rPr>
          <w:rFonts w:ascii="Calibri" w:hAnsi="Calibri" w:cs="Calibri"/>
          <w:sz w:val="20"/>
          <w:szCs w:val="20"/>
        </w:rPr>
      </w:pPr>
      <w:r w:rsidRPr="004B7CE0">
        <w:rPr>
          <w:rFonts w:ascii="Calibri" w:hAnsi="Calibri" w:cs="Calibri"/>
          <w:sz w:val="20"/>
          <w:szCs w:val="20"/>
        </w:rPr>
        <w:t>b) Informácie o záväzkoch s obmedzeným právom  nakladania</w:t>
      </w:r>
    </w:p>
    <w:p w:rsidR="00CA26BA" w:rsidRPr="004B7CE0" w:rsidRDefault="00CA26BA" w:rsidP="00E55A84">
      <w:pPr>
        <w:pStyle w:val="Default"/>
        <w:rPr>
          <w:rFonts w:ascii="Calibri" w:hAnsi="Calibri" w:cs="Calibri"/>
          <w:sz w:val="20"/>
          <w:szCs w:val="20"/>
        </w:rPr>
      </w:pPr>
    </w:p>
    <w:p w:rsidR="00CA26BA" w:rsidRPr="004B7CE0" w:rsidRDefault="00CA26BA" w:rsidP="00E55A84">
      <w:pPr>
        <w:pStyle w:val="Default"/>
        <w:rPr>
          <w:rFonts w:ascii="Calibri" w:hAnsi="Calibri" w:cs="Calibri"/>
          <w:sz w:val="20"/>
          <w:szCs w:val="20"/>
        </w:rPr>
      </w:pPr>
      <w:r w:rsidRPr="004B7CE0">
        <w:rPr>
          <w:rFonts w:ascii="Calibri" w:hAnsi="Calibri" w:cs="Calibri"/>
          <w:sz w:val="20"/>
          <w:szCs w:val="20"/>
        </w:rPr>
        <w:t>Účtovná jednotka nemá záväzky s obmedzeným právom nakladania.</w:t>
      </w:r>
    </w:p>
    <w:p w:rsidR="00CA26BA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Pr="00442811" w:rsidRDefault="00CA26BA" w:rsidP="00442811">
      <w:pPr>
        <w:pStyle w:val="Default"/>
        <w:rPr>
          <w:rFonts w:ascii="Calibri" w:hAnsi="Calibri" w:cs="Calibri"/>
          <w:sz w:val="20"/>
          <w:szCs w:val="20"/>
        </w:rPr>
      </w:pPr>
    </w:p>
    <w:p w:rsidR="00CA26BA" w:rsidRDefault="00CA26BA" w:rsidP="00442811">
      <w:pPr>
        <w:pStyle w:val="Default"/>
        <w:spacing w:after="14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(4) Účtovná jednotka neúčtovala o vlastných podieloch.</w:t>
      </w:r>
    </w:p>
    <w:p w:rsidR="00CA26BA" w:rsidRPr="00442811" w:rsidRDefault="00CA26BA" w:rsidP="00442811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CA26BA" w:rsidRPr="0017431E" w:rsidRDefault="00CA26BA" w:rsidP="002E0DFF">
      <w:pPr>
        <w:pStyle w:val="Default"/>
        <w:spacing w:after="14"/>
        <w:rPr>
          <w:rFonts w:ascii="Calibri" w:hAnsi="Calibri"/>
          <w:sz w:val="20"/>
          <w:szCs w:val="20"/>
        </w:rPr>
      </w:pPr>
      <w:r w:rsidRPr="0017431E">
        <w:rPr>
          <w:rFonts w:ascii="Calibri" w:hAnsi="Calibri"/>
          <w:sz w:val="20"/>
          <w:szCs w:val="20"/>
        </w:rPr>
        <w:t>(5) Informácie k vlastnému imaniu</w:t>
      </w:r>
    </w:p>
    <w:p w:rsidR="00CA26BA" w:rsidRPr="0017431E" w:rsidRDefault="00CA26BA" w:rsidP="002E0DFF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CA26BA" w:rsidRPr="0017431E" w:rsidRDefault="00CA26BA" w:rsidP="002E0DFF">
      <w:pPr>
        <w:pStyle w:val="Default"/>
        <w:spacing w:after="14"/>
        <w:jc w:val="both"/>
        <w:rPr>
          <w:rFonts w:ascii="Calibri" w:hAnsi="Calibri"/>
          <w:sz w:val="20"/>
          <w:szCs w:val="20"/>
        </w:rPr>
      </w:pPr>
      <w:r w:rsidRPr="0017431E">
        <w:rPr>
          <w:rFonts w:ascii="Calibri" w:hAnsi="Calibri"/>
          <w:sz w:val="20"/>
          <w:szCs w:val="20"/>
        </w:rPr>
        <w:t xml:space="preserve">Účtovná jednotka netvorila </w:t>
      </w:r>
      <w:bookmarkStart w:id="0" w:name="_GoBack"/>
      <w:bookmarkEnd w:id="0"/>
      <w:r w:rsidRPr="0017431E">
        <w:rPr>
          <w:rFonts w:ascii="Calibri" w:hAnsi="Calibri"/>
          <w:sz w:val="20"/>
          <w:szCs w:val="20"/>
        </w:rPr>
        <w:t>kapitálový fond z príspevkov podľa § 123 ods. 2  a § 217a Obchodného zákonníka v znení neskorších predpisov.</w:t>
      </w:r>
    </w:p>
    <w:p w:rsidR="00CA26BA" w:rsidRDefault="00CA26BA" w:rsidP="00442811">
      <w:pPr>
        <w:pStyle w:val="Default"/>
        <w:rPr>
          <w:rFonts w:ascii="Calibri" w:hAnsi="Calibri"/>
          <w:sz w:val="20"/>
          <w:szCs w:val="20"/>
        </w:rPr>
      </w:pPr>
    </w:p>
    <w:p w:rsidR="00CA26BA" w:rsidRPr="00442811" w:rsidRDefault="00CA26BA" w:rsidP="00442811">
      <w:pPr>
        <w:pStyle w:val="Default"/>
        <w:rPr>
          <w:rFonts w:ascii="Calibri" w:hAnsi="Calibri"/>
          <w:sz w:val="20"/>
          <w:szCs w:val="20"/>
        </w:rPr>
      </w:pPr>
    </w:p>
    <w:p w:rsidR="00CA26BA" w:rsidRPr="00442811" w:rsidRDefault="00CA26BA" w:rsidP="00442811">
      <w:pPr>
        <w:pStyle w:val="Default"/>
        <w:jc w:val="both"/>
        <w:rPr>
          <w:rFonts w:ascii="Calibri" w:hAnsi="Calibri"/>
          <w:sz w:val="20"/>
          <w:szCs w:val="20"/>
        </w:rPr>
      </w:pPr>
      <w:r w:rsidRPr="0017431E">
        <w:rPr>
          <w:rFonts w:ascii="Calibri" w:hAnsi="Calibri"/>
          <w:sz w:val="20"/>
          <w:szCs w:val="20"/>
        </w:rPr>
        <w:t>(6)</w:t>
      </w:r>
      <w:r w:rsidRPr="00442811">
        <w:rPr>
          <w:rFonts w:ascii="Calibri" w:hAnsi="Calibri"/>
          <w:sz w:val="20"/>
          <w:szCs w:val="20"/>
        </w:rPr>
        <w:t xml:space="preserve"> Účtovná jednotka v sledovanom období neúčtovala o nákladoch alebo výnosoch, ktoré majú výnimočný rozsah alebo výskyt (predaj podniku, živelné pohromy a podobne).</w:t>
      </w:r>
    </w:p>
    <w:p w:rsidR="00CA26BA" w:rsidRPr="00442811" w:rsidRDefault="00CA26BA" w:rsidP="00442811">
      <w:pPr>
        <w:pStyle w:val="Default"/>
        <w:jc w:val="both"/>
        <w:rPr>
          <w:rFonts w:ascii="Calibri" w:hAnsi="Calibri"/>
          <w:color w:val="FF0000"/>
          <w:sz w:val="20"/>
          <w:szCs w:val="20"/>
        </w:rPr>
      </w:pPr>
    </w:p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441AF2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</w:t>
      </w:r>
    </w:p>
    <w:p w:rsidR="00CA26BA" w:rsidRPr="004B7CE0" w:rsidRDefault="00CA26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iných aktívach a iných pasívach</w:t>
      </w:r>
    </w:p>
    <w:p w:rsidR="00CA26BA" w:rsidRPr="004B7CE0" w:rsidRDefault="00CA26BA" w:rsidP="006B0E2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CA26BA" w:rsidRPr="004B7CE0" w:rsidRDefault="00CA26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(1) Informácie o iných aktívach a iných pasívach: </w:t>
      </w:r>
    </w:p>
    <w:p w:rsidR="00CA26BA" w:rsidRPr="004B7CE0" w:rsidRDefault="00CA26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CA26BA" w:rsidRPr="004B7CE0" w:rsidRDefault="00CA26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a) Informácie o podmienenom majetku</w:t>
      </w:r>
    </w:p>
    <w:p w:rsidR="00CA26BA" w:rsidRPr="004B7CE0" w:rsidRDefault="00CA26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CA26BA" w:rsidRPr="004B7CE0" w:rsidRDefault="00CA26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 žiadnom podmienenom majetok, ktorý sa nevykazujú v súvahe.</w:t>
      </w:r>
    </w:p>
    <w:p w:rsidR="00CA26BA" w:rsidRPr="004B7CE0" w:rsidRDefault="00CA26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CA26BA" w:rsidRPr="004B7CE0" w:rsidRDefault="00CA26BA" w:rsidP="006B0E20">
      <w:pPr>
        <w:pStyle w:val="Title"/>
        <w:keepNext w:val="0"/>
        <w:widowControl w:val="0"/>
        <w:spacing w:before="0" w:beforeAutospacing="0" w:after="0"/>
        <w:jc w:val="lef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t>b) Informácie o podmienených záväzkoch</w:t>
      </w:r>
    </w:p>
    <w:p w:rsidR="00CA26BA" w:rsidRPr="004B7CE0" w:rsidRDefault="00CA26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CA26BA" w:rsidRPr="004B7CE0" w:rsidRDefault="00CA26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podmienených záväzkoch spoločnosti.</w:t>
      </w:r>
    </w:p>
    <w:p w:rsidR="00CA26BA" w:rsidRPr="004B7CE0" w:rsidRDefault="00CA26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CA26BA" w:rsidRPr="004B7CE0" w:rsidRDefault="00CA26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(2) Informácia o ostatných finančných povinnostiach, ktoré sa nevykazujú v účtovných výkazoch </w:t>
      </w:r>
    </w:p>
    <w:p w:rsidR="00CA26BA" w:rsidRPr="004B7CE0" w:rsidRDefault="00CA26BA" w:rsidP="006B0E20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finančných povinnostiach, ktoré sa nevykazujú v účtovnej závierke.</w:t>
      </w:r>
    </w:p>
    <w:p w:rsidR="00CA26BA" w:rsidRPr="004B7CE0" w:rsidRDefault="00CA26BA" w:rsidP="006B0E20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6B0E20">
      <w:pPr>
        <w:pStyle w:val="Default"/>
        <w:rPr>
          <w:rFonts w:ascii="Calibri" w:hAnsi="Calibri"/>
          <w:sz w:val="20"/>
          <w:szCs w:val="20"/>
        </w:rPr>
      </w:pPr>
    </w:p>
    <w:p w:rsidR="00CA26BA" w:rsidRPr="004B7CE0" w:rsidRDefault="00CA26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ku skutočnostiam sledovaným na podsúvahových účtoch  </w:t>
      </w:r>
    </w:p>
    <w:p w:rsidR="00CA26BA" w:rsidRPr="004B7CE0" w:rsidRDefault="00CA26BA" w:rsidP="004B7CE0">
      <w:pPr>
        <w:pStyle w:val="Default"/>
        <w:rPr>
          <w:rFonts w:ascii="Calibri" w:hAnsi="Calibri" w:cs="Calibri"/>
          <w:b/>
          <w:sz w:val="20"/>
          <w:szCs w:val="20"/>
        </w:rPr>
      </w:pPr>
    </w:p>
    <w:p w:rsidR="00CA26BA" w:rsidRPr="004B7CE0" w:rsidRDefault="00CA26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nemá žiadny majetok, ktorý by evidovala na podsúvahových účtoch.</w:t>
      </w:r>
    </w:p>
    <w:p w:rsidR="00CA26BA" w:rsidRPr="004B7CE0" w:rsidRDefault="00CA26BA" w:rsidP="00441AF2">
      <w:pPr>
        <w:pStyle w:val="Default"/>
        <w:jc w:val="center"/>
        <w:rPr>
          <w:rFonts w:ascii="Calibri" w:hAnsi="Calibri"/>
          <w:bCs/>
          <w:sz w:val="20"/>
          <w:szCs w:val="20"/>
        </w:rPr>
      </w:pPr>
    </w:p>
    <w:p w:rsidR="00CA26BA" w:rsidRPr="004B7CE0" w:rsidRDefault="00CA26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CA26BA" w:rsidRPr="004B7CE0" w:rsidRDefault="00CA26BA" w:rsidP="004B7CE0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VI</w:t>
      </w:r>
    </w:p>
    <w:p w:rsidR="00CA26BA" w:rsidRPr="004B7CE0" w:rsidRDefault="00CA26BA" w:rsidP="004B7CE0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Udalosti, ktoré nastali po dni, ku ktorému sa zostavuje účtovná závierka</w:t>
      </w:r>
    </w:p>
    <w:p w:rsidR="00CA26BA" w:rsidRPr="004B7CE0" w:rsidRDefault="00CA26BA" w:rsidP="004B7CE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CA26BA" w:rsidRPr="004B7CE0" w:rsidRDefault="00CA26BA" w:rsidP="004B7CE0">
      <w:pPr>
        <w:pStyle w:val="Default"/>
        <w:jc w:val="both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V účtovnej jednotke nenastali od 31.12.</w:t>
      </w:r>
      <w:r>
        <w:rPr>
          <w:rFonts w:ascii="Calibri" w:hAnsi="Calibri"/>
          <w:sz w:val="20"/>
          <w:szCs w:val="20"/>
        </w:rPr>
        <w:t>2018 do  21.03.2019</w:t>
      </w:r>
      <w:r w:rsidRPr="004B7CE0">
        <w:rPr>
          <w:rFonts w:ascii="Calibri" w:hAnsi="Calibri"/>
          <w:sz w:val="20"/>
          <w:szCs w:val="20"/>
        </w:rPr>
        <w:t xml:space="preserve"> žiadne významné udalosti, ktoré by neboli zohľadnené v účtovnej závierke</w:t>
      </w:r>
      <w:r>
        <w:rPr>
          <w:rFonts w:ascii="Calibri" w:hAnsi="Calibri"/>
          <w:sz w:val="20"/>
          <w:szCs w:val="20"/>
        </w:rPr>
        <w:t xml:space="preserve"> a žiadali by si úpravu účtovnej závierky</w:t>
      </w:r>
      <w:r w:rsidRPr="004B7CE0">
        <w:rPr>
          <w:rFonts w:ascii="Calibri" w:hAnsi="Calibri"/>
          <w:sz w:val="20"/>
          <w:szCs w:val="20"/>
        </w:rPr>
        <w:t>.</w:t>
      </w:r>
    </w:p>
    <w:p w:rsidR="00CA26BA" w:rsidRPr="004B7CE0" w:rsidRDefault="00CA26BA" w:rsidP="004B7CE0">
      <w:pPr>
        <w:rPr>
          <w:rFonts w:ascii="Calibri" w:hAnsi="Calibri"/>
          <w:color w:val="000000"/>
          <w:sz w:val="20"/>
          <w:szCs w:val="20"/>
        </w:rPr>
      </w:pPr>
    </w:p>
    <w:sectPr w:rsidR="00CA26BA" w:rsidRPr="004B7CE0" w:rsidSect="00212BA4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26BA" w:rsidRDefault="00CA26BA" w:rsidP="00441AF2">
      <w:r>
        <w:separator/>
      </w:r>
    </w:p>
  </w:endnote>
  <w:endnote w:type="continuationSeparator" w:id="0">
    <w:p w:rsidR="00CA26BA" w:rsidRDefault="00CA26BA" w:rsidP="00441A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26BA" w:rsidRDefault="00CA26BA" w:rsidP="00441AF2">
      <w:r>
        <w:separator/>
      </w:r>
    </w:p>
  </w:footnote>
  <w:footnote w:type="continuationSeparator" w:id="0">
    <w:p w:rsidR="00CA26BA" w:rsidRDefault="00CA26BA" w:rsidP="00441A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20" w:type="dxa"/>
      <w:tblInd w:w="51" w:type="dxa"/>
      <w:tblCellMar>
        <w:left w:w="70" w:type="dxa"/>
        <w:right w:w="70" w:type="dxa"/>
      </w:tblCellMar>
      <w:tblLook w:val="00A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65"/>
      <w:gridCol w:w="295"/>
      <w:gridCol w:w="302"/>
      <w:gridCol w:w="302"/>
      <w:gridCol w:w="302"/>
      <w:gridCol w:w="302"/>
      <w:gridCol w:w="280"/>
      <w:gridCol w:w="302"/>
      <w:gridCol w:w="302"/>
      <w:gridCol w:w="302"/>
    </w:tblGrid>
    <w:tr w:rsidR="00CA26BA" w:rsidRPr="009F61B1" w:rsidTr="009F61B1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Poznámky Úč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 xml:space="preserve">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</w:tr>
    <w:tr w:rsidR="00CA26BA" w:rsidRPr="009F61B1" w:rsidTr="009F61B1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b/>
              <w:bCs/>
              <w:color w:val="990099"/>
              <w:lang w:eastAsia="sk-SK"/>
            </w:rPr>
          </w:pPr>
          <w:r w:rsidRPr="009F61B1">
            <w:rPr>
              <w:b/>
              <w:bCs/>
              <w:color w:val="990099"/>
              <w:szCs w:val="22"/>
              <w:lang w:eastAsia="sk-SK"/>
            </w:rPr>
            <w:t xml:space="preserve">                                                 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9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CA26BA" w:rsidRPr="009F61B1" w:rsidTr="009F61B1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26BA" w:rsidRPr="009F61B1" w:rsidRDefault="00CA26BA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6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</w:tr>
  </w:tbl>
  <w:p w:rsidR="00CA26BA" w:rsidRPr="009F61B1" w:rsidRDefault="00CA26BA" w:rsidP="009F61B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5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9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1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3">
    <w:nsid w:val="6BF44AD2"/>
    <w:multiLevelType w:val="hybridMultilevel"/>
    <w:tmpl w:val="316EC8C6"/>
    <w:lvl w:ilvl="0" w:tplc="8C7285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3"/>
  </w:num>
  <w:num w:numId="3">
    <w:abstractNumId w:val="16"/>
  </w:num>
  <w:num w:numId="4">
    <w:abstractNumId w:val="6"/>
  </w:num>
  <w:num w:numId="5">
    <w:abstractNumId w:val="20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0"/>
  </w:num>
  <w:num w:numId="11">
    <w:abstractNumId w:val="2"/>
  </w:num>
  <w:num w:numId="12">
    <w:abstractNumId w:val="3"/>
  </w:num>
  <w:num w:numId="13">
    <w:abstractNumId w:val="24"/>
  </w:num>
  <w:num w:numId="14">
    <w:abstractNumId w:val="19"/>
  </w:num>
  <w:num w:numId="15">
    <w:abstractNumId w:val="12"/>
  </w:num>
  <w:num w:numId="16">
    <w:abstractNumId w:val="14"/>
  </w:num>
  <w:num w:numId="17">
    <w:abstractNumId w:val="18"/>
  </w:num>
  <w:num w:numId="18">
    <w:abstractNumId w:val="8"/>
  </w:num>
  <w:num w:numId="19">
    <w:abstractNumId w:val="15"/>
  </w:num>
  <w:num w:numId="20">
    <w:abstractNumId w:val="9"/>
  </w:num>
  <w:num w:numId="21">
    <w:abstractNumId w:val="17"/>
  </w:num>
  <w:num w:numId="22">
    <w:abstractNumId w:val="22"/>
  </w:num>
  <w:num w:numId="23">
    <w:abstractNumId w:val="11"/>
  </w:num>
  <w:num w:numId="24">
    <w:abstractNumId w:val="21"/>
  </w:num>
  <w:num w:numId="25">
    <w:abstractNumId w:val="25"/>
  </w:num>
  <w:num w:numId="26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41AF2"/>
    <w:rsid w:val="00010710"/>
    <w:rsid w:val="00074784"/>
    <w:rsid w:val="000A1D0F"/>
    <w:rsid w:val="000B2B1A"/>
    <w:rsid w:val="000D2E75"/>
    <w:rsid w:val="000E14EA"/>
    <w:rsid w:val="0012750D"/>
    <w:rsid w:val="00142F6C"/>
    <w:rsid w:val="0017431E"/>
    <w:rsid w:val="00190459"/>
    <w:rsid w:val="001C61D8"/>
    <w:rsid w:val="00212BA4"/>
    <w:rsid w:val="00220DA6"/>
    <w:rsid w:val="00253A6A"/>
    <w:rsid w:val="002661EB"/>
    <w:rsid w:val="00273D32"/>
    <w:rsid w:val="00275FF4"/>
    <w:rsid w:val="002D40DE"/>
    <w:rsid w:val="002E0DFF"/>
    <w:rsid w:val="002E44C9"/>
    <w:rsid w:val="00301869"/>
    <w:rsid w:val="00333028"/>
    <w:rsid w:val="003600BE"/>
    <w:rsid w:val="00366351"/>
    <w:rsid w:val="003A7002"/>
    <w:rsid w:val="003A79C6"/>
    <w:rsid w:val="003C5BEE"/>
    <w:rsid w:val="0043124E"/>
    <w:rsid w:val="004374B8"/>
    <w:rsid w:val="00441AF2"/>
    <w:rsid w:val="00442811"/>
    <w:rsid w:val="00461256"/>
    <w:rsid w:val="004B7CE0"/>
    <w:rsid w:val="0052170C"/>
    <w:rsid w:val="00553664"/>
    <w:rsid w:val="00563B73"/>
    <w:rsid w:val="00581469"/>
    <w:rsid w:val="00583338"/>
    <w:rsid w:val="00583F40"/>
    <w:rsid w:val="00585CCB"/>
    <w:rsid w:val="005948D2"/>
    <w:rsid w:val="005A6484"/>
    <w:rsid w:val="005C392C"/>
    <w:rsid w:val="005C6959"/>
    <w:rsid w:val="00612041"/>
    <w:rsid w:val="00620BB9"/>
    <w:rsid w:val="00622B21"/>
    <w:rsid w:val="006431D6"/>
    <w:rsid w:val="00651D9D"/>
    <w:rsid w:val="00675EC3"/>
    <w:rsid w:val="006B0E20"/>
    <w:rsid w:val="006B195D"/>
    <w:rsid w:val="006E4E4B"/>
    <w:rsid w:val="006F41FE"/>
    <w:rsid w:val="007059BA"/>
    <w:rsid w:val="00730B3A"/>
    <w:rsid w:val="007D2049"/>
    <w:rsid w:val="007D375C"/>
    <w:rsid w:val="00801A95"/>
    <w:rsid w:val="0084400C"/>
    <w:rsid w:val="0085056D"/>
    <w:rsid w:val="008906CD"/>
    <w:rsid w:val="00892E0F"/>
    <w:rsid w:val="008A2F08"/>
    <w:rsid w:val="008C400B"/>
    <w:rsid w:val="008E557B"/>
    <w:rsid w:val="008E7EEE"/>
    <w:rsid w:val="008F5CC3"/>
    <w:rsid w:val="00946390"/>
    <w:rsid w:val="00967D81"/>
    <w:rsid w:val="009704B3"/>
    <w:rsid w:val="00976B58"/>
    <w:rsid w:val="009F61B1"/>
    <w:rsid w:val="00A01316"/>
    <w:rsid w:val="00A1376D"/>
    <w:rsid w:val="00A31AB9"/>
    <w:rsid w:val="00A374EC"/>
    <w:rsid w:val="00A87CD4"/>
    <w:rsid w:val="00AA691F"/>
    <w:rsid w:val="00B37424"/>
    <w:rsid w:val="00B47B33"/>
    <w:rsid w:val="00B50225"/>
    <w:rsid w:val="00B83CDD"/>
    <w:rsid w:val="00BE73E7"/>
    <w:rsid w:val="00BE78B3"/>
    <w:rsid w:val="00BF61D0"/>
    <w:rsid w:val="00C1193D"/>
    <w:rsid w:val="00C16D61"/>
    <w:rsid w:val="00C839EE"/>
    <w:rsid w:val="00C87337"/>
    <w:rsid w:val="00CA26BA"/>
    <w:rsid w:val="00D11923"/>
    <w:rsid w:val="00D17B01"/>
    <w:rsid w:val="00D354AC"/>
    <w:rsid w:val="00D46368"/>
    <w:rsid w:val="00D61BB5"/>
    <w:rsid w:val="00D63024"/>
    <w:rsid w:val="00D967DB"/>
    <w:rsid w:val="00D97DF3"/>
    <w:rsid w:val="00DB3AAE"/>
    <w:rsid w:val="00DF4549"/>
    <w:rsid w:val="00DF5477"/>
    <w:rsid w:val="00E10F92"/>
    <w:rsid w:val="00E55A84"/>
    <w:rsid w:val="00E57406"/>
    <w:rsid w:val="00EA3DE6"/>
    <w:rsid w:val="00EC17AA"/>
    <w:rsid w:val="00F10ED7"/>
    <w:rsid w:val="00F1619E"/>
    <w:rsid w:val="00F245F8"/>
    <w:rsid w:val="00F35E8B"/>
    <w:rsid w:val="00F518C5"/>
    <w:rsid w:val="00F96D84"/>
    <w:rsid w:val="00FE48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61B1"/>
    <w:rPr>
      <w:rFonts w:ascii="Arial Narrow" w:eastAsia="Times New Roman" w:hAnsi="Arial Narrow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B0E20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Default">
    <w:name w:val="Default"/>
    <w:uiPriority w:val="99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41AF2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41AF2"/>
    <w:rPr>
      <w:rFonts w:cs="Times New Roman"/>
    </w:rPr>
  </w:style>
  <w:style w:type="paragraph" w:styleId="ListParagraph">
    <w:name w:val="List Paragraph"/>
    <w:basedOn w:val="Normal"/>
    <w:uiPriority w:val="99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al"/>
    <w:uiPriority w:val="99"/>
    <w:rsid w:val="00301869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018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al"/>
    <w:uiPriority w:val="99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6B0E20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ra">
    <w:name w:val="ra"/>
    <w:basedOn w:val="DefaultParagraphFont"/>
    <w:uiPriority w:val="99"/>
    <w:rsid w:val="006F41FE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585CC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85CC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9571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5</Pages>
  <Words>1619</Words>
  <Characters>9232</Characters>
  <Application>Microsoft Office Outlook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Emilia Kukucova</dc:creator>
  <cp:keywords/>
  <dc:description/>
  <cp:lastModifiedBy>m1</cp:lastModifiedBy>
  <cp:revision>3</cp:revision>
  <cp:lastPrinted>2018-03-29T08:20:00Z</cp:lastPrinted>
  <dcterms:created xsi:type="dcterms:W3CDTF">2019-03-26T09:44:00Z</dcterms:created>
  <dcterms:modified xsi:type="dcterms:W3CDTF">2019-03-26T09:50:00Z</dcterms:modified>
</cp:coreProperties>
</file>