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7" w:rsidRPr="00F4089F" w:rsidRDefault="00096378" w:rsidP="00AD7E9F">
      <w:pPr>
        <w:pStyle w:val="Nadpis1"/>
        <w:ind w:left="360"/>
        <w:rPr>
          <w:rFonts w:ascii="Franklin Gothic Book" w:hAnsi="Franklin Gothic Book"/>
          <w:smallCaps/>
          <w:sz w:val="36"/>
          <w:szCs w:val="36"/>
        </w:rPr>
      </w:pPr>
      <w:r w:rsidRPr="00F4089F">
        <w:rPr>
          <w:rFonts w:ascii="Franklin Gothic Book" w:hAnsi="Franklin Gothic Book"/>
          <w:smallCaps/>
          <w:sz w:val="36"/>
          <w:szCs w:val="36"/>
        </w:rPr>
        <w:t>Všeobecné údaje</w:t>
      </w:r>
    </w:p>
    <w:p w:rsidR="00096378" w:rsidRDefault="00096378" w:rsidP="00096378"/>
    <w:p w:rsidR="00096378" w:rsidRPr="00F4089F" w:rsidRDefault="001616B9" w:rsidP="00096378">
      <w:pPr>
        <w:pStyle w:val="Nadpis3"/>
        <w:rPr>
          <w:rFonts w:ascii="Franklin Gothic Book" w:hAnsi="Franklin Gothic Book"/>
          <w:smallCaps/>
          <w:color w:val="auto"/>
        </w:rPr>
      </w:pPr>
      <w:r>
        <w:rPr>
          <w:rFonts w:ascii="Franklin Gothic Book" w:hAnsi="Franklin Gothic Book"/>
          <w:smallCaps/>
          <w:color w:val="auto"/>
        </w:rPr>
        <w:t>Obchodné meno a sídlo spoločnosti</w:t>
      </w:r>
    </w:p>
    <w:p w:rsidR="00B45B0E" w:rsidRDefault="001616B9" w:rsidP="00096378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EIP </w:t>
      </w:r>
      <w:proofErr w:type="spellStart"/>
      <w:r w:rsidR="00931FFB">
        <w:rPr>
          <w:rFonts w:ascii="Franklin Gothic Book" w:hAnsi="Franklin Gothic Book"/>
          <w:sz w:val="20"/>
          <w:szCs w:val="20"/>
        </w:rPr>
        <w:t>Invest</w:t>
      </w:r>
      <w:proofErr w:type="spellEnd"/>
      <w:r>
        <w:rPr>
          <w:rFonts w:ascii="Franklin Gothic Book" w:hAnsi="Franklin Gothic Book"/>
          <w:sz w:val="20"/>
          <w:szCs w:val="20"/>
        </w:rPr>
        <w:t>, s.r.o.</w:t>
      </w:r>
    </w:p>
    <w:p w:rsidR="001616B9" w:rsidRDefault="001616B9" w:rsidP="00096378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Na </w:t>
      </w:r>
      <w:proofErr w:type="spellStart"/>
      <w:r>
        <w:rPr>
          <w:rFonts w:ascii="Franklin Gothic Book" w:hAnsi="Franklin Gothic Book"/>
          <w:sz w:val="20"/>
          <w:szCs w:val="20"/>
        </w:rPr>
        <w:t>Šefranici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1280/8</w:t>
      </w:r>
    </w:p>
    <w:p w:rsidR="001616B9" w:rsidRDefault="001616B9" w:rsidP="00096378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010 01 </w:t>
      </w:r>
      <w:proofErr w:type="spellStart"/>
      <w:r>
        <w:rPr>
          <w:rFonts w:ascii="Franklin Gothic Book" w:hAnsi="Franklin Gothic Book"/>
          <w:sz w:val="20"/>
          <w:szCs w:val="20"/>
        </w:rPr>
        <w:t>ŽIlina</w:t>
      </w:r>
      <w:proofErr w:type="spellEnd"/>
    </w:p>
    <w:p w:rsidR="00096378" w:rsidRPr="00F4089F" w:rsidRDefault="00096378" w:rsidP="00096378">
      <w:pPr>
        <w:pStyle w:val="Nadpis3"/>
        <w:rPr>
          <w:smallCaps/>
          <w:color w:val="auto"/>
        </w:rPr>
      </w:pPr>
      <w:r w:rsidRPr="00F4089F">
        <w:rPr>
          <w:smallCaps/>
          <w:color w:val="auto"/>
        </w:rPr>
        <w:t>Informácie o konsolidovanom celku</w:t>
      </w:r>
    </w:p>
    <w:p w:rsidR="00096378" w:rsidRPr="00472B51" w:rsidRDefault="00096378" w:rsidP="00096378">
      <w:pPr>
        <w:rPr>
          <w:rFonts w:ascii="Franklin Gothic Book" w:hAnsi="Franklin Gothic Book"/>
          <w:sz w:val="20"/>
          <w:szCs w:val="20"/>
        </w:rPr>
      </w:pPr>
      <w:r w:rsidRPr="00472B51">
        <w:rPr>
          <w:rFonts w:ascii="Franklin Gothic Book" w:hAnsi="Franklin Gothic Book"/>
          <w:sz w:val="20"/>
          <w:szCs w:val="20"/>
        </w:rPr>
        <w:t>Spoločnosť nie je súčasťou konsolidovaného celku inej obchodnej spoločnosti.</w:t>
      </w:r>
    </w:p>
    <w:p w:rsidR="00096378" w:rsidRPr="00F4089F" w:rsidRDefault="00096378" w:rsidP="00096378">
      <w:pPr>
        <w:pStyle w:val="Nadpis3"/>
        <w:rPr>
          <w:smallCaps/>
          <w:color w:val="auto"/>
        </w:rPr>
      </w:pPr>
      <w:r w:rsidRPr="00F4089F">
        <w:rPr>
          <w:smallCaps/>
          <w:color w:val="auto"/>
        </w:rPr>
        <w:t>Údaje o počte zamestnancov</w:t>
      </w:r>
    </w:p>
    <w:p w:rsidR="00096378" w:rsidRPr="001616B9" w:rsidRDefault="001616B9" w:rsidP="00096378">
      <w:pPr>
        <w:rPr>
          <w:rFonts w:ascii="Franklin Gothic Book" w:hAnsi="Franklin Gothic Book"/>
          <w:sz w:val="20"/>
          <w:szCs w:val="20"/>
        </w:rPr>
      </w:pPr>
      <w:r w:rsidRPr="001616B9">
        <w:rPr>
          <w:rFonts w:ascii="Franklin Gothic Book" w:hAnsi="Franklin Gothic Book"/>
          <w:sz w:val="20"/>
          <w:szCs w:val="20"/>
        </w:rPr>
        <w:t>Priemerný prepočítaný počet zamestnancov: 0</w:t>
      </w:r>
    </w:p>
    <w:p w:rsidR="004F294D" w:rsidRPr="00F4089F" w:rsidRDefault="004F294D" w:rsidP="00AD7E9F">
      <w:pPr>
        <w:pStyle w:val="Nadpis1"/>
        <w:ind w:left="360"/>
        <w:rPr>
          <w:rFonts w:ascii="Franklin Gothic Book" w:hAnsi="Franklin Gothic Book"/>
          <w:smallCaps/>
          <w:sz w:val="36"/>
          <w:szCs w:val="36"/>
        </w:rPr>
      </w:pPr>
      <w:r w:rsidRPr="00F4089F">
        <w:rPr>
          <w:rFonts w:ascii="Franklin Gothic Book" w:hAnsi="Franklin Gothic Book"/>
          <w:smallCaps/>
          <w:sz w:val="36"/>
          <w:szCs w:val="36"/>
        </w:rPr>
        <w:t>Informácie o prijatých postupoch</w:t>
      </w:r>
    </w:p>
    <w:p w:rsidR="004F294D" w:rsidRDefault="004F294D" w:rsidP="004F294D"/>
    <w:p w:rsidR="004F294D" w:rsidRPr="001616B9" w:rsidRDefault="001616B9" w:rsidP="001616B9">
      <w:pPr>
        <w:pStyle w:val="Bezriadkovania"/>
        <w:numPr>
          <w:ilvl w:val="0"/>
          <w:numId w:val="7"/>
        </w:numPr>
        <w:rPr>
          <w:rFonts w:ascii="Franklin Gothic Book" w:hAnsi="Franklin Gothic Book"/>
        </w:rPr>
      </w:pPr>
      <w:r w:rsidRPr="001616B9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Východiská pre zostavenie účtovnej závierky</w:t>
      </w:r>
      <w:r>
        <w:rPr>
          <w:rFonts w:ascii="Franklin Gothic Book" w:hAnsi="Franklin Gothic Book"/>
          <w:b/>
          <w:color w:val="365F91" w:themeColor="accent1" w:themeShade="BF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r w:rsidR="004F294D" w:rsidRPr="00F4089F">
        <w:rPr>
          <w:rFonts w:ascii="Franklin Gothic Book" w:hAnsi="Franklin Gothic Book"/>
          <w:sz w:val="20"/>
          <w:szCs w:val="20"/>
        </w:rPr>
        <w:t>Účtovná závierka bola zostavená za predpokladu nepre</w:t>
      </w:r>
      <w:r w:rsidR="00472B51" w:rsidRPr="00F4089F">
        <w:rPr>
          <w:rFonts w:ascii="Franklin Gothic Book" w:hAnsi="Franklin Gothic Book"/>
          <w:sz w:val="20"/>
          <w:szCs w:val="20"/>
        </w:rPr>
        <w:t>tržitého trvania Spoločnosti (</w:t>
      </w:r>
      <w:proofErr w:type="spellStart"/>
      <w:r w:rsidR="00472B51" w:rsidRPr="00F4089F">
        <w:rPr>
          <w:rFonts w:ascii="Franklin Gothic Book" w:hAnsi="Franklin Gothic Book"/>
          <w:sz w:val="20"/>
          <w:szCs w:val="20"/>
        </w:rPr>
        <w:t>going</w:t>
      </w:r>
      <w:proofErr w:type="spellEnd"/>
      <w:r w:rsidR="00472B51" w:rsidRPr="00F4089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472B51" w:rsidRPr="00F4089F">
        <w:rPr>
          <w:rFonts w:ascii="Franklin Gothic Book" w:hAnsi="Franklin Gothic Book"/>
          <w:sz w:val="20"/>
          <w:szCs w:val="20"/>
        </w:rPr>
        <w:t>concern</w:t>
      </w:r>
      <w:proofErr w:type="spellEnd"/>
      <w:r w:rsidR="00472B51" w:rsidRPr="00F4089F">
        <w:rPr>
          <w:rFonts w:ascii="Franklin Gothic Book" w:hAnsi="Franklin Gothic Book"/>
          <w:sz w:val="20"/>
          <w:szCs w:val="20"/>
        </w:rPr>
        <w:t>).</w:t>
      </w:r>
      <w:r w:rsidR="00F4089F">
        <w:rPr>
          <w:rFonts w:ascii="Franklin Gothic Book" w:hAnsi="Franklin Gothic Book"/>
        </w:rPr>
        <w:br/>
      </w:r>
      <w:r w:rsidR="004F294D" w:rsidRPr="00F4089F">
        <w:rPr>
          <w:rFonts w:ascii="Franklin Gothic Book" w:hAnsi="Franklin Gothic Book"/>
          <w:sz w:val="20"/>
          <w:szCs w:val="20"/>
        </w:rPr>
        <w:t>Účtovné metódy a všeobecné účtovné zásady boli účtovnou jednotkou konzistentne aplikované.</w:t>
      </w:r>
      <w:r>
        <w:rPr>
          <w:rFonts w:ascii="Franklin Gothic Book" w:hAnsi="Franklin Gothic Book"/>
          <w:sz w:val="20"/>
          <w:szCs w:val="20"/>
        </w:rPr>
        <w:br/>
      </w:r>
    </w:p>
    <w:p w:rsidR="001616B9" w:rsidRPr="001616B9" w:rsidRDefault="001616B9" w:rsidP="001616B9">
      <w:pPr>
        <w:pStyle w:val="Bezriadkovania"/>
        <w:numPr>
          <w:ilvl w:val="0"/>
          <w:numId w:val="7"/>
        </w:numPr>
        <w:rPr>
          <w:rFonts w:ascii="Franklin Gothic Book" w:hAnsi="Franklin Gothic Book"/>
          <w:b/>
          <w:sz w:val="24"/>
          <w:szCs w:val="24"/>
        </w:rPr>
      </w:pPr>
      <w:r w:rsidRPr="001616B9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Spôsob oceňovania jednotlivých položiek majetku</w:t>
      </w:r>
    </w:p>
    <w:p w:rsidR="004F294D" w:rsidRDefault="004F294D" w:rsidP="004F294D">
      <w:pPr>
        <w:pStyle w:val="Bezriadkovania"/>
      </w:pPr>
    </w:p>
    <w:p w:rsidR="00472B51" w:rsidRPr="00856917" w:rsidRDefault="00856917" w:rsidP="00856917">
      <w:pPr>
        <w:pStyle w:val="Bezriadkovania"/>
        <w:ind w:left="360"/>
        <w:rPr>
          <w:rFonts w:ascii="Franklin Gothic Book" w:hAnsi="Franklin Gothic Book"/>
          <w:smallCaps/>
        </w:rPr>
      </w:pPr>
      <w:r w:rsidRPr="00856917">
        <w:rPr>
          <w:rFonts w:ascii="Franklin Gothic Book" w:hAnsi="Franklin Gothic Book"/>
          <w:b/>
          <w:sz w:val="20"/>
        </w:rPr>
        <w:t>Dlhodobý neh</w:t>
      </w:r>
      <w:r>
        <w:rPr>
          <w:rFonts w:ascii="Franklin Gothic Book" w:hAnsi="Franklin Gothic Book"/>
          <w:b/>
          <w:sz w:val="20"/>
        </w:rPr>
        <w:t>m</w:t>
      </w:r>
      <w:r w:rsidRPr="00856917">
        <w:rPr>
          <w:rFonts w:ascii="Franklin Gothic Book" w:hAnsi="Franklin Gothic Book"/>
          <w:b/>
          <w:sz w:val="20"/>
        </w:rPr>
        <w:t>otný, dlhodobý hmotný majetok a dlhodobý finančný majetok</w:t>
      </w:r>
      <w:r>
        <w:rPr>
          <w:rFonts w:ascii="Franklin Gothic Book" w:hAnsi="Franklin Gothic Book"/>
          <w:sz w:val="20"/>
        </w:rPr>
        <w:br/>
      </w:r>
      <w:r w:rsidR="00472B51" w:rsidRPr="00F4089F">
        <w:rPr>
          <w:rFonts w:ascii="Franklin Gothic Book" w:hAnsi="Franklin Gothic Book"/>
          <w:sz w:val="20"/>
        </w:rPr>
        <w:t>Dlhodobý majetok nakupovaný sa oceňuje obstarávacou cenou, ktorá zahŕňa cenu obstarania a</w:t>
      </w:r>
      <w:r>
        <w:rPr>
          <w:rFonts w:ascii="Franklin Gothic Book" w:hAnsi="Franklin Gothic Book"/>
          <w:sz w:val="20"/>
        </w:rPr>
        <w:t xml:space="preserve"> náklady súvisiace s obstaraním. Dlhodobý majetok vytvorený vlastnou činnosťou sa oceňuje vlastnými nákladmi. Vlastnými nákladmi sú všetky priame náklady vynaložené na výrobu alebo inú činnosť a nepriame náklady, ktoré sa vzťahujú na výrobu alebo inú činnosť. </w:t>
      </w:r>
      <w:r>
        <w:rPr>
          <w:rFonts w:ascii="Franklin Gothic Book" w:hAnsi="Franklin Gothic Book"/>
          <w:sz w:val="20"/>
        </w:rPr>
        <w:br/>
      </w:r>
      <w:r w:rsidR="00472B51" w:rsidRPr="00F97322">
        <w:rPr>
          <w:rFonts w:ascii="Franklin Gothic Book" w:hAnsi="Franklin Gothic Book"/>
          <w:sz w:val="20"/>
        </w:rPr>
        <w:t xml:space="preserve">Odpisy dlhodobého majetku sú stanovené vychádzajúc z predpokladanej doby jeho používania a predpokladaného priebehu jeho opotrebenia. Odpisovať sa začína dňom uvedenia dlhodobého majetku do používania. Účtovné odpisy sa vypočítajú zo vstupnej ceny, v ktorej je majetok ocenený v účtovníctve, a to maximálne do jej výšky. Mesačné odpisy sa zaokrúhľujú na stotiny EUR. V závislosti od druhu obstaraného majetku si účtovná jednotka prispôsobí sadzby účtovných odpisov z hľadiska času, doby použiteľnosti alebo vo vzťahu k výkonom bez ohľadu na spôsob jeho obstarania. Novo obstaraný majetok sa zatriedi pre určenie výšky daňových odpisov do príslušných odpisových skupín podľa § 26 Zákona o dani z príjmov. Dlhodobý nehmotný majetok účtovná jednotka odpíše podľa ustanovení postupov účtovania. </w:t>
      </w:r>
      <w:r>
        <w:rPr>
          <w:rFonts w:ascii="Franklin Gothic Book" w:hAnsi="Franklin Gothic Book"/>
          <w:sz w:val="20"/>
        </w:rPr>
        <w:br/>
        <w:t>Drobný hmotný majetok, ktorého doba použitia je 1 rok a nižšia, sa odpisuje jednorazovo pri uvedení do používania. Takýto majetok sa sleduje v rámci operatívnej evidencie spoločnosti.</w:t>
      </w:r>
    </w:p>
    <w:p w:rsidR="006A68E4" w:rsidRDefault="006A68E4" w:rsidP="00856917">
      <w:pPr>
        <w:pStyle w:val="Bezriadkovania"/>
        <w:ind w:left="360"/>
        <w:rPr>
          <w:b/>
        </w:rPr>
      </w:pPr>
    </w:p>
    <w:p w:rsidR="0074442F" w:rsidRPr="00EB77D9" w:rsidRDefault="00856917" w:rsidP="00856917">
      <w:pPr>
        <w:pStyle w:val="Bezriadkovania"/>
        <w:ind w:left="360"/>
        <w:rPr>
          <w:rFonts w:ascii="Franklin Gothic Book" w:hAnsi="Franklin Gothic Book"/>
        </w:rPr>
      </w:pPr>
      <w:r>
        <w:rPr>
          <w:b/>
        </w:rPr>
        <w:t>Z</w:t>
      </w:r>
      <w:r w:rsidR="00F4089F" w:rsidRPr="00856917">
        <w:rPr>
          <w:b/>
        </w:rPr>
        <w:t>ásob</w:t>
      </w:r>
      <w:r>
        <w:rPr>
          <w:b/>
        </w:rPr>
        <w:t>y</w:t>
      </w:r>
      <w:r w:rsidR="00F4089F" w:rsidRPr="00856917">
        <w:rPr>
          <w:b/>
        </w:rPr>
        <w:t xml:space="preserve"> </w:t>
      </w:r>
      <w:r>
        <w:rPr>
          <w:b/>
        </w:rPr>
        <w:t>obstarané</w:t>
      </w:r>
      <w:r w:rsidR="00F4089F" w:rsidRPr="00856917">
        <w:rPr>
          <w:b/>
        </w:rPr>
        <w:t xml:space="preserve"> kúpou, zásob</w:t>
      </w:r>
      <w:r>
        <w:rPr>
          <w:b/>
        </w:rPr>
        <w:t>y</w:t>
      </w:r>
      <w:r w:rsidR="00F4089F" w:rsidRPr="00856917">
        <w:rPr>
          <w:b/>
        </w:rPr>
        <w:t xml:space="preserve"> vytvoren</w:t>
      </w:r>
      <w:r>
        <w:rPr>
          <w:b/>
        </w:rPr>
        <w:t>é</w:t>
      </w:r>
      <w:r w:rsidR="00F4089F" w:rsidRPr="00856917">
        <w:rPr>
          <w:b/>
        </w:rPr>
        <w:t xml:space="preserve"> vlastnou činnosťou</w:t>
      </w:r>
      <w:r w:rsidR="0074442F" w:rsidRPr="00856917">
        <w:rPr>
          <w:b/>
        </w:rPr>
        <w:br/>
      </w:r>
      <w:r>
        <w:rPr>
          <w:rFonts w:ascii="Franklin Gothic Book" w:hAnsi="Franklin Gothic Book"/>
          <w:sz w:val="20"/>
          <w:szCs w:val="20"/>
        </w:rPr>
        <w:t>Obstarávacia cena zahŕňa cenu zásob a vedľajšie náklady obstarania</w:t>
      </w:r>
      <w:r w:rsidR="0074442F" w:rsidRPr="00EB77D9">
        <w:rPr>
          <w:rFonts w:ascii="Franklin Gothic Book" w:hAnsi="Franklin Gothic Book"/>
          <w:sz w:val="20"/>
          <w:szCs w:val="20"/>
        </w:rPr>
        <w:t>. Úroky z cudzích zdrojov nie sú súčasťou obstarávacej ceny.</w:t>
      </w:r>
    </w:p>
    <w:p w:rsidR="006A68E4" w:rsidRDefault="006A68E4" w:rsidP="00856917">
      <w:pPr>
        <w:pStyle w:val="Bezriadkovania"/>
        <w:ind w:left="360"/>
        <w:rPr>
          <w:b/>
        </w:rPr>
      </w:pPr>
    </w:p>
    <w:p w:rsidR="0074442F" w:rsidRPr="0074442F" w:rsidRDefault="00856917" w:rsidP="00856917">
      <w:pPr>
        <w:pStyle w:val="Bezriadkovania"/>
        <w:ind w:left="360"/>
      </w:pPr>
      <w:r w:rsidRPr="00856917">
        <w:rPr>
          <w:b/>
        </w:rPr>
        <w:t>Pohľadávky</w:t>
      </w:r>
      <w:r w:rsidRPr="00856917">
        <w:rPr>
          <w:b/>
        </w:rPr>
        <w:br/>
      </w:r>
      <w:r w:rsidR="0074442F">
        <w:rPr>
          <w:rFonts w:ascii="Franklin Gothic Book" w:hAnsi="Franklin Gothic Book"/>
          <w:sz w:val="20"/>
          <w:szCs w:val="20"/>
        </w:rPr>
        <w:t>Pohľadávky pri ich vzniku sa oceňujú ich menovitou hodnotou. Toto ocenenie sa znižuje o pochybné a nevymožiteľné pohľadávky. Pri posudzovaní vymož</w:t>
      </w:r>
      <w:r>
        <w:rPr>
          <w:rFonts w:ascii="Franklin Gothic Book" w:hAnsi="Franklin Gothic Book"/>
          <w:sz w:val="20"/>
          <w:szCs w:val="20"/>
        </w:rPr>
        <w:t>iteľ</w:t>
      </w:r>
      <w:r w:rsidR="0074442F">
        <w:rPr>
          <w:rFonts w:ascii="Franklin Gothic Book" w:hAnsi="Franklin Gothic Book"/>
          <w:sz w:val="20"/>
          <w:szCs w:val="20"/>
        </w:rPr>
        <w:t>nosti pohľadávky účtovná jednotka postupuje individuálne pri každej pohľadávke. Účtovná jednotka netvorí opravné položky k pohľadávkam.</w:t>
      </w:r>
    </w:p>
    <w:p w:rsidR="006A68E4" w:rsidRDefault="006A68E4" w:rsidP="00856917">
      <w:pPr>
        <w:pStyle w:val="Bezriadkovania"/>
        <w:ind w:left="360"/>
        <w:rPr>
          <w:b/>
        </w:rPr>
      </w:pPr>
    </w:p>
    <w:p w:rsidR="00856917" w:rsidRDefault="00856917" w:rsidP="00856917">
      <w:pPr>
        <w:pStyle w:val="Bezriadkovania"/>
        <w:ind w:left="360"/>
        <w:rPr>
          <w:rFonts w:ascii="Franklin Gothic Book" w:hAnsi="Franklin Gothic Book"/>
          <w:sz w:val="20"/>
          <w:szCs w:val="20"/>
        </w:rPr>
      </w:pPr>
      <w:r>
        <w:rPr>
          <w:b/>
        </w:rPr>
        <w:t>K</w:t>
      </w:r>
      <w:r w:rsidR="0074442F" w:rsidRPr="00856917">
        <w:rPr>
          <w:b/>
        </w:rPr>
        <w:t>rátkodob</w:t>
      </w:r>
      <w:r w:rsidRPr="00856917">
        <w:rPr>
          <w:b/>
        </w:rPr>
        <w:t>ý</w:t>
      </w:r>
      <w:r w:rsidR="0074442F" w:rsidRPr="00856917">
        <w:rPr>
          <w:b/>
        </w:rPr>
        <w:t xml:space="preserve"> finančn</w:t>
      </w:r>
      <w:r w:rsidRPr="00856917">
        <w:rPr>
          <w:b/>
        </w:rPr>
        <w:t>ý</w:t>
      </w:r>
      <w:r w:rsidR="0074442F" w:rsidRPr="00856917">
        <w:rPr>
          <w:b/>
        </w:rPr>
        <w:t xml:space="preserve"> majet</w:t>
      </w:r>
      <w:r w:rsidRPr="00856917">
        <w:rPr>
          <w:b/>
        </w:rPr>
        <w:t>o</w:t>
      </w:r>
      <w:r w:rsidR="0074442F" w:rsidRPr="00856917">
        <w:rPr>
          <w:b/>
        </w:rPr>
        <w:t>k</w:t>
      </w:r>
      <w:r w:rsidR="0074442F" w:rsidRPr="00856917">
        <w:rPr>
          <w:b/>
        </w:rPr>
        <w:br/>
      </w:r>
      <w:r w:rsidR="0074442F">
        <w:rPr>
          <w:rFonts w:ascii="Franklin Gothic Book" w:hAnsi="Franklin Gothic Book"/>
          <w:sz w:val="20"/>
          <w:szCs w:val="20"/>
        </w:rPr>
        <w:t xml:space="preserve">Peňažné prostriedky a ceniny sa oceňujú ich menovitou hodnotou. Zníženie ich hodnoty sa vyjadruje opravnou položkou. </w:t>
      </w:r>
    </w:p>
    <w:p w:rsidR="001638CA" w:rsidRPr="001638CA" w:rsidRDefault="00856917" w:rsidP="00856917">
      <w:pPr>
        <w:pStyle w:val="Bezriadkovania"/>
        <w:ind w:left="360"/>
      </w:pPr>
      <w:r w:rsidRPr="00856917">
        <w:rPr>
          <w:b/>
        </w:rPr>
        <w:lastRenderedPageBreak/>
        <w:t>Záväzky</w:t>
      </w:r>
      <w:r w:rsidRPr="00856917">
        <w:rPr>
          <w:b/>
        </w:rPr>
        <w:br/>
      </w:r>
      <w:r w:rsidR="0074442F">
        <w:rPr>
          <w:rFonts w:ascii="Franklin Gothic Book" w:hAnsi="Franklin Gothic Book"/>
          <w:sz w:val="20"/>
          <w:szCs w:val="20"/>
        </w:rPr>
        <w:t>Záväzky pri ich vzniku sa oceňujú menovitou hodnotou. Záväzky pri ich prevzatí sa oceňujú obstarávacou cenou. Ak sa pri inventarizácii zistí, že suma záväzkov je iná ako ich výška v účtovníctve, uvedú sa záväzky v účtovníctve a v účtovnej závierke v tomto zistenom ocenení.</w:t>
      </w:r>
      <w:r w:rsidR="0074442F">
        <w:rPr>
          <w:rFonts w:ascii="Franklin Gothic Book" w:hAnsi="Franklin Gothic Book"/>
          <w:sz w:val="20"/>
          <w:szCs w:val="20"/>
        </w:rPr>
        <w:br/>
        <w:t>Rezervy sú záväzky s neurčitým časovým vymedzením alebo výškou; tvoria sa na krytie známych rizík alebo strát z podnikania. Oceňujú sa v očakávanej výške záväzku</w:t>
      </w:r>
      <w:r w:rsidR="00322B22">
        <w:rPr>
          <w:rFonts w:ascii="Franklin Gothic Book" w:hAnsi="Franklin Gothic Book"/>
          <w:sz w:val="20"/>
          <w:szCs w:val="20"/>
        </w:rPr>
        <w:t>.</w:t>
      </w:r>
    </w:p>
    <w:p w:rsidR="006A68E4" w:rsidRDefault="006A68E4" w:rsidP="00856917">
      <w:pPr>
        <w:pStyle w:val="Bezriadkovania"/>
        <w:ind w:left="360"/>
        <w:rPr>
          <w:b/>
        </w:rPr>
      </w:pPr>
    </w:p>
    <w:p w:rsidR="001638CA" w:rsidRPr="00111A24" w:rsidRDefault="00322B22" w:rsidP="00856917">
      <w:pPr>
        <w:pStyle w:val="Bezriadkovania"/>
        <w:ind w:left="360"/>
        <w:rPr>
          <w:rFonts w:ascii="Franklin Gothic Book" w:hAnsi="Franklin Gothic Book"/>
          <w:sz w:val="20"/>
          <w:szCs w:val="20"/>
        </w:rPr>
      </w:pPr>
      <w:r w:rsidRPr="00322B22">
        <w:rPr>
          <w:b/>
        </w:rPr>
        <w:t>O</w:t>
      </w:r>
      <w:r w:rsidR="001638CA" w:rsidRPr="00322B22">
        <w:rPr>
          <w:b/>
        </w:rPr>
        <w:t>cenenie derivátových operácií</w:t>
      </w:r>
      <w:r w:rsidR="001638CA" w:rsidRPr="00322B22">
        <w:rPr>
          <w:b/>
        </w:rPr>
        <w:br/>
      </w:r>
      <w:proofErr w:type="spellStart"/>
      <w:r w:rsidR="00D72599" w:rsidRPr="00111A24">
        <w:rPr>
          <w:rFonts w:ascii="Franklin Gothic Book" w:hAnsi="Franklin Gothic Book"/>
          <w:sz w:val="20"/>
          <w:szCs w:val="20"/>
        </w:rPr>
        <w:t>Mikro</w:t>
      </w:r>
      <w:proofErr w:type="spellEnd"/>
      <w:r w:rsidR="00D72599" w:rsidRPr="00111A24">
        <w:rPr>
          <w:rFonts w:ascii="Franklin Gothic Book" w:hAnsi="Franklin Gothic Book"/>
          <w:sz w:val="20"/>
          <w:szCs w:val="20"/>
        </w:rPr>
        <w:t xml:space="preserve"> účtovná jednotka má osobitne upravený postup účtovania derivátov a spôsob úpravy účtovania pri derivátoch k prvému dňu účtovného obdobia, v ktorom sa stala </w:t>
      </w:r>
      <w:proofErr w:type="spellStart"/>
      <w:r w:rsidR="00D72599" w:rsidRPr="00111A24">
        <w:rPr>
          <w:rFonts w:ascii="Franklin Gothic Book" w:hAnsi="Franklin Gothic Book"/>
          <w:sz w:val="20"/>
          <w:szCs w:val="20"/>
        </w:rPr>
        <w:t>mikro</w:t>
      </w:r>
      <w:proofErr w:type="spellEnd"/>
      <w:r w:rsidR="00D72599" w:rsidRPr="00111A24">
        <w:rPr>
          <w:rFonts w:ascii="Franklin Gothic Book" w:hAnsi="Franklin Gothic Book"/>
          <w:sz w:val="20"/>
          <w:szCs w:val="20"/>
        </w:rPr>
        <w:t xml:space="preserve"> účtovnou jednotkou (§ 16 ods. 32 a 33 Postupov účtovania</w:t>
      </w:r>
      <w:r w:rsidR="00111A24">
        <w:rPr>
          <w:rFonts w:ascii="Franklin Gothic Book" w:hAnsi="Franklin Gothic Book"/>
          <w:sz w:val="20"/>
          <w:szCs w:val="20"/>
        </w:rPr>
        <w:t>).</w:t>
      </w:r>
    </w:p>
    <w:p w:rsidR="00322B22" w:rsidRDefault="00322B22" w:rsidP="00856917">
      <w:pPr>
        <w:pStyle w:val="Bezriadkovania"/>
        <w:ind w:left="360"/>
      </w:pPr>
    </w:p>
    <w:p w:rsidR="00322B22" w:rsidRPr="00322B22" w:rsidRDefault="00322B22" w:rsidP="00322B22">
      <w:pPr>
        <w:pStyle w:val="Bezriadkovania"/>
        <w:numPr>
          <w:ilvl w:val="0"/>
          <w:numId w:val="7"/>
        </w:numPr>
        <w:tabs>
          <w:tab w:val="left" w:pos="284"/>
        </w:tabs>
        <w:ind w:left="709"/>
        <w:rPr>
          <w:rFonts w:ascii="Franklin Gothic Book" w:hAnsi="Franklin Gothic Book"/>
          <w:b/>
          <w:color w:val="365F91" w:themeColor="accent1" w:themeShade="BF"/>
          <w:sz w:val="24"/>
          <w:szCs w:val="24"/>
        </w:rPr>
      </w:pPr>
      <w:r w:rsidRPr="00322B22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Spôsob zostavenia odpisového plánu</w:t>
      </w:r>
    </w:p>
    <w:p w:rsidR="00322B22" w:rsidRDefault="00322B22" w:rsidP="00322B22">
      <w:pPr>
        <w:pStyle w:val="Bezriadkovania"/>
        <w:tabs>
          <w:tab w:val="left" w:pos="284"/>
        </w:tabs>
        <w:ind w:left="709"/>
        <w:rPr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Ind w:w="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178"/>
        <w:gridCol w:w="1841"/>
        <w:gridCol w:w="178"/>
        <w:gridCol w:w="1787"/>
        <w:gridCol w:w="178"/>
        <w:gridCol w:w="1602"/>
      </w:tblGrid>
      <w:tr w:rsidR="00322B22" w:rsidRPr="00322B22" w:rsidTr="00C03CE7">
        <w:trPr>
          <w:trHeight w:val="330"/>
        </w:trPr>
        <w:tc>
          <w:tcPr>
            <w:tcW w:w="34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predpokladaná doba používania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metóda odpisovania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ročná odpisová sadzba</w:t>
            </w:r>
          </w:p>
        </w:tc>
      </w:tr>
      <w:tr w:rsidR="00322B22" w:rsidRPr="00322B22" w:rsidTr="00C03CE7">
        <w:trPr>
          <w:trHeight w:val="330"/>
        </w:trPr>
        <w:tc>
          <w:tcPr>
            <w:tcW w:w="342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322B22">
              <w:rPr>
                <w:rFonts w:ascii="Franklin Gothic Book" w:hAnsi="Franklin Gothic Book"/>
                <w:sz w:val="16"/>
                <w:szCs w:val="16"/>
              </w:rPr>
              <w:t>(roky)</w:t>
            </w:r>
          </w:p>
        </w:tc>
        <w:tc>
          <w:tcPr>
            <w:tcW w:w="18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322B22">
              <w:rPr>
                <w:rFonts w:ascii="Franklin Gothic Book" w:hAnsi="Franklin Gothic Book"/>
                <w:sz w:val="16"/>
                <w:szCs w:val="16"/>
              </w:rPr>
              <w:t>(%)</w:t>
            </w:r>
          </w:p>
        </w:tc>
      </w:tr>
      <w:tr w:rsidR="00322B22" w:rsidRPr="00322B22" w:rsidTr="00C03CE7">
        <w:trPr>
          <w:trHeight w:val="330"/>
        </w:trPr>
        <w:tc>
          <w:tcPr>
            <w:tcW w:w="3420" w:type="dxa"/>
            <w:tcBorders>
              <w:top w:val="single" w:sz="4" w:space="0" w:color="000080"/>
            </w:tcBorders>
            <w:vAlign w:val="center"/>
          </w:tcPr>
          <w:p w:rsidR="00322B22" w:rsidRPr="00322B22" w:rsidRDefault="00111A24" w:rsidP="00C03CE7">
            <w:pPr>
              <w:pStyle w:val="Zkladntext"/>
              <w:spacing w:line="280" w:lineRule="atLeast"/>
              <w:ind w:left="253"/>
              <w:jc w:val="left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budovy</w:t>
            </w:r>
          </w:p>
        </w:tc>
        <w:tc>
          <w:tcPr>
            <w:tcW w:w="180" w:type="dxa"/>
            <w:tcBorders>
              <w:top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lef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000080"/>
            </w:tcBorders>
            <w:vAlign w:val="center"/>
          </w:tcPr>
          <w:p w:rsidR="00322B22" w:rsidRPr="00322B22" w:rsidRDefault="00111A24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40</w:t>
            </w:r>
          </w:p>
        </w:tc>
        <w:tc>
          <w:tcPr>
            <w:tcW w:w="180" w:type="dxa"/>
            <w:tcBorders>
              <w:top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lineárna</w:t>
            </w:r>
          </w:p>
        </w:tc>
        <w:tc>
          <w:tcPr>
            <w:tcW w:w="180" w:type="dxa"/>
            <w:tcBorders>
              <w:top w:val="single" w:sz="4" w:space="0" w:color="000080"/>
            </w:tcBorders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</w:tcBorders>
            <w:vAlign w:val="center"/>
          </w:tcPr>
          <w:p w:rsidR="00322B22" w:rsidRPr="00322B22" w:rsidRDefault="00111A24" w:rsidP="00322B22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2,5</w:t>
            </w:r>
          </w:p>
        </w:tc>
      </w:tr>
      <w:tr w:rsidR="00322B22" w:rsidRPr="00322B22" w:rsidTr="00C03CE7">
        <w:trPr>
          <w:trHeight w:val="330"/>
        </w:trPr>
        <w:tc>
          <w:tcPr>
            <w:tcW w:w="34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ind w:left="253"/>
              <w:jc w:val="left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 xml:space="preserve">vozidlá 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lef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lineárna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25</w:t>
            </w:r>
          </w:p>
        </w:tc>
      </w:tr>
      <w:tr w:rsidR="00322B22" w:rsidRPr="00322B22" w:rsidTr="00C03CE7">
        <w:trPr>
          <w:trHeight w:val="330"/>
        </w:trPr>
        <w:tc>
          <w:tcPr>
            <w:tcW w:w="34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ind w:left="253"/>
              <w:jc w:val="left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drobný hmotný majetok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lef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do 1 roka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jednorazový odpis</w:t>
            </w:r>
          </w:p>
        </w:tc>
        <w:tc>
          <w:tcPr>
            <w:tcW w:w="18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22B22" w:rsidRPr="00322B22" w:rsidRDefault="00322B22" w:rsidP="00C03CE7">
            <w:pPr>
              <w:pStyle w:val="Zkladntext"/>
              <w:spacing w:line="280" w:lineRule="atLeast"/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322B22">
              <w:rPr>
                <w:rFonts w:ascii="Franklin Gothic Book" w:hAnsi="Franklin Gothic Book"/>
                <w:sz w:val="20"/>
              </w:rPr>
              <w:t>100</w:t>
            </w:r>
          </w:p>
        </w:tc>
      </w:tr>
    </w:tbl>
    <w:p w:rsidR="00322B22" w:rsidRDefault="00322B22" w:rsidP="00322B22">
      <w:pPr>
        <w:pStyle w:val="Bezriadkovania"/>
        <w:tabs>
          <w:tab w:val="left" w:pos="284"/>
        </w:tabs>
        <w:ind w:left="709"/>
        <w:rPr>
          <w:b/>
          <w:color w:val="365F91" w:themeColor="accent1" w:themeShade="BF"/>
          <w:sz w:val="24"/>
          <w:szCs w:val="24"/>
        </w:rPr>
      </w:pPr>
    </w:p>
    <w:p w:rsidR="00322B22" w:rsidRDefault="00322B22" w:rsidP="00322B22">
      <w:pPr>
        <w:pStyle w:val="Bezriadkovania"/>
        <w:tabs>
          <w:tab w:val="left" w:pos="284"/>
        </w:tabs>
        <w:ind w:left="709"/>
        <w:rPr>
          <w:b/>
          <w:color w:val="365F91" w:themeColor="accent1" w:themeShade="BF"/>
          <w:sz w:val="24"/>
          <w:szCs w:val="24"/>
        </w:rPr>
      </w:pPr>
    </w:p>
    <w:p w:rsidR="00322B22" w:rsidRDefault="00322B22" w:rsidP="00322B22">
      <w:pPr>
        <w:pStyle w:val="Bezriadkovania"/>
        <w:numPr>
          <w:ilvl w:val="0"/>
          <w:numId w:val="7"/>
        </w:numPr>
        <w:tabs>
          <w:tab w:val="left" w:pos="284"/>
        </w:tabs>
        <w:rPr>
          <w:rFonts w:ascii="Franklin Gothic Book" w:hAnsi="Franklin Gothic Book"/>
          <w:sz w:val="20"/>
          <w:szCs w:val="20"/>
        </w:rPr>
      </w:pPr>
      <w:r w:rsidRPr="00322B22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Zmeny účtovných zásad a zmeny účtovných metód</w:t>
      </w:r>
      <w:r w:rsidRPr="00322B22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br/>
      </w:r>
      <w:r>
        <w:rPr>
          <w:b/>
          <w:color w:val="365F91" w:themeColor="accent1" w:themeShade="BF"/>
          <w:sz w:val="24"/>
          <w:szCs w:val="24"/>
        </w:rPr>
        <w:br/>
      </w:r>
      <w:r w:rsidRPr="00322B22">
        <w:rPr>
          <w:rFonts w:ascii="Franklin Gothic Book" w:hAnsi="Franklin Gothic Book"/>
          <w:sz w:val="20"/>
          <w:szCs w:val="20"/>
        </w:rPr>
        <w:t>V priebehu účtovného obdobia</w:t>
      </w:r>
      <w:r>
        <w:rPr>
          <w:rFonts w:ascii="Franklin Gothic Book" w:hAnsi="Franklin Gothic Book"/>
          <w:sz w:val="20"/>
          <w:szCs w:val="20"/>
        </w:rPr>
        <w:t xml:space="preserve"> nedošlo k zmene účtovných zásad a účtovných metód.</w:t>
      </w:r>
      <w:r>
        <w:rPr>
          <w:rFonts w:ascii="Franklin Gothic Book" w:hAnsi="Franklin Gothic Book"/>
          <w:sz w:val="20"/>
          <w:szCs w:val="20"/>
        </w:rPr>
        <w:br/>
      </w:r>
    </w:p>
    <w:p w:rsidR="00322B22" w:rsidRPr="00AD7E9F" w:rsidRDefault="00322B22" w:rsidP="00322B22">
      <w:pPr>
        <w:pStyle w:val="Bezriadkovania"/>
        <w:numPr>
          <w:ilvl w:val="0"/>
          <w:numId w:val="7"/>
        </w:numPr>
        <w:tabs>
          <w:tab w:val="left" w:pos="284"/>
        </w:tabs>
        <w:rPr>
          <w:rFonts w:ascii="Franklin Gothic Book" w:hAnsi="Franklin Gothic Book"/>
          <w:color w:val="365F91" w:themeColor="accent1" w:themeShade="BF"/>
          <w:sz w:val="24"/>
          <w:szCs w:val="24"/>
        </w:rPr>
      </w:pPr>
      <w:r w:rsidRPr="00322B22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Informácie</w:t>
      </w:r>
      <w:r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 xml:space="preserve"> o dotáciách a ich oceňovanie v</w:t>
      </w:r>
      <w:r w:rsidR="004C5A84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 </w:t>
      </w:r>
      <w:r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účtovníctve</w:t>
      </w:r>
      <w:r w:rsidR="004C5A84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br/>
      </w:r>
      <w:r w:rsidR="004C5A84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br/>
      </w:r>
      <w:r w:rsidR="00AD7E9F">
        <w:rPr>
          <w:rFonts w:ascii="Franklin Gothic Book" w:hAnsi="Franklin Gothic Book"/>
          <w:sz w:val="20"/>
          <w:szCs w:val="20"/>
        </w:rPr>
        <w:t>Dotácie na hospodársku činnosť sa vykazujú ako výnosy budúcich období a do výkazu ziskov a strát sa rozpúšťajú ako výnosy z hospodárskej činnosti v časovej a vecnej súvislosti s vynaložením nákladov na príslušný účel. Dotácie na obstaranie dlhodobého hmotného majetku a dlhodobého nehmotného majetku sa najskôr vykazujú ako výnosy budúcich období a do výkazu ziskov a strát sa rozpúšťajú v časovej a vecnej súvislosti so zaúčtovaním odpisov z tohto dlhodobého majetku.</w:t>
      </w:r>
      <w:r w:rsidR="00AD7E9F">
        <w:rPr>
          <w:rFonts w:ascii="Franklin Gothic Book" w:hAnsi="Franklin Gothic Book"/>
          <w:sz w:val="20"/>
          <w:szCs w:val="20"/>
        </w:rPr>
        <w:br/>
      </w:r>
    </w:p>
    <w:p w:rsidR="00AD7E9F" w:rsidRDefault="00AD7E9F" w:rsidP="00AD7E9F">
      <w:pPr>
        <w:pStyle w:val="Bezriadkovania"/>
        <w:numPr>
          <w:ilvl w:val="0"/>
          <w:numId w:val="7"/>
        </w:numPr>
        <w:tabs>
          <w:tab w:val="left" w:pos="284"/>
        </w:tabs>
        <w:rPr>
          <w:rFonts w:ascii="Franklin Gothic Book" w:hAnsi="Franklin Gothic Book"/>
          <w:color w:val="365F91" w:themeColor="accent1" w:themeShade="BF"/>
          <w:sz w:val="24"/>
          <w:szCs w:val="24"/>
        </w:rPr>
      </w:pPr>
      <w:r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Informácie o účtovaní významných opráv chýb minulých účtovných období</w:t>
      </w:r>
      <w:r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br/>
      </w:r>
    </w:p>
    <w:p w:rsidR="00AD7E9F" w:rsidRPr="00AD7E9F" w:rsidRDefault="00AD7E9F" w:rsidP="00AD7E9F">
      <w:pPr>
        <w:pStyle w:val="Bezriadkovania"/>
        <w:tabs>
          <w:tab w:val="left" w:pos="284"/>
        </w:tabs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V bežnom účtovnom období Spoločnosť nevykonala významné opravy chýb minulých účtovných období.</w:t>
      </w:r>
    </w:p>
    <w:p w:rsidR="00322B22" w:rsidRPr="00322B22" w:rsidRDefault="00322B22" w:rsidP="00322B22">
      <w:pPr>
        <w:pStyle w:val="Bezriadkovania"/>
        <w:tabs>
          <w:tab w:val="left" w:pos="284"/>
        </w:tabs>
        <w:rPr>
          <w:rFonts w:ascii="Franklin Gothic Book" w:hAnsi="Franklin Gothic Book"/>
          <w:color w:val="365F91" w:themeColor="accent1" w:themeShade="BF"/>
          <w:sz w:val="24"/>
          <w:szCs w:val="24"/>
        </w:rPr>
      </w:pPr>
    </w:p>
    <w:p w:rsidR="00F4089F" w:rsidRPr="00D60D3F" w:rsidRDefault="005111AD" w:rsidP="00AD7E9F">
      <w:pPr>
        <w:pStyle w:val="Nadpis1"/>
        <w:ind w:left="360"/>
        <w:rPr>
          <w:rFonts w:ascii="Franklin Gothic Book" w:hAnsi="Franklin Gothic Book"/>
          <w:smallCaps/>
          <w:sz w:val="36"/>
          <w:szCs w:val="36"/>
        </w:rPr>
      </w:pPr>
      <w:r w:rsidRPr="00D60D3F">
        <w:rPr>
          <w:rFonts w:ascii="Franklin Gothic Book" w:hAnsi="Franklin Gothic Book"/>
          <w:smallCaps/>
          <w:sz w:val="36"/>
          <w:szCs w:val="36"/>
        </w:rPr>
        <w:t>Informácie, ktoré vysvetľujú a dopĺňajú súvahu a výkaz ziskov a strát</w:t>
      </w:r>
    </w:p>
    <w:p w:rsidR="005111AD" w:rsidRDefault="005111AD" w:rsidP="005111AD">
      <w:pPr>
        <w:rPr>
          <w:rFonts w:ascii="Franklin Gothic Book" w:hAnsi="Franklin Gothic Book"/>
          <w:b/>
          <w:sz w:val="20"/>
          <w:szCs w:val="20"/>
        </w:rPr>
      </w:pPr>
    </w:p>
    <w:p w:rsidR="007C198B" w:rsidRDefault="002A6A21" w:rsidP="00AD7E9F">
      <w:pPr>
        <w:pStyle w:val="Odsekzoznamu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b/>
          <w:color w:val="365F91" w:themeColor="accent1" w:themeShade="BF"/>
          <w:sz w:val="24"/>
          <w:szCs w:val="24"/>
        </w:rPr>
        <w:t>Informácie o položkách nákladov a výnosov, ktoré majú výnimočný rozsah alebo výskyt</w:t>
      </w:r>
      <w:r w:rsidRPr="007C198B">
        <w:rPr>
          <w:rFonts w:ascii="Franklin Gothic Book" w:hAnsi="Franklin Gothic Book"/>
        </w:rPr>
        <w:br/>
      </w:r>
    </w:p>
    <w:p w:rsidR="007C198B" w:rsidRPr="007C198B" w:rsidRDefault="002A6A21" w:rsidP="007C198B">
      <w:pPr>
        <w:pStyle w:val="Odsekzoznamu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sz w:val="20"/>
          <w:szCs w:val="20"/>
        </w:rPr>
        <w:t>Spoločnosť neúčtovala o</w:t>
      </w:r>
      <w:r w:rsidR="007C198B">
        <w:rPr>
          <w:rFonts w:ascii="Franklin Gothic Book" w:hAnsi="Franklin Gothic Book"/>
          <w:sz w:val="20"/>
          <w:szCs w:val="20"/>
        </w:rPr>
        <w:t> </w:t>
      </w:r>
      <w:r w:rsidRPr="007C198B">
        <w:rPr>
          <w:rFonts w:ascii="Franklin Gothic Book" w:hAnsi="Franklin Gothic Book"/>
          <w:sz w:val="20"/>
          <w:szCs w:val="20"/>
        </w:rPr>
        <w:t>položkách</w:t>
      </w:r>
      <w:r w:rsidR="007C198B">
        <w:rPr>
          <w:rFonts w:ascii="Franklin Gothic Book" w:hAnsi="Franklin Gothic Book"/>
          <w:sz w:val="20"/>
          <w:szCs w:val="20"/>
        </w:rPr>
        <w:t xml:space="preserve"> nákladov a výnosov, ktoré mali výnimočný rozsah alebo výskyt.</w:t>
      </w:r>
    </w:p>
    <w:p w:rsidR="002A6A21" w:rsidRPr="007C198B" w:rsidRDefault="002A6A21" w:rsidP="005111AD">
      <w:pPr>
        <w:rPr>
          <w:rFonts w:ascii="Franklin Gothic Book" w:hAnsi="Franklin Gothic Book"/>
          <w:b/>
          <w:sz w:val="20"/>
          <w:szCs w:val="20"/>
        </w:rPr>
      </w:pPr>
    </w:p>
    <w:p w:rsidR="00DC5E37" w:rsidRPr="006A68E4" w:rsidRDefault="005111AD" w:rsidP="00F81EFA">
      <w:pPr>
        <w:pStyle w:val="Odsekzoznamu"/>
        <w:numPr>
          <w:ilvl w:val="0"/>
          <w:numId w:val="8"/>
        </w:numPr>
        <w:ind w:left="360"/>
        <w:rPr>
          <w:rFonts w:ascii="Franklin Gothic Book" w:hAnsi="Franklin Gothic Book"/>
          <w:sz w:val="20"/>
          <w:szCs w:val="20"/>
        </w:rPr>
      </w:pPr>
      <w:r w:rsidRPr="006A68E4">
        <w:rPr>
          <w:rFonts w:ascii="Franklin Gothic Book" w:hAnsi="Franklin Gothic Book"/>
          <w:b/>
          <w:color w:val="365F91" w:themeColor="accent1" w:themeShade="BF"/>
        </w:rPr>
        <w:lastRenderedPageBreak/>
        <w:t>Záväzky</w:t>
      </w:r>
      <w:r w:rsidRPr="006A68E4">
        <w:rPr>
          <w:rFonts w:ascii="Franklin Gothic Book" w:hAnsi="Franklin Gothic Book"/>
          <w:sz w:val="20"/>
          <w:szCs w:val="20"/>
        </w:rPr>
        <w:t xml:space="preserve"> </w:t>
      </w:r>
      <w:r w:rsidR="000C5493" w:rsidRPr="006A68E4">
        <w:rPr>
          <w:rFonts w:ascii="Franklin Gothic Book" w:hAnsi="Franklin Gothic Book"/>
          <w:sz w:val="20"/>
          <w:szCs w:val="20"/>
        </w:rPr>
        <w:br/>
      </w:r>
    </w:p>
    <w:tbl>
      <w:tblPr>
        <w:tblW w:w="9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80"/>
        <w:gridCol w:w="2980"/>
      </w:tblGrid>
      <w:tr w:rsidR="00DB6F66" w:rsidRPr="00DB6F66" w:rsidTr="00215A26">
        <w:trPr>
          <w:trHeight w:val="69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6" w:rsidRPr="00DB6F66" w:rsidRDefault="00DB6F66" w:rsidP="00DB6F66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6" w:rsidRPr="00DB6F66" w:rsidRDefault="00DB6F66" w:rsidP="009E1D74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Bežné účtovné obdobie</w:t>
            </w:r>
            <w:r w:rsidR="00215A2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201</w:t>
            </w:r>
            <w:r w:rsidR="009E1D74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F66" w:rsidRPr="00DB6F66" w:rsidRDefault="00DB6F66" w:rsidP="00DB6F66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Bezprostredne predchádzajúce účtovné obdobie</w:t>
            </w:r>
            <w:r w:rsidR="009E1D74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2017</w:t>
            </w:r>
          </w:p>
        </w:tc>
      </w:tr>
      <w:tr w:rsidR="009E1D74" w:rsidRPr="00DB6F66" w:rsidTr="00DB6F6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74" w:rsidRPr="00DB6F66" w:rsidRDefault="009E1D74" w:rsidP="00DB6F66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Dlhodobé záväzky spolu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215A26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556 702</w:t>
            </w:r>
            <w:r w:rsidRPr="00DB6F6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C1BEC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556 702</w:t>
            </w:r>
            <w:r w:rsidRPr="00DB6F6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E1D74" w:rsidRPr="00DB6F66" w:rsidTr="00215A26">
        <w:trPr>
          <w:trHeight w:val="48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74" w:rsidRPr="00DB6F66" w:rsidRDefault="009E1D74" w:rsidP="00DB6F66">
            <w:pPr>
              <w:spacing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Záväzky so zostatkovou dobou splatnosti nad päť rokov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215A26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C1BEC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</w:tr>
      <w:tr w:rsidR="009E1D74" w:rsidRPr="00DB6F66" w:rsidTr="00215A2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74" w:rsidRPr="00DB6F66" w:rsidRDefault="009E1D74" w:rsidP="00DB6F66">
            <w:pPr>
              <w:spacing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Záväzky so zostatkovou dobou splatnosti jeden rok až päť rokov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215A26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556 702</w:t>
            </w: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C1BEC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556 702</w:t>
            </w: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</w:tr>
      <w:tr w:rsidR="009E1D74" w:rsidRPr="00DB6F66" w:rsidTr="00DB6F6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DB6F66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Krátkodobé záväzky spolu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E1D74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3</w:t>
            </w:r>
            <w:r w:rsidRPr="00215A2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 xml:space="preserve">1 </w:t>
            </w:r>
            <w:r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654</w:t>
            </w:r>
            <w:r w:rsidRPr="00DB6F6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C1BEC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  <w:r w:rsidRPr="00215A2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 xml:space="preserve">41 </w:t>
            </w:r>
            <w:r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435</w:t>
            </w:r>
            <w:r w:rsidRPr="00DB6F66"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E1D74" w:rsidRPr="00DB6F66" w:rsidTr="00215A26">
        <w:trPr>
          <w:trHeight w:val="589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74" w:rsidRPr="00DB6F66" w:rsidRDefault="009E1D74" w:rsidP="00DB6F66">
            <w:pPr>
              <w:spacing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Záväzky so zostatkovou dobou splatnosti do jedného roka vrátane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007E31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31 654</w:t>
            </w: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74" w:rsidRPr="00DB6F66" w:rsidRDefault="009E1D74" w:rsidP="009C1BEC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41 435</w:t>
            </w: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</w:tr>
      <w:tr w:rsidR="00DB6F66" w:rsidRPr="00DB6F66" w:rsidTr="00215A26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F66" w:rsidRPr="00DB6F66" w:rsidRDefault="00DB6F66" w:rsidP="00DB6F66">
            <w:pPr>
              <w:spacing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Záväzky po lehote splatnosti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F66" w:rsidRPr="00DB6F66" w:rsidRDefault="00DB6F66" w:rsidP="00215A26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F66" w:rsidRPr="00DB6F66" w:rsidRDefault="00DB6F66" w:rsidP="00215A26">
            <w:pPr>
              <w:spacing w:line="240" w:lineRule="auto"/>
              <w:ind w:firstLineChars="400" w:firstLine="8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 w:rsidRPr="00DB6F66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DB6F66" w:rsidRPr="00DB6F66" w:rsidRDefault="00DB6F66" w:rsidP="00DB6F66">
      <w:pPr>
        <w:pStyle w:val="Bezriadkovania"/>
      </w:pPr>
    </w:p>
    <w:p w:rsidR="002A6A21" w:rsidRPr="007C198B" w:rsidRDefault="00BB57F7" w:rsidP="000C5493">
      <w:pPr>
        <w:pStyle w:val="Bezriadkovania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sz w:val="20"/>
          <w:szCs w:val="20"/>
        </w:rPr>
        <w:t xml:space="preserve">        </w:t>
      </w:r>
      <w:r w:rsidR="002A6A21" w:rsidRPr="007C198B">
        <w:rPr>
          <w:rFonts w:ascii="Franklin Gothic Book" w:hAnsi="Franklin Gothic Book"/>
          <w:sz w:val="20"/>
          <w:szCs w:val="20"/>
        </w:rPr>
        <w:t>Spoločnosť nemá záväzky zabezpečené záložným právom alebo inou formou zabezpečenia.</w:t>
      </w:r>
    </w:p>
    <w:p w:rsidR="000C5493" w:rsidRPr="007C198B" w:rsidRDefault="000C5493" w:rsidP="000C5493">
      <w:pPr>
        <w:pStyle w:val="Bezriadkovania"/>
        <w:rPr>
          <w:rFonts w:ascii="Franklin Gothic Book" w:hAnsi="Franklin Gothic Book"/>
          <w:sz w:val="20"/>
          <w:szCs w:val="20"/>
        </w:rPr>
      </w:pPr>
    </w:p>
    <w:p w:rsidR="00B41CE3" w:rsidRPr="00260422" w:rsidRDefault="000C5493" w:rsidP="00B41CE3">
      <w:pPr>
        <w:pStyle w:val="Bezriadkovania"/>
        <w:numPr>
          <w:ilvl w:val="0"/>
          <w:numId w:val="8"/>
        </w:numPr>
        <w:ind w:left="426"/>
        <w:rPr>
          <w:rFonts w:ascii="Franklin Gothic Book" w:hAnsi="Franklin Gothic Book"/>
          <w:sz w:val="20"/>
          <w:szCs w:val="20"/>
        </w:rPr>
      </w:pPr>
      <w:r w:rsidRPr="00260422">
        <w:rPr>
          <w:rFonts w:ascii="Franklin Gothic Book" w:hAnsi="Franklin Gothic Book"/>
          <w:b/>
          <w:color w:val="365F91" w:themeColor="accent1" w:themeShade="BF"/>
          <w:szCs w:val="20"/>
        </w:rPr>
        <w:t>Informácie o vlastných akciách</w:t>
      </w:r>
      <w:r w:rsidRPr="00260422">
        <w:rPr>
          <w:rFonts w:ascii="Franklin Gothic Book" w:hAnsi="Franklin Gothic Book"/>
          <w:b/>
          <w:color w:val="365F91" w:themeColor="accent1" w:themeShade="BF"/>
          <w:szCs w:val="20"/>
        </w:rPr>
        <w:br/>
      </w:r>
    </w:p>
    <w:tbl>
      <w:tblPr>
        <w:tblW w:w="9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  <w:gridCol w:w="1920"/>
        <w:gridCol w:w="1920"/>
        <w:gridCol w:w="2020"/>
      </w:tblGrid>
      <w:tr w:rsidR="00260422" w:rsidRPr="00260422" w:rsidTr="00260422">
        <w:trPr>
          <w:trHeight w:val="31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Dôvod nadobudnutia vlastných akcií počas účtovného obdobia</w:t>
            </w:r>
          </w:p>
        </w:tc>
        <w:tc>
          <w:tcPr>
            <w:tcW w:w="7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Bežné účtovné obdobie</w:t>
            </w:r>
          </w:p>
        </w:tc>
      </w:tr>
      <w:tr w:rsidR="00260422" w:rsidRPr="00260422" w:rsidTr="00260422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Stav na začiatku účtovného obdobia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  <w:t>Stav na konci účtovného obdobia</w:t>
            </w:r>
          </w:p>
        </w:tc>
      </w:tr>
      <w:tr w:rsidR="00260422" w:rsidRPr="00260422" w:rsidTr="00260422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Počet akcií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Počet akcií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60422" w:rsidRPr="00260422" w:rsidTr="00260422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Podiel na ZI v 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Podiel na ZI v %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60422" w:rsidRPr="00260422" w:rsidTr="00260422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 xml:space="preserve"> Menovitá hodnota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Menovitá hodnota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60422" w:rsidRPr="00260422" w:rsidTr="00260422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 xml:space="preserve">Hodnota </w:t>
            </w:r>
            <w:proofErr w:type="spellStart"/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nadobudn</w:t>
            </w:r>
            <w:proofErr w:type="spellEnd"/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sk-SK"/>
              </w:rPr>
              <w:t>Hodnota za prevod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60422" w:rsidRPr="00260422" w:rsidTr="009E1D74">
        <w:trPr>
          <w:trHeight w:val="30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9E1D74">
            <w:pPr>
              <w:spacing w:line="240" w:lineRule="auto"/>
              <w:ind w:firstLineChars="100" w:firstLine="200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9E1D74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199 680</w:t>
            </w:r>
            <w:r w:rsidR="00260422" w:rsidRPr="00260422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422" w:rsidRPr="00260422" w:rsidRDefault="00260422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422" w:rsidRPr="00260422" w:rsidRDefault="00260422" w:rsidP="00260422">
            <w:pPr>
              <w:spacing w:line="240" w:lineRule="auto"/>
              <w:ind w:firstLineChars="300" w:firstLine="602"/>
              <w:jc w:val="righ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199 680</w:t>
            </w:r>
            <w:r w:rsidRPr="00260422">
              <w:rPr>
                <w:rFonts w:ascii="Franklin Gothic Book" w:eastAsia="Times New Roman" w:hAnsi="Franklin Gothic Book" w:cs="Arial"/>
                <w:sz w:val="20"/>
                <w:szCs w:val="20"/>
                <w:lang w:eastAsia="sk-SK"/>
              </w:rPr>
              <w:t> </w:t>
            </w:r>
          </w:p>
        </w:tc>
      </w:tr>
      <w:tr w:rsidR="00260422" w:rsidRPr="00260422" w:rsidTr="009E1D74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422" w:rsidRPr="00260422" w:rsidRDefault="00260422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422" w:rsidRPr="00260422" w:rsidRDefault="00260422" w:rsidP="00260422">
            <w:pPr>
              <w:spacing w:line="240" w:lineRule="auto"/>
              <w:ind w:firstLineChars="300" w:firstLine="602"/>
              <w:jc w:val="right"/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</w:tr>
      <w:tr w:rsidR="00260422" w:rsidRPr="00260422" w:rsidTr="009E1D74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422" w:rsidRPr="00260422" w:rsidRDefault="00260422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422" w:rsidRPr="00260422" w:rsidRDefault="00260422" w:rsidP="00260422">
            <w:pPr>
              <w:spacing w:line="240" w:lineRule="auto"/>
              <w:ind w:firstLineChars="300" w:firstLine="602"/>
              <w:jc w:val="right"/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</w:tr>
      <w:tr w:rsidR="00260422" w:rsidRPr="00260422" w:rsidTr="009E1D74">
        <w:trPr>
          <w:trHeight w:val="31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422" w:rsidRPr="00260422" w:rsidRDefault="00260422" w:rsidP="00260422">
            <w:pPr>
              <w:spacing w:line="240" w:lineRule="auto"/>
              <w:ind w:firstLineChars="300" w:firstLine="600"/>
              <w:jc w:val="right"/>
              <w:rPr>
                <w:rFonts w:ascii="Franklin Gothic Book" w:eastAsia="Times New Roman" w:hAnsi="Franklin Gothic Book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422" w:rsidRPr="00260422" w:rsidRDefault="00260422" w:rsidP="00260422">
            <w:pPr>
              <w:spacing w:line="240" w:lineRule="auto"/>
              <w:ind w:firstLineChars="300" w:firstLine="602"/>
              <w:jc w:val="right"/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</w:pPr>
            <w:r w:rsidRPr="00260422">
              <w:rPr>
                <w:rFonts w:ascii="Franklin Gothic Book" w:eastAsia="Times New Roman" w:hAnsi="Franklin Gothic Book" w:cs="Arial"/>
                <w:b/>
                <w:bCs/>
                <w:color w:val="2F75B5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422" w:rsidRPr="00260422" w:rsidRDefault="00260422" w:rsidP="00260422">
            <w:pPr>
              <w:spacing w:line="240" w:lineRule="auto"/>
              <w:rPr>
                <w:rFonts w:ascii="Franklin Gothic Book" w:eastAsia="Times New Roman" w:hAnsi="Franklin Gothic Book" w:cs="Arial"/>
                <w:color w:val="2F75B5"/>
                <w:sz w:val="20"/>
                <w:szCs w:val="20"/>
                <w:lang w:eastAsia="sk-SK"/>
              </w:rPr>
            </w:pPr>
          </w:p>
        </w:tc>
      </w:tr>
    </w:tbl>
    <w:p w:rsidR="00D55AFF" w:rsidRPr="007C198B" w:rsidRDefault="00D55AFF" w:rsidP="00B41CE3">
      <w:pPr>
        <w:pStyle w:val="Bezriadkovania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sz w:val="20"/>
          <w:szCs w:val="20"/>
        </w:rPr>
        <w:br/>
      </w:r>
    </w:p>
    <w:p w:rsidR="006E1ABD" w:rsidRDefault="00D55AFF" w:rsidP="007C198B">
      <w:pPr>
        <w:pStyle w:val="Bezriadkovania"/>
        <w:numPr>
          <w:ilvl w:val="0"/>
          <w:numId w:val="8"/>
        </w:numPr>
        <w:ind w:left="426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b/>
          <w:color w:val="365F91" w:themeColor="accent1" w:themeShade="BF"/>
          <w:szCs w:val="20"/>
        </w:rPr>
        <w:t>Informácie o orgánoch účtovnej jednotky</w:t>
      </w:r>
      <w:r w:rsidRPr="007C198B">
        <w:rPr>
          <w:rFonts w:ascii="Franklin Gothic Book" w:hAnsi="Franklin Gothic Book"/>
          <w:szCs w:val="20"/>
        </w:rPr>
        <w:br/>
      </w:r>
      <w:r w:rsidRPr="007C198B">
        <w:rPr>
          <w:rFonts w:ascii="Franklin Gothic Book" w:hAnsi="Franklin Gothic Book"/>
          <w:sz w:val="20"/>
          <w:szCs w:val="20"/>
        </w:rPr>
        <w:t>Spoločnosť neposkytla členom orgánov ÚJ záruky, zabezpečenia, pôžičky, plnenia na súkromné účely.</w:t>
      </w:r>
      <w:r w:rsidR="006E1ABD">
        <w:rPr>
          <w:rFonts w:ascii="Franklin Gothic Book" w:hAnsi="Franklin Gothic Book"/>
          <w:sz w:val="20"/>
          <w:szCs w:val="20"/>
        </w:rPr>
        <w:br/>
      </w:r>
    </w:p>
    <w:p w:rsidR="00D55AFF" w:rsidRPr="007C198B" w:rsidRDefault="006E1ABD" w:rsidP="007C198B">
      <w:pPr>
        <w:pStyle w:val="Bezriadkovania"/>
        <w:numPr>
          <w:ilvl w:val="0"/>
          <w:numId w:val="8"/>
        </w:numPr>
        <w:ind w:left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color w:val="365F91" w:themeColor="accent1" w:themeShade="BF"/>
          <w:szCs w:val="20"/>
        </w:rPr>
        <w:t>Informácie o kapitálovom fonde z príspevkov</w:t>
      </w:r>
      <w:r>
        <w:rPr>
          <w:rFonts w:ascii="Franklin Gothic Book" w:hAnsi="Franklin Gothic Book"/>
          <w:b/>
          <w:color w:val="365F91" w:themeColor="accent1" w:themeShade="BF"/>
          <w:szCs w:val="20"/>
        </w:rPr>
        <w:br/>
      </w:r>
      <w:r w:rsidRPr="00405B9B">
        <w:rPr>
          <w:rFonts w:ascii="Franklin Gothic Book" w:hAnsi="Franklin Gothic Book"/>
          <w:sz w:val="20"/>
          <w:szCs w:val="20"/>
        </w:rPr>
        <w:t>Spoločnosť neeviduje</w:t>
      </w:r>
      <w:r>
        <w:rPr>
          <w:rFonts w:ascii="Franklin Gothic Book" w:hAnsi="Franklin Gothic Book"/>
          <w:sz w:val="20"/>
          <w:szCs w:val="20"/>
        </w:rPr>
        <w:t xml:space="preserve"> kapitálové fondy z príspevkov</w:t>
      </w:r>
      <w:r w:rsidRPr="002E25E4">
        <w:rPr>
          <w:rFonts w:ascii="Franklin Gothic Book" w:hAnsi="Franklin Gothic Book"/>
          <w:sz w:val="20"/>
          <w:szCs w:val="20"/>
        </w:rPr>
        <w:br/>
      </w:r>
      <w:bookmarkStart w:id="0" w:name="_GoBack"/>
      <w:bookmarkEnd w:id="0"/>
    </w:p>
    <w:p w:rsidR="00BB57F7" w:rsidRPr="007C198B" w:rsidRDefault="00D60D3F" w:rsidP="007C198B">
      <w:pPr>
        <w:pStyle w:val="Bezriadkovania"/>
        <w:numPr>
          <w:ilvl w:val="0"/>
          <w:numId w:val="8"/>
        </w:numPr>
        <w:ind w:left="426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b/>
          <w:color w:val="365F91" w:themeColor="accent1" w:themeShade="BF"/>
          <w:szCs w:val="20"/>
        </w:rPr>
        <w:t>Informácie o</w:t>
      </w:r>
      <w:r w:rsidR="00F81EFA">
        <w:rPr>
          <w:rFonts w:ascii="Franklin Gothic Book" w:hAnsi="Franklin Gothic Book"/>
          <w:b/>
          <w:color w:val="365F91" w:themeColor="accent1" w:themeShade="BF"/>
          <w:szCs w:val="20"/>
        </w:rPr>
        <w:t> povinnostiach účtovnej jednotky</w:t>
      </w:r>
      <w:r w:rsidRPr="007C198B">
        <w:rPr>
          <w:rFonts w:ascii="Franklin Gothic Book" w:hAnsi="Franklin Gothic Book"/>
          <w:szCs w:val="20"/>
        </w:rPr>
        <w:br/>
      </w:r>
      <w:r w:rsidR="00F81EFA">
        <w:rPr>
          <w:rFonts w:ascii="Franklin Gothic Book" w:hAnsi="Franklin Gothic Book"/>
          <w:sz w:val="20"/>
          <w:szCs w:val="20"/>
        </w:rPr>
        <w:t>Spoločnosť neeviduje finančné povinnosti, ktoré sa nevykazujú v súvahe</w:t>
      </w:r>
      <w:r w:rsidR="00BB57F7" w:rsidRPr="007C198B">
        <w:rPr>
          <w:rFonts w:ascii="Franklin Gothic Book" w:hAnsi="Franklin Gothic Book"/>
          <w:sz w:val="20"/>
          <w:szCs w:val="20"/>
        </w:rPr>
        <w:br/>
      </w:r>
    </w:p>
    <w:p w:rsidR="00BB57F7" w:rsidRPr="00BB57F7" w:rsidRDefault="00BB57F7" w:rsidP="007C198B">
      <w:pPr>
        <w:pStyle w:val="Bezriadkovania"/>
        <w:numPr>
          <w:ilvl w:val="0"/>
          <w:numId w:val="8"/>
        </w:numPr>
        <w:ind w:left="426"/>
        <w:rPr>
          <w:rFonts w:ascii="Franklin Gothic Book" w:hAnsi="Franklin Gothic Book"/>
          <w:sz w:val="20"/>
          <w:szCs w:val="20"/>
        </w:rPr>
      </w:pPr>
      <w:r w:rsidRPr="007C198B">
        <w:rPr>
          <w:rFonts w:ascii="Franklin Gothic Book" w:hAnsi="Franklin Gothic Book"/>
          <w:b/>
          <w:color w:val="365F91" w:themeColor="accent1" w:themeShade="BF"/>
          <w:szCs w:val="20"/>
        </w:rPr>
        <w:t>Informácie o</w:t>
      </w:r>
      <w:r w:rsidR="00492219">
        <w:rPr>
          <w:rFonts w:ascii="Franklin Gothic Book" w:hAnsi="Franklin Gothic Book"/>
          <w:b/>
          <w:color w:val="365F91" w:themeColor="accent1" w:themeShade="BF"/>
          <w:szCs w:val="20"/>
        </w:rPr>
        <w:t> udelení výlučného práva</w:t>
      </w:r>
      <w:r w:rsidRPr="007C198B">
        <w:rPr>
          <w:rFonts w:ascii="Franklin Gothic Book" w:hAnsi="Franklin Gothic Book"/>
          <w:szCs w:val="20"/>
        </w:rPr>
        <w:br/>
      </w:r>
      <w:r w:rsidR="00492219">
        <w:rPr>
          <w:rFonts w:ascii="Franklin Gothic Book" w:hAnsi="Franklin Gothic Book"/>
          <w:sz w:val="20"/>
          <w:szCs w:val="20"/>
        </w:rPr>
        <w:t>Spoločnosti nie je udelené výlučné právo alebo osobitné právo ktorým jej bolo udelené právo poskytovať služby vo verejnom záujme, pričom prijíma náhradu za túto činnosť v akejkoľvek forme.</w:t>
      </w:r>
    </w:p>
    <w:p w:rsidR="002A6A21" w:rsidRDefault="002A6A21" w:rsidP="005111AD">
      <w:pPr>
        <w:pStyle w:val="Bezriadkovania"/>
        <w:rPr>
          <w:rFonts w:ascii="Franklin Gothic Book" w:hAnsi="Franklin Gothic Book"/>
          <w:sz w:val="20"/>
          <w:szCs w:val="20"/>
        </w:rPr>
      </w:pPr>
    </w:p>
    <w:p w:rsidR="002A6A21" w:rsidRPr="005111AD" w:rsidRDefault="002A6A21" w:rsidP="005111AD">
      <w:pPr>
        <w:pStyle w:val="Bezriadkovania"/>
        <w:rPr>
          <w:rFonts w:ascii="Franklin Gothic Book" w:hAnsi="Franklin Gothic Book"/>
          <w:sz w:val="20"/>
          <w:szCs w:val="20"/>
        </w:rPr>
      </w:pPr>
    </w:p>
    <w:sectPr w:rsidR="002A6A21" w:rsidRPr="00511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3C" w:rsidRDefault="0057053C" w:rsidP="00096378">
      <w:pPr>
        <w:spacing w:line="240" w:lineRule="auto"/>
      </w:pPr>
      <w:r>
        <w:separator/>
      </w:r>
    </w:p>
  </w:endnote>
  <w:endnote w:type="continuationSeparator" w:id="0">
    <w:p w:rsidR="0057053C" w:rsidRDefault="0057053C" w:rsidP="00096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5435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127E" w:rsidRDefault="00D4127E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D4127E" w:rsidRDefault="00D412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3C" w:rsidRDefault="0057053C" w:rsidP="00096378">
      <w:pPr>
        <w:spacing w:line="240" w:lineRule="auto"/>
      </w:pPr>
      <w:r>
        <w:separator/>
      </w:r>
    </w:p>
  </w:footnote>
  <w:footnote w:type="continuationSeparator" w:id="0">
    <w:p w:rsidR="0057053C" w:rsidRDefault="0057053C" w:rsidP="00096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78" w:rsidRDefault="00096378">
    <w:pPr>
      <w:pStyle w:val="Hlavika"/>
    </w:pPr>
    <w:r w:rsidRPr="00D4127E">
      <w:rPr>
        <w:bdr w:val="single" w:sz="4" w:space="0" w:color="auto"/>
      </w:rPr>
      <w:t xml:space="preserve">Poznámky </w:t>
    </w:r>
    <w:proofErr w:type="spellStart"/>
    <w:r w:rsidRPr="00D4127E">
      <w:rPr>
        <w:bdr w:val="single" w:sz="4" w:space="0" w:color="auto"/>
      </w:rPr>
      <w:t>Úč</w:t>
    </w:r>
    <w:proofErr w:type="spellEnd"/>
    <w:r w:rsidRPr="00D4127E">
      <w:rPr>
        <w:bdr w:val="single" w:sz="4" w:space="0" w:color="auto"/>
      </w:rPr>
      <w:t xml:space="preserve"> MÚJ 3-01</w:t>
    </w:r>
    <w:r>
      <w:ptab w:relativeTo="margin" w:alignment="center" w:leader="none"/>
    </w:r>
    <w:r>
      <w:t xml:space="preserve">IČO: </w:t>
    </w:r>
    <w:r w:rsidR="001616B9">
      <w:t>36</w:t>
    </w:r>
    <w:r w:rsidR="00931FFB">
      <w:t>433829</w:t>
    </w:r>
    <w:r>
      <w:ptab w:relativeTo="margin" w:alignment="right" w:leader="none"/>
    </w:r>
    <w:r>
      <w:t xml:space="preserve">DIČ: </w:t>
    </w:r>
    <w:r w:rsidR="001616B9">
      <w:t>2022</w:t>
    </w:r>
    <w:r w:rsidR="00931FFB">
      <w:t>049887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05"/>
    <w:multiLevelType w:val="hybridMultilevel"/>
    <w:tmpl w:val="66566B88"/>
    <w:lvl w:ilvl="0" w:tplc="CF94134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color w:val="365F91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9AC"/>
    <w:multiLevelType w:val="hybridMultilevel"/>
    <w:tmpl w:val="4022C4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51E"/>
    <w:multiLevelType w:val="hybridMultilevel"/>
    <w:tmpl w:val="4C56F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1CE"/>
    <w:multiLevelType w:val="hybridMultilevel"/>
    <w:tmpl w:val="4C02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911"/>
    <w:multiLevelType w:val="hybridMultilevel"/>
    <w:tmpl w:val="02A00B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1358"/>
    <w:multiLevelType w:val="hybridMultilevel"/>
    <w:tmpl w:val="8CA03FF0"/>
    <w:lvl w:ilvl="0" w:tplc="54EEC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2C0A"/>
    <w:multiLevelType w:val="hybridMultilevel"/>
    <w:tmpl w:val="8C74A46A"/>
    <w:lvl w:ilvl="0" w:tplc="EF54E75E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D38DE8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5747CA"/>
    <w:multiLevelType w:val="hybridMultilevel"/>
    <w:tmpl w:val="0D4A30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8"/>
    <w:rsid w:val="00007E31"/>
    <w:rsid w:val="00065EF7"/>
    <w:rsid w:val="00096378"/>
    <w:rsid w:val="000C5493"/>
    <w:rsid w:val="00111A24"/>
    <w:rsid w:val="001616B9"/>
    <w:rsid w:val="001638CA"/>
    <w:rsid w:val="0016681E"/>
    <w:rsid w:val="00206A9F"/>
    <w:rsid w:val="00215A26"/>
    <w:rsid w:val="00260422"/>
    <w:rsid w:val="002A6A21"/>
    <w:rsid w:val="00322B22"/>
    <w:rsid w:val="003A6846"/>
    <w:rsid w:val="00426A0A"/>
    <w:rsid w:val="00450E9A"/>
    <w:rsid w:val="00472B51"/>
    <w:rsid w:val="00492219"/>
    <w:rsid w:val="004A1385"/>
    <w:rsid w:val="004C5A84"/>
    <w:rsid w:val="004F294D"/>
    <w:rsid w:val="004F46A3"/>
    <w:rsid w:val="005111AD"/>
    <w:rsid w:val="0057053C"/>
    <w:rsid w:val="005C3A3E"/>
    <w:rsid w:val="0067612A"/>
    <w:rsid w:val="006A68E4"/>
    <w:rsid w:val="006E1ABD"/>
    <w:rsid w:val="0074442F"/>
    <w:rsid w:val="00745CEE"/>
    <w:rsid w:val="00763A31"/>
    <w:rsid w:val="007A3708"/>
    <w:rsid w:val="007C198B"/>
    <w:rsid w:val="00856917"/>
    <w:rsid w:val="00876CC8"/>
    <w:rsid w:val="00931FFB"/>
    <w:rsid w:val="009E1D74"/>
    <w:rsid w:val="00A61B2F"/>
    <w:rsid w:val="00AD7E9F"/>
    <w:rsid w:val="00B25B47"/>
    <w:rsid w:val="00B41CE3"/>
    <w:rsid w:val="00B45B0E"/>
    <w:rsid w:val="00B71C4B"/>
    <w:rsid w:val="00B9644D"/>
    <w:rsid w:val="00BB57F7"/>
    <w:rsid w:val="00BE33BE"/>
    <w:rsid w:val="00C729E2"/>
    <w:rsid w:val="00D4127E"/>
    <w:rsid w:val="00D55AFF"/>
    <w:rsid w:val="00D60D3F"/>
    <w:rsid w:val="00D72599"/>
    <w:rsid w:val="00DA23AF"/>
    <w:rsid w:val="00DB1C38"/>
    <w:rsid w:val="00DB6F66"/>
    <w:rsid w:val="00DC5E37"/>
    <w:rsid w:val="00DD67DA"/>
    <w:rsid w:val="00EB77D9"/>
    <w:rsid w:val="00F4089F"/>
    <w:rsid w:val="00F81EFA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Bezriadkovania"/>
    <w:qFormat/>
    <w:rsid w:val="00096378"/>
    <w:pPr>
      <w:spacing w:after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096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37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378"/>
  </w:style>
  <w:style w:type="paragraph" w:styleId="Pta">
    <w:name w:val="footer"/>
    <w:basedOn w:val="Normlny"/>
    <w:link w:val="PtaChar"/>
    <w:uiPriority w:val="99"/>
    <w:unhideWhenUsed/>
    <w:rsid w:val="0009637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378"/>
  </w:style>
  <w:style w:type="paragraph" w:styleId="Textbubliny">
    <w:name w:val="Balloon Text"/>
    <w:basedOn w:val="Normlny"/>
    <w:link w:val="TextbublinyChar"/>
    <w:uiPriority w:val="99"/>
    <w:semiHidden/>
    <w:unhideWhenUsed/>
    <w:rsid w:val="0009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3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9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96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Header">
    <w:name w:val="Top Header"/>
    <w:basedOn w:val="Normlny"/>
    <w:qFormat/>
    <w:rsid w:val="00096378"/>
    <w:pPr>
      <w:spacing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Value">
    <w:name w:val="Value"/>
    <w:basedOn w:val="Normlny"/>
    <w:link w:val="ValueChar"/>
    <w:qFormat/>
    <w:rsid w:val="00096378"/>
    <w:pPr>
      <w:spacing w:line="240" w:lineRule="auto"/>
      <w:jc w:val="right"/>
    </w:pPr>
    <w:rPr>
      <w:rFonts w:ascii="Arial Narrow" w:eastAsia="Times New Roman" w:hAnsi="Arial Narrow" w:cs="Times New Roman"/>
      <w:szCs w:val="24"/>
      <w:lang w:val="x-none"/>
    </w:rPr>
  </w:style>
  <w:style w:type="character" w:customStyle="1" w:styleId="ValueChar">
    <w:name w:val="Value Char"/>
    <w:link w:val="Value"/>
    <w:locked/>
    <w:rsid w:val="00096378"/>
    <w:rPr>
      <w:rFonts w:ascii="Arial Narrow" w:eastAsia="Times New Roman" w:hAnsi="Arial Narrow" w:cs="Times New Roman"/>
      <w:szCs w:val="24"/>
      <w:lang w:val="x-none"/>
    </w:rPr>
  </w:style>
  <w:style w:type="paragraph" w:styleId="Zkladntext">
    <w:name w:val="Body Text"/>
    <w:basedOn w:val="Normlny"/>
    <w:link w:val="ZkladntextChar"/>
    <w:semiHidden/>
    <w:rsid w:val="00472B51"/>
    <w:pPr>
      <w:spacing w:line="240" w:lineRule="auto"/>
      <w:ind w:left="426"/>
      <w:jc w:val="both"/>
    </w:pPr>
    <w:rPr>
      <w:rFonts w:ascii="Cambria" w:eastAsia="Times New Roman" w:hAnsi="Cambria" w:cs="Times New Roman"/>
      <w:sz w:val="18"/>
      <w:szCs w:val="20"/>
      <w:lang w:eastAsia="sk-SK"/>
    </w:rPr>
  </w:style>
  <w:style w:type="paragraph" w:styleId="Bezriadkovania">
    <w:name w:val="No Spacing"/>
    <w:uiPriority w:val="1"/>
    <w:qFormat/>
    <w:rsid w:val="00096378"/>
    <w:pPr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472B51"/>
    <w:rPr>
      <w:rFonts w:ascii="Cambria" w:eastAsia="Times New Roman" w:hAnsi="Cambria" w:cs="Times New Roman"/>
      <w:sz w:val="1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A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Bezriadkovania"/>
    <w:qFormat/>
    <w:rsid w:val="00096378"/>
    <w:pPr>
      <w:spacing w:after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096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37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378"/>
  </w:style>
  <w:style w:type="paragraph" w:styleId="Pta">
    <w:name w:val="footer"/>
    <w:basedOn w:val="Normlny"/>
    <w:link w:val="PtaChar"/>
    <w:uiPriority w:val="99"/>
    <w:unhideWhenUsed/>
    <w:rsid w:val="0009637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378"/>
  </w:style>
  <w:style w:type="paragraph" w:styleId="Textbubliny">
    <w:name w:val="Balloon Text"/>
    <w:basedOn w:val="Normlny"/>
    <w:link w:val="TextbublinyChar"/>
    <w:uiPriority w:val="99"/>
    <w:semiHidden/>
    <w:unhideWhenUsed/>
    <w:rsid w:val="0009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3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9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96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Header">
    <w:name w:val="Top Header"/>
    <w:basedOn w:val="Normlny"/>
    <w:qFormat/>
    <w:rsid w:val="00096378"/>
    <w:pPr>
      <w:spacing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Value">
    <w:name w:val="Value"/>
    <w:basedOn w:val="Normlny"/>
    <w:link w:val="ValueChar"/>
    <w:qFormat/>
    <w:rsid w:val="00096378"/>
    <w:pPr>
      <w:spacing w:line="240" w:lineRule="auto"/>
      <w:jc w:val="right"/>
    </w:pPr>
    <w:rPr>
      <w:rFonts w:ascii="Arial Narrow" w:eastAsia="Times New Roman" w:hAnsi="Arial Narrow" w:cs="Times New Roman"/>
      <w:szCs w:val="24"/>
      <w:lang w:val="x-none"/>
    </w:rPr>
  </w:style>
  <w:style w:type="character" w:customStyle="1" w:styleId="ValueChar">
    <w:name w:val="Value Char"/>
    <w:link w:val="Value"/>
    <w:locked/>
    <w:rsid w:val="00096378"/>
    <w:rPr>
      <w:rFonts w:ascii="Arial Narrow" w:eastAsia="Times New Roman" w:hAnsi="Arial Narrow" w:cs="Times New Roman"/>
      <w:szCs w:val="24"/>
      <w:lang w:val="x-none"/>
    </w:rPr>
  </w:style>
  <w:style w:type="paragraph" w:styleId="Zkladntext">
    <w:name w:val="Body Text"/>
    <w:basedOn w:val="Normlny"/>
    <w:link w:val="ZkladntextChar"/>
    <w:semiHidden/>
    <w:rsid w:val="00472B51"/>
    <w:pPr>
      <w:spacing w:line="240" w:lineRule="auto"/>
      <w:ind w:left="426"/>
      <w:jc w:val="both"/>
    </w:pPr>
    <w:rPr>
      <w:rFonts w:ascii="Cambria" w:eastAsia="Times New Roman" w:hAnsi="Cambria" w:cs="Times New Roman"/>
      <w:sz w:val="18"/>
      <w:szCs w:val="20"/>
      <w:lang w:eastAsia="sk-SK"/>
    </w:rPr>
  </w:style>
  <w:style w:type="paragraph" w:styleId="Bezriadkovania">
    <w:name w:val="No Spacing"/>
    <w:uiPriority w:val="1"/>
    <w:qFormat/>
    <w:rsid w:val="00096378"/>
    <w:pPr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472B51"/>
    <w:rPr>
      <w:rFonts w:ascii="Cambria" w:eastAsia="Times New Roman" w:hAnsi="Cambria" w:cs="Times New Roman"/>
      <w:sz w:val="1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A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2019-03-21T09:20:00Z</dcterms:created>
  <dcterms:modified xsi:type="dcterms:W3CDTF">2019-03-21T09:22:00Z</dcterms:modified>
</cp:coreProperties>
</file>