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2DC0" w:rsidRDefault="001A2DC0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1A2DC0" w:rsidRDefault="00585A8F">
      <w:pPr>
        <w:pStyle w:val="Nadpis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Čl. I. </w:t>
      </w:r>
      <w:r w:rsidR="00111F47">
        <w:rPr>
          <w:rFonts w:ascii="Times New Roman" w:hAnsi="Times New Roman" w:cs="Times New Roman"/>
          <w:sz w:val="24"/>
          <w:szCs w:val="24"/>
        </w:rPr>
        <w:t>Informácie o</w:t>
      </w:r>
      <w:r>
        <w:rPr>
          <w:rFonts w:ascii="Times New Roman" w:hAnsi="Times New Roman" w:cs="Times New Roman"/>
          <w:sz w:val="24"/>
          <w:szCs w:val="24"/>
        </w:rPr>
        <w:t> </w:t>
      </w:r>
      <w:r w:rsidR="00111F47">
        <w:rPr>
          <w:rFonts w:ascii="Times New Roman" w:hAnsi="Times New Roman" w:cs="Times New Roman"/>
          <w:sz w:val="24"/>
          <w:szCs w:val="24"/>
        </w:rPr>
        <w:t>družstve</w:t>
      </w:r>
    </w:p>
    <w:p w:rsidR="00585A8F" w:rsidRPr="00585A8F" w:rsidRDefault="00585A8F" w:rsidP="00585A8F"/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a/ </w:t>
      </w:r>
      <w:proofErr w:type="spellStart"/>
      <w:r>
        <w:rPr>
          <w:rFonts w:ascii="Times New Roman" w:hAnsi="Times New Roman" w:cs="Times New Roman"/>
          <w:sz w:val="24"/>
          <w:szCs w:val="24"/>
        </w:rPr>
        <w:t>Vinohradnícko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vinárske družstvo podielnikov KARPATY, družstvo bolo založené dňa 15.06.1995 a do Obchodného registra Okresného súdu Bratislava I. v Bratislave, oddiel </w:t>
      </w:r>
      <w:proofErr w:type="spellStart"/>
      <w:r>
        <w:rPr>
          <w:rFonts w:ascii="Times New Roman" w:hAnsi="Times New Roman" w:cs="Times New Roman"/>
          <w:sz w:val="24"/>
          <w:szCs w:val="24"/>
        </w:rPr>
        <w:t>Dr</w:t>
      </w:r>
      <w:proofErr w:type="spellEnd"/>
      <w:r>
        <w:rPr>
          <w:rFonts w:ascii="Times New Roman" w:hAnsi="Times New Roman" w:cs="Times New Roman"/>
          <w:sz w:val="24"/>
          <w:szCs w:val="24"/>
        </w:rPr>
        <w:t>, vložka 258/B, bolo zapísané dňa 11.07.1995.</w:t>
      </w:r>
    </w:p>
    <w:p w:rsidR="001A2DC0" w:rsidRDefault="001A2DC0">
      <w:pPr>
        <w:rPr>
          <w:rFonts w:ascii="Times New Roman" w:hAnsi="Times New Roman" w:cs="Times New Roman"/>
          <w:sz w:val="24"/>
          <w:szCs w:val="24"/>
        </w:rPr>
      </w:pP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b/ Medzi hlavné činnosti družstva patrí :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špeciálna rastlinná výroba - pestovanie hrozna 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spracovanie hrozna – výroba vína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rastlinná výroba poľná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poskytovanie služieb poľnohospodárskymi strojmi v oblasti pestovania a ochrany rastlín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výkon rybárskeho práva v osobitnom režime</w:t>
      </w:r>
    </w:p>
    <w:p w:rsidR="001A2DC0" w:rsidRDefault="001A2DC0">
      <w:pPr>
        <w:rPr>
          <w:rFonts w:ascii="Times New Roman" w:hAnsi="Times New Roman" w:cs="Times New Roman"/>
          <w:b/>
          <w:bCs/>
          <w:sz w:val="24"/>
          <w:szCs w:val="24"/>
        </w:rPr>
      </w:pPr>
    </w:p>
    <w:p w:rsidR="00892914" w:rsidRDefault="00892914">
      <w:pPr>
        <w:rPr>
          <w:rFonts w:ascii="Times New Roman" w:hAnsi="Times New Roman" w:cs="Times New Roman"/>
          <w:bCs/>
          <w:sz w:val="24"/>
          <w:szCs w:val="24"/>
        </w:rPr>
      </w:pPr>
      <w:r w:rsidRPr="00892914">
        <w:rPr>
          <w:rFonts w:ascii="Times New Roman" w:hAnsi="Times New Roman" w:cs="Times New Roman"/>
          <w:bCs/>
          <w:sz w:val="24"/>
          <w:szCs w:val="24"/>
        </w:rPr>
        <w:t>c) Počet zamestnancov družstva: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806"/>
        <w:gridCol w:w="2726"/>
        <w:gridCol w:w="2962"/>
      </w:tblGrid>
      <w:tr w:rsidR="00892914" w:rsidRPr="003F477D" w:rsidTr="00892914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92914" w:rsidRPr="003F477D" w:rsidRDefault="00892914" w:rsidP="00892914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92914" w:rsidRPr="003F477D" w:rsidRDefault="00892914" w:rsidP="0089291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892914" w:rsidRPr="003F477D" w:rsidRDefault="00892914" w:rsidP="0089291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92914" w:rsidRPr="003F477D" w:rsidTr="00892914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892914" w:rsidRPr="003F477D" w:rsidRDefault="00892914" w:rsidP="00892914">
            <w:pPr>
              <w:spacing w:after="0" w:line="240" w:lineRule="auto"/>
            </w:pPr>
            <w:r w:rsidRPr="003F477D"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92914" w:rsidRPr="003F477D" w:rsidRDefault="00CA3F54" w:rsidP="00892914">
            <w:pPr>
              <w:spacing w:after="0" w:line="240" w:lineRule="auto"/>
              <w:jc w:val="center"/>
            </w:pPr>
            <w:r>
              <w:t>2</w:t>
            </w:r>
            <w:r w:rsidR="00B913D7"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892914" w:rsidRPr="003F477D" w:rsidRDefault="00CA3F54" w:rsidP="00892914">
            <w:pPr>
              <w:spacing w:after="0" w:line="240" w:lineRule="auto"/>
              <w:jc w:val="center"/>
            </w:pPr>
            <w:r>
              <w:t>22</w:t>
            </w:r>
          </w:p>
        </w:tc>
      </w:tr>
      <w:tr w:rsidR="00892914" w:rsidRPr="003F477D" w:rsidTr="00892914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892914" w:rsidRPr="003F477D" w:rsidRDefault="00892914" w:rsidP="00892914">
            <w:pPr>
              <w:spacing w:after="0" w:line="240" w:lineRule="auto"/>
            </w:pPr>
            <w:r w:rsidRPr="003F477D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892914" w:rsidRPr="003F477D" w:rsidRDefault="00FA247E" w:rsidP="00892914">
            <w:pPr>
              <w:spacing w:after="0" w:line="240" w:lineRule="auto"/>
              <w:jc w:val="center"/>
            </w:pPr>
            <w:r>
              <w:t>2</w:t>
            </w:r>
            <w:r w:rsidR="00CA3F54"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892914" w:rsidRPr="003F477D" w:rsidRDefault="00B913D7" w:rsidP="00892914">
            <w:pPr>
              <w:spacing w:after="0" w:line="240" w:lineRule="auto"/>
              <w:jc w:val="center"/>
            </w:pPr>
            <w:r>
              <w:t>21</w:t>
            </w:r>
          </w:p>
        </w:tc>
      </w:tr>
      <w:tr w:rsidR="00892914" w:rsidRPr="003F477D" w:rsidTr="00892914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92914" w:rsidRPr="003F477D" w:rsidRDefault="00892914" w:rsidP="00892914">
            <w:pPr>
              <w:spacing w:after="0" w:line="240" w:lineRule="auto"/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92914" w:rsidRPr="00585A8F" w:rsidRDefault="00892914" w:rsidP="00892914">
            <w:pPr>
              <w:spacing w:after="0" w:line="240" w:lineRule="auto"/>
              <w:jc w:val="center"/>
            </w:pPr>
            <w:r w:rsidRPr="00585A8F">
              <w:t>3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892914" w:rsidRPr="003F477D" w:rsidRDefault="00892914" w:rsidP="00892914">
            <w:pPr>
              <w:spacing w:after="0" w:line="240" w:lineRule="auto"/>
              <w:jc w:val="center"/>
            </w:pPr>
            <w:r>
              <w:t>3</w:t>
            </w:r>
          </w:p>
        </w:tc>
      </w:tr>
    </w:tbl>
    <w:p w:rsidR="00892914" w:rsidRPr="00892914" w:rsidRDefault="00892914">
      <w:pPr>
        <w:rPr>
          <w:rFonts w:ascii="Times New Roman" w:hAnsi="Times New Roman" w:cs="Times New Roman"/>
          <w:bCs/>
          <w:sz w:val="24"/>
          <w:szCs w:val="24"/>
        </w:rPr>
      </w:pP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d/ Družstvo nie je neobmedzene ručiacim spoločníkom v žiadnej spoločnosti</w:t>
      </w:r>
    </w:p>
    <w:p w:rsidR="001A2DC0" w:rsidRDefault="001A2DC0">
      <w:pPr>
        <w:rPr>
          <w:rFonts w:ascii="Times New Roman" w:hAnsi="Times New Roman" w:cs="Times New Roman"/>
          <w:sz w:val="24"/>
          <w:szCs w:val="24"/>
        </w:rPr>
      </w:pP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e/ Účtovn</w:t>
      </w:r>
      <w:r w:rsidR="00FA247E">
        <w:rPr>
          <w:rFonts w:ascii="Times New Roman" w:hAnsi="Times New Roman" w:cs="Times New Roman"/>
          <w:sz w:val="24"/>
          <w:szCs w:val="24"/>
        </w:rPr>
        <w:t>á závierka družstva k 31.12.201</w:t>
      </w:r>
      <w:r w:rsidR="00B913D7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je zostavená ako riadna účtovná závierka podľa § 17 ods.6 zákona č.431/2002 </w:t>
      </w:r>
      <w:proofErr w:type="spellStart"/>
      <w:r>
        <w:rPr>
          <w:rFonts w:ascii="Times New Roman" w:hAnsi="Times New Roman" w:cs="Times New Roman"/>
          <w:sz w:val="24"/>
          <w:szCs w:val="24"/>
        </w:rPr>
        <w:t>Z.z</w:t>
      </w:r>
      <w:proofErr w:type="spellEnd"/>
      <w:r>
        <w:rPr>
          <w:rFonts w:ascii="Times New Roman" w:hAnsi="Times New Roman" w:cs="Times New Roman"/>
          <w:sz w:val="24"/>
          <w:szCs w:val="24"/>
        </w:rPr>
        <w:t>. o účtovníctve v znení neskorších predpisov.</w:t>
      </w:r>
    </w:p>
    <w:p w:rsidR="001A2DC0" w:rsidRDefault="001A2DC0">
      <w:pPr>
        <w:rPr>
          <w:rFonts w:ascii="Times New Roman" w:hAnsi="Times New Roman" w:cs="Times New Roman"/>
          <w:sz w:val="24"/>
          <w:szCs w:val="24"/>
        </w:rPr>
      </w:pPr>
    </w:p>
    <w:p w:rsidR="001A2DC0" w:rsidRDefault="00CA3F5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f/ Účtovná závierka k 31.12.201</w:t>
      </w:r>
      <w:r w:rsidR="00B913D7">
        <w:rPr>
          <w:rFonts w:ascii="Times New Roman" w:hAnsi="Times New Roman" w:cs="Times New Roman"/>
          <w:sz w:val="24"/>
          <w:szCs w:val="24"/>
        </w:rPr>
        <w:t>7</w:t>
      </w:r>
      <w:r w:rsidR="00111F47">
        <w:rPr>
          <w:rFonts w:ascii="Times New Roman" w:hAnsi="Times New Roman" w:cs="Times New Roman"/>
          <w:sz w:val="24"/>
          <w:szCs w:val="24"/>
        </w:rPr>
        <w:t xml:space="preserve"> bola schválená za predchádzajúce účtovné obdobie členskou schôdzou dňa </w:t>
      </w:r>
      <w:r w:rsidR="00E31E62">
        <w:rPr>
          <w:rFonts w:ascii="Times New Roman" w:hAnsi="Times New Roman" w:cs="Times New Roman"/>
          <w:sz w:val="24"/>
          <w:szCs w:val="24"/>
        </w:rPr>
        <w:t>18</w:t>
      </w:r>
      <w:r w:rsidR="00111F47">
        <w:rPr>
          <w:rFonts w:ascii="Times New Roman" w:hAnsi="Times New Roman" w:cs="Times New Roman"/>
          <w:sz w:val="24"/>
          <w:szCs w:val="24"/>
        </w:rPr>
        <w:t>.</w:t>
      </w:r>
      <w:r w:rsidR="00E31E62">
        <w:rPr>
          <w:rFonts w:ascii="Times New Roman" w:hAnsi="Times New Roman" w:cs="Times New Roman"/>
          <w:sz w:val="24"/>
          <w:szCs w:val="24"/>
        </w:rPr>
        <w:t>05.2018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Účtovná závierka družstva spolu s výročnou správou </w:t>
      </w:r>
      <w:r w:rsidR="007478A6">
        <w:rPr>
          <w:rFonts w:ascii="Times New Roman" w:hAnsi="Times New Roman" w:cs="Times New Roman"/>
          <w:sz w:val="24"/>
          <w:szCs w:val="24"/>
        </w:rPr>
        <w:t>za rok 201</w:t>
      </w:r>
      <w:r w:rsidR="00E31E62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bola uložená do zbierky listín obchodného registra .</w:t>
      </w:r>
    </w:p>
    <w:p w:rsidR="001A2DC0" w:rsidRDefault="001A2DC0">
      <w:pPr>
        <w:rPr>
          <w:rFonts w:ascii="Times New Roman" w:hAnsi="Times New Roman" w:cs="Times New Roman"/>
          <w:b/>
          <w:bCs/>
          <w:sz w:val="24"/>
          <w:szCs w:val="24"/>
        </w:rPr>
      </w:pPr>
    </w:p>
    <w:p w:rsidR="00585A8F" w:rsidRDefault="00FA647A">
      <w:pPr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lastRenderedPageBreak/>
        <w:t>Čl.II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  <w:r w:rsidR="00585A8F">
        <w:rPr>
          <w:rFonts w:ascii="Times New Roman" w:hAnsi="Times New Roman" w:cs="Times New Roman"/>
          <w:b/>
          <w:bCs/>
          <w:sz w:val="24"/>
          <w:szCs w:val="24"/>
        </w:rPr>
        <w:t xml:space="preserve"> Informácie o orgánoch spoločnosti</w:t>
      </w:r>
    </w:p>
    <w:p w:rsidR="00585A8F" w:rsidRPr="00585A8F" w:rsidRDefault="00585A8F" w:rsidP="00585A8F">
      <w:pPr>
        <w:ind w:firstLine="708"/>
        <w:rPr>
          <w:rFonts w:ascii="Times New Roman" w:hAnsi="Times New Roman" w:cs="Times New Roman"/>
          <w:bCs/>
          <w:sz w:val="24"/>
          <w:szCs w:val="24"/>
        </w:rPr>
      </w:pPr>
      <w:r w:rsidRPr="00585A8F">
        <w:rPr>
          <w:rFonts w:ascii="Times New Roman" w:hAnsi="Times New Roman" w:cs="Times New Roman"/>
          <w:bCs/>
          <w:sz w:val="24"/>
          <w:szCs w:val="24"/>
        </w:rPr>
        <w:t>Členom predstavenstva a dozornej rady družstva neboli poskytnuté žiadne záruky ani pôžičky.</w:t>
      </w:r>
    </w:p>
    <w:p w:rsidR="00585A8F" w:rsidRDefault="00585A8F">
      <w:pPr>
        <w:rPr>
          <w:rFonts w:ascii="Times New Roman" w:hAnsi="Times New Roman" w:cs="Times New Roman"/>
          <w:b/>
          <w:bCs/>
          <w:sz w:val="24"/>
          <w:szCs w:val="24"/>
        </w:rPr>
      </w:pPr>
    </w:p>
    <w:p w:rsidR="001A2DC0" w:rsidRDefault="00FA647A">
      <w:pPr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Čl.III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  <w:r w:rsidR="00585A8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111F47">
        <w:rPr>
          <w:rFonts w:ascii="Times New Roman" w:hAnsi="Times New Roman" w:cs="Times New Roman"/>
          <w:b/>
          <w:bCs/>
          <w:sz w:val="24"/>
          <w:szCs w:val="24"/>
        </w:rPr>
        <w:t>Informácie o</w:t>
      </w:r>
      <w:r w:rsidR="00585A8F">
        <w:rPr>
          <w:rFonts w:ascii="Times New Roman" w:hAnsi="Times New Roman" w:cs="Times New Roman"/>
          <w:b/>
          <w:bCs/>
          <w:sz w:val="24"/>
          <w:szCs w:val="24"/>
        </w:rPr>
        <w:t> prijatých postupoch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Účtovná závierka bola zostavená za predpokladu nepretržitého trvania obchodnej spoločnosti. Základné účtovné metódy použité pri zostavovaní tejto individuálnej účtovnej závierky sú opísané nižšie . Tieto metódy sa uplatňujú konzistentne počas všetkých účtovných období.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Dlhodobý nehmotný majetok</w:t>
      </w:r>
      <w:r>
        <w:rPr>
          <w:rFonts w:ascii="Times New Roman" w:hAnsi="Times New Roman" w:cs="Times New Roman"/>
          <w:sz w:val="24"/>
          <w:szCs w:val="24"/>
        </w:rPr>
        <w:t xml:space="preserve"> nakupovaný sa oceňuje obstarávacou cenou, ktorá zahŕňa cenu obstarania a náklady súvisiace s obstaraním.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Odpisy dlhodobého nehmotného majetku sú stanovené podľa predpokladanej doby  používania. Nehmotný majetok, ktorého obstarávacia cena je 2400 EUR a nižšia, s dobou použiteľnosti dlhšou ako 1 rok, sa účtuje na účet 518-ostatné služby</w:t>
      </w:r>
    </w:p>
    <w:p w:rsidR="001A2DC0" w:rsidRDefault="001A2DC0">
      <w:pPr>
        <w:rPr>
          <w:rFonts w:ascii="Times New Roman" w:hAnsi="Times New Roman" w:cs="Times New Roman"/>
          <w:sz w:val="24"/>
          <w:szCs w:val="24"/>
        </w:rPr>
      </w:pPr>
    </w:p>
    <w:p w:rsidR="001A2DC0" w:rsidRDefault="00111F47">
      <w:pPr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Dlhodobý hmotný majetok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nakupovaný sa oceňuje obstarávacou cenou, ktorá zahŕňa cenu obstarania a náklady súvisiace s obstaraním.</w:t>
      </w:r>
    </w:p>
    <w:p w:rsidR="001A2DC0" w:rsidRDefault="00111F47">
      <w:pPr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Do dlhodobého hmotného majetku patrí majetok, ku ktorému má družstvo vlastnícke právo.</w:t>
      </w:r>
    </w:p>
    <w:p w:rsidR="001A2DC0" w:rsidRDefault="00111F47">
      <w:pPr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Odpisy dlhodobého hmotného majetku sú stanovené podľa predpokladanej doby používania a predpokladaného priebehu jeho opotrebovania.</w:t>
      </w:r>
      <w:r w:rsidR="001B7EA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Odpisovať sa začína v mesiaci zaradenia dlhodobého majetku do používania.</w:t>
      </w:r>
    </w:p>
    <w:p w:rsidR="001A2DC0" w:rsidRDefault="00111F47">
      <w:pPr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O dlhodobom hmotnom majetku, ktorého obstarávacia cena je nižšia ako 1700 EUR sa účtuje ako o spotrebe materiálu alebo zásobách. Pozemky sa neodpisujú. </w:t>
      </w:r>
    </w:p>
    <w:p w:rsidR="001A2DC0" w:rsidRDefault="00111F47">
      <w:pPr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Technické zhodnotenie dlhodobého hmotného majetku  nie je technickým zhodnotením, ak neprevyšuje úhrnne za účtovné obdobie sumu 1700 EUR.</w:t>
      </w:r>
    </w:p>
    <w:p w:rsidR="001A2DC0" w:rsidRDefault="001A2DC0">
      <w:pPr>
        <w:rPr>
          <w:rFonts w:ascii="Times New Roman" w:hAnsi="Times New Roman" w:cs="Times New Roman"/>
          <w:color w:val="000000"/>
          <w:sz w:val="24"/>
          <w:szCs w:val="24"/>
        </w:rPr>
      </w:pP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Zásoby –</w:t>
      </w:r>
      <w:r>
        <w:rPr>
          <w:rFonts w:ascii="Times New Roman" w:hAnsi="Times New Roman" w:cs="Times New Roman"/>
          <w:sz w:val="24"/>
          <w:szCs w:val="24"/>
        </w:rPr>
        <w:t>Do zásob účtovnej jednotky patrí skladovaný materiál a vlastné výrobky z výrobnej činnosti.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Materiál sa oceňuje obstarávacou cenou, ktorú tvorí cena obstarania a náklady súvisiace s obstaraním.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Vlastné výrobky sa oceňujú vlastnými nákladmi, ktoré zahrňujú priame náklady( priamy materiál, priame mzdy a ostatné priame náklady) a časť nepriamych nákladov bezprostredne súvisiacich s vytvorením zásob vlastnou činnosťou ( výrobná réžia ). 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Zásoby sa v účtovnej závierke vykazujú ocenením obstarávacou cenou - nakupované zásoby a vlastnými nákladmi - zásoby vytvorené vlastnou činnosťou.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Neskladovateľnými zásobami sú 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-náhradné diely na stroje a zariadenia a dopravné prostriedky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-kancelárske potreby, hygienický čistiaci materiál, knihy, odborné časopisy a noviny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-ochranné pracovné pomôcky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-obaly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Do noriem prirodzených úbytkov pri účtovaní zásob vína patria </w:t>
      </w:r>
      <w:proofErr w:type="spellStart"/>
      <w:r>
        <w:rPr>
          <w:rFonts w:ascii="Times New Roman" w:hAnsi="Times New Roman" w:cs="Times New Roman"/>
          <w:sz w:val="24"/>
          <w:szCs w:val="24"/>
        </w:rPr>
        <w:t>výtraty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1A2DC0" w:rsidRDefault="001A2DC0" w:rsidP="001A58FE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rPr>
          <w:rFonts w:ascii="Times New Roman" w:hAnsi="Times New Roman" w:cs="Times New Roman"/>
          <w:color w:val="000000"/>
        </w:rPr>
      </w:pPr>
    </w:p>
    <w:p w:rsidR="001A2DC0" w:rsidRDefault="00111F47" w:rsidP="001A58FE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rPr>
          <w:rFonts w:ascii="Times New Roman" w:hAnsi="Times New Roman" w:cs="Times New Roman"/>
          <w:b/>
          <w:bCs/>
          <w:color w:val="000000"/>
        </w:rPr>
      </w:pPr>
      <w:r>
        <w:rPr>
          <w:rFonts w:ascii="Times New Roman" w:hAnsi="Times New Roman" w:cs="Times New Roman"/>
          <w:b/>
          <w:bCs/>
          <w:color w:val="000000"/>
        </w:rPr>
        <w:t>Pohľadávky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Pohľadávky pri ich vzniku sa oceňujú menovitou hodnotou. Zníženie ocenenia pohľadávok prostredníctvom tvorby opravných položiek sa tvorí k pochybným pohľadávkam a nevymožiteľným pohľadávkam.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Pohľadávky s dobou splatnosti odo dňa , ku ktorému sa zostavuje účtovná závierka, viac ako 12 mesiacov sú dlhodobé a pohľadávky s dobou splatnosti odo dňa, ku ktorému sa zostavuje účtovná závierka, menej ako 12 mesiacov sa vykazujú ako krátkodobé.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Ak je zostatková doba splatnosti pohľadávky dlhšia ako jeden rok, vytvára sa opravná položka, ktorá predstavuje rozdiel medzi menovitou a súčasnou hodnotou pohľadávky.</w:t>
      </w:r>
    </w:p>
    <w:p w:rsidR="001A2DC0" w:rsidRDefault="001A2DC0" w:rsidP="001A58FE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color w:val="000000"/>
        </w:rPr>
      </w:pPr>
    </w:p>
    <w:p w:rsidR="001A2DC0" w:rsidRDefault="00111F47" w:rsidP="001A58FE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rPr>
          <w:rFonts w:ascii="Times New Roman" w:hAnsi="Times New Roman" w:cs="Times New Roman"/>
          <w:b/>
          <w:bCs/>
          <w:color w:val="000000"/>
        </w:rPr>
      </w:pPr>
      <w:r>
        <w:rPr>
          <w:rFonts w:ascii="Times New Roman" w:hAnsi="Times New Roman" w:cs="Times New Roman"/>
          <w:b/>
          <w:bCs/>
          <w:color w:val="000000"/>
        </w:rPr>
        <w:t>Peňažné prostriedky, ekvivalenty peňažných prostriedkov</w:t>
      </w:r>
    </w:p>
    <w:p w:rsidR="001A2DC0" w:rsidRDefault="00111F47" w:rsidP="001A58FE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Peňažné prostriedky a ceniny sa oceňujú menovitou hodnotou. Zníženie ich hodnoty sa vyjadruje opravnou položkou. Peňažné prostriedky a peňažné ekvivalenty zahŕňajú peňažnú hotovosť, termínované vklady v bankách.</w:t>
      </w:r>
    </w:p>
    <w:p w:rsidR="001A2DC0" w:rsidRDefault="001A2DC0" w:rsidP="001A58FE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rPr>
          <w:rFonts w:ascii="Times New Roman" w:hAnsi="Times New Roman" w:cs="Times New Roman"/>
          <w:color w:val="000000"/>
        </w:rPr>
      </w:pPr>
    </w:p>
    <w:p w:rsidR="001A2DC0" w:rsidRDefault="00111F47" w:rsidP="001A58FE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rPr>
          <w:rFonts w:ascii="Times New Roman" w:hAnsi="Times New Roman" w:cs="Times New Roman"/>
          <w:b/>
          <w:bCs/>
          <w:color w:val="000000"/>
        </w:rPr>
      </w:pPr>
      <w:r>
        <w:rPr>
          <w:rFonts w:ascii="Times New Roman" w:hAnsi="Times New Roman" w:cs="Times New Roman"/>
          <w:b/>
          <w:bCs/>
          <w:color w:val="000000"/>
        </w:rPr>
        <w:t xml:space="preserve"> Náklady budúcich období a príjmy budúcich období</w:t>
      </w:r>
    </w:p>
    <w:p w:rsidR="001A2DC0" w:rsidRDefault="00111F47" w:rsidP="001A58FE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Náklady budúcich období a príjmy sa vykazujú vo výške, ktorá je potrebná na dodržanie zásady vecnej a časovej súvislosti s účtovným obdobím.</w:t>
      </w:r>
    </w:p>
    <w:p w:rsidR="001A2DC0" w:rsidRDefault="001A2DC0" w:rsidP="001A58FE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rPr>
          <w:rFonts w:ascii="Times New Roman" w:hAnsi="Times New Roman" w:cs="Times New Roman"/>
          <w:color w:val="000000"/>
        </w:rPr>
      </w:pPr>
    </w:p>
    <w:p w:rsidR="001A2DC0" w:rsidRDefault="00111F47" w:rsidP="001A58FE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rPr>
          <w:rFonts w:ascii="Times New Roman" w:hAnsi="Times New Roman" w:cs="Times New Roman"/>
          <w:b/>
          <w:bCs/>
          <w:color w:val="000000"/>
        </w:rPr>
      </w:pPr>
      <w:r>
        <w:rPr>
          <w:rFonts w:ascii="Times New Roman" w:hAnsi="Times New Roman" w:cs="Times New Roman"/>
          <w:b/>
          <w:bCs/>
          <w:color w:val="000000"/>
        </w:rPr>
        <w:t xml:space="preserve"> Rezervy</w:t>
      </w:r>
    </w:p>
    <w:p w:rsidR="001A2DC0" w:rsidRDefault="00111F47">
      <w:pPr>
        <w:pStyle w:val="NaZacatek"/>
        <w:widowControl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Rezervy sa vytvárajú, ak má družstvo súčasný zákonný, zmluvný alebo mimozmluvný záväzok, ktorý je dôsledkom minulých udalostí a na základe ktorého pravdepodobne dôjde k úbytku ekonomických úžitkov a zároveň je možné vykonať spoľahlivý odhad výšky týchto</w:t>
      </w:r>
    </w:p>
    <w:p w:rsidR="001A2DC0" w:rsidRDefault="00111F4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záväzkov.</w:t>
      </w:r>
    </w:p>
    <w:p w:rsidR="001A2DC0" w:rsidRDefault="00111F4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Rezervy sa oceňujú v očakávanej výške záväzku odhadom.</w:t>
      </w:r>
    </w:p>
    <w:p w:rsidR="001A2DC0" w:rsidRDefault="00111F4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Družstvo vytvára rezervy na nevyčerpané dovolenky zamestnancami za uplynulé účtovné obdobie vrátane sociálneho poistenia .Rezerva sa vytvára vo výške hrubých miezd a platov na základe  priemernej mzdy zamestnanca a počtu dní nevyčerpanej dovolenky.</w:t>
      </w:r>
    </w:p>
    <w:p w:rsidR="001A2DC0" w:rsidRDefault="001A2DC0" w:rsidP="001A58FE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rPr>
          <w:rFonts w:ascii="Times New Roman" w:hAnsi="Times New Roman" w:cs="Times New Roman"/>
          <w:color w:val="000000"/>
        </w:rPr>
      </w:pPr>
    </w:p>
    <w:p w:rsidR="001A2DC0" w:rsidRDefault="00111F47" w:rsidP="001A58FE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rPr>
          <w:rFonts w:ascii="Times New Roman" w:hAnsi="Times New Roman" w:cs="Times New Roman"/>
          <w:b/>
          <w:bCs/>
          <w:color w:val="000000"/>
        </w:rPr>
      </w:pPr>
      <w:r>
        <w:rPr>
          <w:rFonts w:ascii="Times New Roman" w:hAnsi="Times New Roman" w:cs="Times New Roman"/>
          <w:b/>
          <w:bCs/>
          <w:color w:val="000000"/>
        </w:rPr>
        <w:t xml:space="preserve"> Záväzky</w:t>
      </w:r>
    </w:p>
    <w:p w:rsidR="001A2DC0" w:rsidRDefault="00111F47" w:rsidP="001A58FE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9C20CB" w:rsidRDefault="009C20CB" w:rsidP="001A58FE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rPr>
          <w:rFonts w:ascii="Times New Roman" w:hAnsi="Times New Roman" w:cs="Times New Roman"/>
          <w:color w:val="000000"/>
        </w:rPr>
      </w:pPr>
    </w:p>
    <w:p w:rsidR="001A2DC0" w:rsidRDefault="00111F47" w:rsidP="001A58FE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rPr>
          <w:rFonts w:ascii="Times New Roman" w:hAnsi="Times New Roman" w:cs="Times New Roman"/>
          <w:b/>
          <w:bCs/>
          <w:color w:val="000000"/>
        </w:rPr>
      </w:pPr>
      <w:r>
        <w:rPr>
          <w:rFonts w:ascii="Times New Roman" w:hAnsi="Times New Roman" w:cs="Times New Roman"/>
          <w:b/>
          <w:bCs/>
          <w:color w:val="000000"/>
        </w:rPr>
        <w:t xml:space="preserve"> Výdavky budúcich období a výnosy budúcich období</w:t>
      </w:r>
    </w:p>
    <w:p w:rsidR="001A2DC0" w:rsidRDefault="00111F47" w:rsidP="001A58FE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Výdavky budúcich období a výnosy budúcich období sa vykazujú vo výške, ktorá je potrebná na dodržanie zásady vecnej a časovej súvislosti s účtovným obdobím.</w:t>
      </w:r>
    </w:p>
    <w:p w:rsidR="001A2DC0" w:rsidRDefault="001A2DC0" w:rsidP="001A58FE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rPr>
          <w:rFonts w:ascii="Times New Roman" w:hAnsi="Times New Roman" w:cs="Times New Roman"/>
          <w:color w:val="000000"/>
        </w:rPr>
      </w:pPr>
    </w:p>
    <w:p w:rsidR="009C20CB" w:rsidRDefault="00111F47" w:rsidP="001A58FE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rPr>
          <w:rFonts w:ascii="Times New Roman" w:hAnsi="Times New Roman" w:cs="Times New Roman"/>
          <w:b/>
          <w:bCs/>
          <w:color w:val="000000"/>
        </w:rPr>
      </w:pPr>
      <w:r>
        <w:rPr>
          <w:rFonts w:ascii="Times New Roman" w:hAnsi="Times New Roman" w:cs="Times New Roman"/>
          <w:b/>
          <w:bCs/>
          <w:color w:val="000000"/>
        </w:rPr>
        <w:t>Dotácie a podpory zo štátneho rozpočtu a fondov EÚ</w:t>
      </w:r>
    </w:p>
    <w:p w:rsidR="001A2DC0" w:rsidRDefault="00111F47" w:rsidP="001A58FE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 nároku na dotácie a podpory sa účtuje, ak je takmer isté že na základe splnených podmienok na poskytnutie dotácie sa družstvu dotácia poskytne.</w:t>
      </w:r>
    </w:p>
    <w:p w:rsidR="00F646EB" w:rsidRDefault="00F646E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Družstvu bola poskytnutá dotácia PPA Bratislava formou</w:t>
      </w:r>
    </w:p>
    <w:p w:rsidR="00F646EB" w:rsidRDefault="00F646EB" w:rsidP="00F646EB">
      <w:pPr>
        <w:pStyle w:val="Odsekzoznamu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jednotnej p</w:t>
      </w:r>
      <w:r w:rsidR="00E31E62">
        <w:rPr>
          <w:rFonts w:ascii="Times New Roman" w:hAnsi="Times New Roman" w:cs="Times New Roman"/>
          <w:sz w:val="24"/>
          <w:szCs w:val="24"/>
        </w:rPr>
        <w:t>latby na plochu v sume 52 873</w:t>
      </w:r>
      <w:r w:rsidR="00FA247E">
        <w:rPr>
          <w:rFonts w:ascii="Times New Roman" w:hAnsi="Times New Roman" w:cs="Times New Roman"/>
          <w:sz w:val="24"/>
          <w:szCs w:val="24"/>
        </w:rPr>
        <w:t>,</w:t>
      </w:r>
      <w:r w:rsidR="00E31E62">
        <w:rPr>
          <w:rFonts w:ascii="Times New Roman" w:hAnsi="Times New Roman" w:cs="Times New Roman"/>
          <w:sz w:val="24"/>
          <w:szCs w:val="24"/>
        </w:rPr>
        <w:t>11</w:t>
      </w:r>
      <w:r>
        <w:rPr>
          <w:rFonts w:ascii="Times New Roman" w:hAnsi="Times New Roman" w:cs="Times New Roman"/>
          <w:sz w:val="24"/>
          <w:szCs w:val="24"/>
        </w:rPr>
        <w:t xml:space="preserve"> EUR podľa § 7 NV SR č.342/2014 </w:t>
      </w:r>
      <w:proofErr w:type="spellStart"/>
      <w:r>
        <w:rPr>
          <w:rFonts w:ascii="Times New Roman" w:hAnsi="Times New Roman" w:cs="Times New Roman"/>
          <w:sz w:val="24"/>
          <w:szCs w:val="24"/>
        </w:rPr>
        <w:t>Z.z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F646EB" w:rsidRDefault="00F646EB" w:rsidP="00F646EB">
      <w:pPr>
        <w:pStyle w:val="Odsekzoznamu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platby na poľnohospodárske postupy prospešné pre klímu a životné </w:t>
      </w:r>
      <w:r w:rsidR="00E31E62">
        <w:rPr>
          <w:rFonts w:ascii="Times New Roman" w:hAnsi="Times New Roman" w:cs="Times New Roman"/>
          <w:sz w:val="24"/>
          <w:szCs w:val="24"/>
        </w:rPr>
        <w:t>prostredie v sume   27 305,26</w:t>
      </w:r>
      <w:r>
        <w:rPr>
          <w:rFonts w:ascii="Times New Roman" w:hAnsi="Times New Roman" w:cs="Times New Roman"/>
          <w:sz w:val="24"/>
          <w:szCs w:val="24"/>
        </w:rPr>
        <w:t xml:space="preserve"> EUR podľa § 8 NV SR č.342/20147 </w:t>
      </w:r>
      <w:proofErr w:type="spellStart"/>
      <w:r>
        <w:rPr>
          <w:rFonts w:ascii="Times New Roman" w:hAnsi="Times New Roman" w:cs="Times New Roman"/>
          <w:sz w:val="24"/>
          <w:szCs w:val="24"/>
        </w:rPr>
        <w:t>Z.z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F646EB" w:rsidRDefault="00F646EB" w:rsidP="00F646EB">
      <w:pPr>
        <w:pStyle w:val="Odsekzoznamu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platby pre vybrané oblasti s prírodnými alebo inými obmedzeniami v sume </w:t>
      </w:r>
      <w:r w:rsidR="00E31E62">
        <w:rPr>
          <w:rFonts w:ascii="Times New Roman" w:hAnsi="Times New Roman" w:cs="Times New Roman"/>
          <w:sz w:val="24"/>
          <w:szCs w:val="24"/>
        </w:rPr>
        <w:t>9 244,02</w:t>
      </w:r>
      <w:r>
        <w:rPr>
          <w:rFonts w:ascii="Times New Roman" w:hAnsi="Times New Roman" w:cs="Times New Roman"/>
          <w:sz w:val="24"/>
          <w:szCs w:val="24"/>
        </w:rPr>
        <w:t xml:space="preserve"> EUR podľa § 5 NV SR č.75/2015 </w:t>
      </w:r>
      <w:proofErr w:type="spellStart"/>
      <w:r>
        <w:rPr>
          <w:rFonts w:ascii="Times New Roman" w:hAnsi="Times New Roman" w:cs="Times New Roman"/>
          <w:sz w:val="24"/>
          <w:szCs w:val="24"/>
        </w:rPr>
        <w:t>Z.z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F646EB" w:rsidRDefault="00F646EB" w:rsidP="00F646EB">
      <w:pPr>
        <w:pStyle w:val="Odsekzoznamu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úhrady fi</w:t>
      </w:r>
      <w:r w:rsidR="00FA247E">
        <w:rPr>
          <w:rFonts w:ascii="Times New Roman" w:hAnsi="Times New Roman" w:cs="Times New Roman"/>
          <w:sz w:val="24"/>
          <w:szCs w:val="24"/>
        </w:rPr>
        <w:t>na</w:t>
      </w:r>
      <w:r w:rsidR="00E31E62">
        <w:rPr>
          <w:rFonts w:ascii="Times New Roman" w:hAnsi="Times New Roman" w:cs="Times New Roman"/>
          <w:sz w:val="24"/>
          <w:szCs w:val="24"/>
        </w:rPr>
        <w:t>nčnej disciplíny v sume 1 068,98</w:t>
      </w:r>
      <w:r>
        <w:rPr>
          <w:rFonts w:ascii="Times New Roman" w:hAnsi="Times New Roman" w:cs="Times New Roman"/>
          <w:sz w:val="24"/>
          <w:szCs w:val="24"/>
        </w:rPr>
        <w:t xml:space="preserve"> EUR v zmysle článku 26 ods.5 NEPR(EÚ) č.1306/2013.</w:t>
      </w:r>
    </w:p>
    <w:p w:rsidR="00953E8B" w:rsidRDefault="00F646EB" w:rsidP="00953E8B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Družstvo podalo žiadosť o platbu na </w:t>
      </w:r>
      <w:proofErr w:type="spellStart"/>
      <w:r>
        <w:rPr>
          <w:rFonts w:ascii="Times New Roman" w:hAnsi="Times New Roman" w:cs="Times New Roman"/>
          <w:sz w:val="24"/>
          <w:szCs w:val="24"/>
        </w:rPr>
        <w:t>agroenviromentálno-klimatické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opatrenie v rámci opatrení Programu rozvoja vidieka SR 2014-2020 v sume 8</w:t>
      </w:r>
      <w:r w:rsidR="00FA247E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 </w:t>
      </w:r>
      <w:r w:rsidR="00FA247E">
        <w:rPr>
          <w:rFonts w:ascii="Times New Roman" w:hAnsi="Times New Roman" w:cs="Times New Roman"/>
          <w:sz w:val="24"/>
          <w:szCs w:val="24"/>
        </w:rPr>
        <w:t>762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  <w:r w:rsidR="00FA647A">
        <w:rPr>
          <w:rFonts w:ascii="Times New Roman" w:hAnsi="Times New Roman" w:cs="Times New Roman"/>
          <w:sz w:val="24"/>
          <w:szCs w:val="24"/>
        </w:rPr>
        <w:t>.</w:t>
      </w:r>
    </w:p>
    <w:p w:rsidR="007478A6" w:rsidRPr="007478A6" w:rsidRDefault="007478A6" w:rsidP="007478A6">
      <w:pPr>
        <w:pStyle w:val="Odsekzoznamu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Dotá</w:t>
      </w:r>
      <w:r w:rsidR="0006460F">
        <w:rPr>
          <w:rFonts w:ascii="Times New Roman" w:hAnsi="Times New Roman" w:cs="Times New Roman"/>
          <w:sz w:val="24"/>
          <w:szCs w:val="24"/>
        </w:rPr>
        <w:t>cia na poistenie úrody v zmysle §</w:t>
      </w:r>
      <w:r>
        <w:rPr>
          <w:rFonts w:ascii="Times New Roman" w:hAnsi="Times New Roman" w:cs="Times New Roman"/>
          <w:sz w:val="24"/>
          <w:szCs w:val="24"/>
        </w:rPr>
        <w:t>19 Nariadeni</w:t>
      </w:r>
      <w:r w:rsidR="00E31E62">
        <w:rPr>
          <w:rFonts w:ascii="Times New Roman" w:hAnsi="Times New Roman" w:cs="Times New Roman"/>
          <w:sz w:val="24"/>
          <w:szCs w:val="24"/>
        </w:rPr>
        <w:t xml:space="preserve">a vlády č.63/2015 v sume 14 289,13 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1A2DC0" w:rsidRDefault="00111F47" w:rsidP="00E469A5">
      <w:pPr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Dotácie na obstaranie dlhodobého hmotného majetku sa najskôr účtujú ako výnosy budúcich období a do výnosov sa rozpúšťajú v časovej a vecnej súvislosti so zaúčtovanými odpismi z tohto dlhodobého majetku.</w:t>
      </w:r>
    </w:p>
    <w:p w:rsidR="001A2DC0" w:rsidRDefault="001A2DC0" w:rsidP="001A58FE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rPr>
          <w:rFonts w:ascii="Times New Roman" w:hAnsi="Times New Roman" w:cs="Times New Roman"/>
          <w:color w:val="000000"/>
        </w:rPr>
      </w:pPr>
    </w:p>
    <w:p w:rsidR="001A2DC0" w:rsidRDefault="00111F47" w:rsidP="001A58FE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b/>
          <w:bCs/>
          <w:color w:val="000000"/>
        </w:rPr>
      </w:pPr>
      <w:r>
        <w:rPr>
          <w:rFonts w:ascii="Times New Roman" w:hAnsi="Times New Roman" w:cs="Times New Roman"/>
          <w:b/>
          <w:bCs/>
          <w:color w:val="000000"/>
        </w:rPr>
        <w:t xml:space="preserve"> Výnosy</w:t>
      </w:r>
    </w:p>
    <w:p w:rsidR="001A2DC0" w:rsidRDefault="00111F47" w:rsidP="001A58FE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Tržba za vlastné výkony a tovar neobsahuje daň z pridanej hodnoty.</w:t>
      </w:r>
    </w:p>
    <w:p w:rsidR="001A2DC0" w:rsidRDefault="001A2DC0" w:rsidP="001A58FE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color w:val="000000"/>
        </w:rPr>
      </w:pPr>
    </w:p>
    <w:p w:rsidR="001A2DC0" w:rsidRDefault="00111F47" w:rsidP="001A58FE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b/>
          <w:bCs/>
          <w:color w:val="000000"/>
        </w:rPr>
      </w:pPr>
      <w:r>
        <w:rPr>
          <w:rFonts w:ascii="Times New Roman" w:hAnsi="Times New Roman" w:cs="Times New Roman"/>
          <w:b/>
          <w:bCs/>
          <w:color w:val="000000"/>
        </w:rPr>
        <w:t xml:space="preserve"> Cudzia mena</w:t>
      </w:r>
    </w:p>
    <w:p w:rsidR="001A2DC0" w:rsidRDefault="00111F47" w:rsidP="001A58FE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Záväzky vyjadrené v cudzej mene sa ku dňu uskutočnenia účtovného prípadu prepočítavajú na </w:t>
      </w:r>
      <w:r>
        <w:rPr>
          <w:rFonts w:ascii="Times New Roman" w:hAnsi="Times New Roman" w:cs="Times New Roman"/>
          <w:color w:val="000000"/>
        </w:rPr>
        <w:lastRenderedPageBreak/>
        <w:t>menu euro referenčným výmenným kurzom určeným a vyhláseným ECB alebo NBS v deň predchádzajúci dňu uskutočnenia</w:t>
      </w:r>
      <w:r>
        <w:rPr>
          <w:rFonts w:ascii="Times New Roman" w:hAnsi="Times New Roman" w:cs="Times New Roman"/>
          <w:b/>
          <w:bCs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</w:rPr>
        <w:t>účtovného prípadu.</w:t>
      </w:r>
    </w:p>
    <w:p w:rsidR="009C20CB" w:rsidRDefault="009C20CB" w:rsidP="001A58FE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color w:val="000000"/>
        </w:rPr>
      </w:pPr>
    </w:p>
    <w:p w:rsidR="001A2DC0" w:rsidRDefault="001A2DC0" w:rsidP="001A58FE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b/>
          <w:bCs/>
        </w:rPr>
      </w:pPr>
    </w:p>
    <w:p w:rsidR="001A2DC0" w:rsidRPr="00FA647A" w:rsidRDefault="00FA647A">
      <w:pPr>
        <w:rPr>
          <w:b/>
          <w:sz w:val="24"/>
          <w:szCs w:val="24"/>
        </w:rPr>
      </w:pPr>
      <w:proofErr w:type="spellStart"/>
      <w:r w:rsidRPr="00FA647A">
        <w:rPr>
          <w:b/>
          <w:sz w:val="24"/>
          <w:szCs w:val="24"/>
        </w:rPr>
        <w:t>Čl.IV</w:t>
      </w:r>
      <w:proofErr w:type="spellEnd"/>
      <w:r>
        <w:rPr>
          <w:b/>
          <w:sz w:val="24"/>
          <w:szCs w:val="24"/>
        </w:rPr>
        <w:t xml:space="preserve">  </w:t>
      </w:r>
      <w:r w:rsidRPr="00FA647A">
        <w:rPr>
          <w:b/>
          <w:sz w:val="24"/>
          <w:szCs w:val="24"/>
        </w:rPr>
        <w:t xml:space="preserve"> Informácie o záväzkoch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355"/>
        <w:gridCol w:w="3139"/>
      </w:tblGrid>
      <w:tr w:rsidR="001A2DC0" w:rsidTr="00147589">
        <w:trPr>
          <w:jc w:val="center"/>
        </w:trPr>
        <w:tc>
          <w:tcPr>
            <w:tcW w:w="635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2DC0" w:rsidRDefault="00111F47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Dlhodobý hmotný majetok</w:t>
            </w:r>
          </w:p>
        </w:tc>
        <w:tc>
          <w:tcPr>
            <w:tcW w:w="313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A2DC0" w:rsidRDefault="00111F47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Hodnota za bežné účtovné obdobie</w:t>
            </w:r>
          </w:p>
        </w:tc>
      </w:tr>
      <w:tr w:rsidR="001A2DC0" w:rsidTr="00147589">
        <w:trPr>
          <w:trHeight w:val="340"/>
          <w:jc w:val="center"/>
        </w:trPr>
        <w:tc>
          <w:tcPr>
            <w:tcW w:w="635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Dlhodobý hmotný majetok, na ktorý je zriadené záložné právo</w:t>
            </w:r>
          </w:p>
        </w:tc>
        <w:tc>
          <w:tcPr>
            <w:tcW w:w="31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A2DC0" w:rsidRDefault="00CE6158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138 310</w:t>
            </w:r>
          </w:p>
        </w:tc>
      </w:tr>
    </w:tbl>
    <w:p w:rsidR="001A2DC0" w:rsidRDefault="001A2DC0">
      <w:pPr>
        <w:pStyle w:val="Nzov"/>
        <w:keepNext w:val="0"/>
        <w:spacing w:before="0" w:beforeAutospacing="0" w:after="0"/>
        <w:jc w:val="left"/>
        <w:rPr>
          <w:rFonts w:ascii="Times New Roman" w:hAnsi="Times New Roman" w:cs="Times New Roman"/>
        </w:rPr>
      </w:pPr>
    </w:p>
    <w:p w:rsidR="001A2DC0" w:rsidRDefault="00147589" w:rsidP="001A58F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jc w:val="both"/>
        <w:rPr>
          <w:rFonts w:ascii="Times New Roman" w:hAnsi="Times New Roman" w:cs="Times New Roman"/>
          <w:noProof w:val="0"/>
          <w:sz w:val="24"/>
          <w:szCs w:val="24"/>
        </w:rPr>
      </w:pPr>
      <w:r>
        <w:rPr>
          <w:rFonts w:ascii="Times New Roman" w:hAnsi="Times New Roman" w:cs="Times New Roman"/>
          <w:noProof w:val="0"/>
          <w:sz w:val="24"/>
          <w:szCs w:val="24"/>
        </w:rPr>
        <w:t>Z</w:t>
      </w:r>
      <w:r w:rsidR="00111F47">
        <w:rPr>
          <w:rFonts w:ascii="Times New Roman" w:hAnsi="Times New Roman" w:cs="Times New Roman"/>
          <w:noProof w:val="0"/>
          <w:sz w:val="24"/>
          <w:szCs w:val="24"/>
        </w:rPr>
        <w:t xml:space="preserve">riadené záložné právo </w:t>
      </w:r>
      <w:r>
        <w:rPr>
          <w:rFonts w:ascii="Times New Roman" w:hAnsi="Times New Roman" w:cs="Times New Roman"/>
          <w:noProof w:val="0"/>
          <w:sz w:val="24"/>
          <w:szCs w:val="24"/>
        </w:rPr>
        <w:t>je pre Slovenskú záručnú a rozvojovú banku, a.s. Bratislava na pozemky vo výmere 24346 m</w:t>
      </w:r>
      <w:r w:rsidR="008D5CA3">
        <w:rPr>
          <w:rFonts w:ascii="Times New Roman" w:hAnsi="Times New Roman" w:cs="Times New Roman"/>
          <w:noProof w:val="0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noProof w:val="0"/>
          <w:sz w:val="24"/>
          <w:szCs w:val="24"/>
        </w:rPr>
        <w:t xml:space="preserve"> </w:t>
      </w:r>
      <w:r w:rsidR="00111F47">
        <w:rPr>
          <w:rFonts w:ascii="Times New Roman" w:hAnsi="Times New Roman" w:cs="Times New Roman"/>
          <w:noProof w:val="0"/>
          <w:sz w:val="24"/>
          <w:szCs w:val="24"/>
        </w:rPr>
        <w:t>.</w:t>
      </w:r>
    </w:p>
    <w:p w:rsidR="00147589" w:rsidRDefault="00147589" w:rsidP="001A58F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jc w:val="both"/>
        <w:rPr>
          <w:rFonts w:ascii="Times New Roman" w:hAnsi="Times New Roman" w:cs="Times New Roman"/>
          <w:noProof w:val="0"/>
          <w:sz w:val="24"/>
          <w:szCs w:val="24"/>
        </w:rPr>
      </w:pPr>
    </w:p>
    <w:p w:rsidR="001A2DC0" w:rsidRDefault="001A2DC0" w:rsidP="00147589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617"/>
        <w:gridCol w:w="2045"/>
        <w:gridCol w:w="1899"/>
        <w:gridCol w:w="2009"/>
      </w:tblGrid>
      <w:tr w:rsidR="001A2DC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2DC0" w:rsidRDefault="00111F47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2DC0" w:rsidRDefault="00111F47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2DC0" w:rsidRDefault="00111F47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A2DC0" w:rsidRDefault="00111F47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spolu</w:t>
            </w:r>
          </w:p>
        </w:tc>
      </w:tr>
      <w:tr w:rsidR="001A2DC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A2DC0" w:rsidRDefault="00111F47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2DC0" w:rsidRDefault="00111F47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2DC0" w:rsidRDefault="00111F47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A2DC0" w:rsidRDefault="00D64E57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</w:tr>
      <w:tr w:rsidR="001A2DC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Dlhodobé pohľadávky</w:t>
            </w:r>
          </w:p>
        </w:tc>
      </w:tr>
      <w:tr w:rsidR="001A2DC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A2DC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1A2DC0" w:rsidRDefault="001A2D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1A2DC0" w:rsidRDefault="001A2D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A2DC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1A2DC0" w:rsidRDefault="001A2D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1A2DC0" w:rsidRDefault="001A2D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A2DC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A2DC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</w:tr>
      <w:tr w:rsidR="001A2DC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1A2DC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Krátkodobé pohľadávky</w:t>
            </w:r>
          </w:p>
        </w:tc>
      </w:tr>
      <w:tr w:rsidR="001A2DC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A2DC0" w:rsidRDefault="007C2E6F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11645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1A2DC0" w:rsidRDefault="007C2E6F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181404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1A2DC0" w:rsidRDefault="00E31E62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193049</w:t>
            </w:r>
          </w:p>
        </w:tc>
      </w:tr>
      <w:tr w:rsidR="001A2DC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</w:tr>
      <w:tr w:rsidR="001A2DC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</w:tr>
      <w:tr w:rsidR="001A2DC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</w:tr>
      <w:tr w:rsidR="001A2DC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</w:tr>
      <w:tr w:rsidR="001A2DC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A2DC0" w:rsidRDefault="00335D71" w:rsidP="005377D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82709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1A2DC0" w:rsidRDefault="00335D71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82709</w:t>
            </w:r>
          </w:p>
        </w:tc>
      </w:tr>
      <w:tr w:rsidR="001A2DC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</w:tr>
      <w:tr w:rsidR="001A2DC0" w:rsidTr="00AB75F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A2DC0" w:rsidRDefault="00335D71" w:rsidP="00FA247E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94354</w:t>
            </w:r>
          </w:p>
        </w:tc>
        <w:tc>
          <w:tcPr>
            <w:tcW w:w="1843" w:type="dxa"/>
            <w:vAlign w:val="center"/>
          </w:tcPr>
          <w:p w:rsidR="001A2DC0" w:rsidRDefault="00CA3F54" w:rsidP="00FA247E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</w:t>
            </w:r>
            <w:r w:rsidR="007C2E6F">
              <w:rPr>
                <w:rFonts w:ascii="Times New Roman" w:hAnsi="Times New Roman" w:cs="Times New Roman"/>
                <w:b/>
                <w:bCs/>
              </w:rPr>
              <w:t>81404</w:t>
            </w:r>
          </w:p>
        </w:tc>
        <w:tc>
          <w:tcPr>
            <w:tcW w:w="1950" w:type="dxa"/>
            <w:vAlign w:val="center"/>
          </w:tcPr>
          <w:p w:rsidR="001A2DC0" w:rsidRDefault="007C2E6F" w:rsidP="007C2E6F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</w:t>
            </w:r>
            <w:r w:rsidR="00335D71">
              <w:rPr>
                <w:rFonts w:ascii="Times New Roman" w:hAnsi="Times New Roman" w:cs="Times New Roman"/>
                <w:b/>
                <w:bCs/>
              </w:rPr>
              <w:t>75758</w:t>
            </w:r>
          </w:p>
        </w:tc>
      </w:tr>
      <w:tr w:rsidR="00AB75FB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B75FB" w:rsidRDefault="00AB75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B75FB" w:rsidRDefault="00AB75FB" w:rsidP="00AB75FB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B75FB" w:rsidRDefault="00AB75FB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AB75FB" w:rsidRDefault="00AB75FB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1A2DC0" w:rsidRDefault="001A2DC0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1B7EA6" w:rsidRDefault="001B7EA6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1B7EA6" w:rsidRDefault="001B7EA6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1B7EA6" w:rsidRDefault="001B7EA6">
      <w:pPr>
        <w:spacing w:after="0" w:line="240" w:lineRule="auto"/>
        <w:jc w:val="both"/>
        <w:rPr>
          <w:rFonts w:ascii="Times New Roman" w:hAnsi="Times New Roman" w:cs="Times New Roman"/>
        </w:rPr>
      </w:pPr>
    </w:p>
    <w:tbl>
      <w:tblPr>
        <w:tblW w:w="5000" w:type="pct"/>
        <w:jc w:val="center"/>
        <w:tblLook w:val="0000"/>
      </w:tblPr>
      <w:tblGrid>
        <w:gridCol w:w="3870"/>
        <w:gridCol w:w="3011"/>
        <w:gridCol w:w="2689"/>
      </w:tblGrid>
      <w:tr w:rsidR="001A2DC0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2DC0" w:rsidRDefault="00111F47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2DC0" w:rsidRDefault="00111F47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2DC0" w:rsidRDefault="00111F47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1A2DC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A2DC0" w:rsidRDefault="007478A6" w:rsidP="007C2E6F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5</w:t>
            </w:r>
            <w:r w:rsidR="007C2E6F">
              <w:rPr>
                <w:rFonts w:ascii="Times New Roman" w:hAnsi="Times New Roman" w:cs="Times New Roman"/>
                <w:b/>
                <w:bCs/>
              </w:rPr>
              <w:t>8665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A2DC0" w:rsidRDefault="007C2E6F" w:rsidP="00FA247E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50228</w:t>
            </w:r>
          </w:p>
        </w:tc>
      </w:tr>
      <w:tr w:rsidR="001A2DC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A2DC0" w:rsidRDefault="007C2E6F" w:rsidP="00CA3F5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50672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2DC0" w:rsidRDefault="007C2E6F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35647</w:t>
            </w:r>
          </w:p>
        </w:tc>
      </w:tr>
      <w:tr w:rsidR="001A2DC0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A2DC0" w:rsidRDefault="007C2E6F" w:rsidP="00881D7A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7993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2DC0" w:rsidRDefault="00CA3F5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7C2E6F">
              <w:rPr>
                <w:rFonts w:ascii="Times New Roman" w:hAnsi="Times New Roman" w:cs="Times New Roman"/>
              </w:rPr>
              <w:t>4581</w:t>
            </w:r>
          </w:p>
        </w:tc>
      </w:tr>
      <w:tr w:rsidR="001A2DC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A2DC0" w:rsidRDefault="007C2E6F" w:rsidP="007478A6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16</w:t>
            </w:r>
            <w:r w:rsidR="00335D71">
              <w:rPr>
                <w:rFonts w:ascii="Times New Roman" w:hAnsi="Times New Roman" w:cs="Times New Roman"/>
                <w:b/>
                <w:bCs/>
              </w:rPr>
              <w:t>8048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2DC0" w:rsidRDefault="00CA3F54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16</w:t>
            </w:r>
            <w:r w:rsidR="007C2E6F">
              <w:rPr>
                <w:rFonts w:ascii="Times New Roman" w:hAnsi="Times New Roman" w:cs="Times New Roman"/>
                <w:b/>
                <w:bCs/>
              </w:rPr>
              <w:t>8705</w:t>
            </w:r>
          </w:p>
        </w:tc>
      </w:tr>
      <w:tr w:rsidR="001A2DC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A2DC0" w:rsidRDefault="007C2E6F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335D71">
              <w:rPr>
                <w:rFonts w:ascii="Times New Roman" w:hAnsi="Times New Roman" w:cs="Times New Roman"/>
              </w:rPr>
              <w:t>63048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A2DC0" w:rsidRDefault="007C2E6F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76336</w:t>
            </w:r>
          </w:p>
        </w:tc>
      </w:tr>
      <w:tr w:rsidR="001A2DC0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A2DC0" w:rsidRDefault="007C2E6F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5000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A2DC0" w:rsidRDefault="007C2E6F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92369</w:t>
            </w:r>
          </w:p>
        </w:tc>
      </w:tr>
    </w:tbl>
    <w:p w:rsidR="001A2DC0" w:rsidRDefault="001A2DC0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 w:cs="Times New Roman"/>
        </w:rPr>
      </w:pPr>
    </w:p>
    <w:sectPr w:rsidR="001A2DC0" w:rsidSect="006E3082">
      <w:headerReference w:type="default" r:id="rId7"/>
      <w:footerReference w:type="default" r:id="rId8"/>
      <w:pgSz w:w="11906" w:h="16838"/>
      <w:pgMar w:top="1418" w:right="1134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31E62" w:rsidRDefault="00E31E62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1">
    <w:p w:rsidR="00E31E62" w:rsidRDefault="00E31E62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altName w:val="Century Gothic"/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FuturaTEE">
    <w:altName w:val="Courier New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altName w:val="Courier New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9714798"/>
      <w:docPartObj>
        <w:docPartGallery w:val="Page Numbers (Bottom of Page)"/>
        <w:docPartUnique/>
      </w:docPartObj>
    </w:sdtPr>
    <w:sdtContent>
      <w:p w:rsidR="00E31E62" w:rsidRDefault="00E31E62">
        <w:pPr>
          <w:pStyle w:val="Pta"/>
          <w:jc w:val="right"/>
        </w:pPr>
        <w:fldSimple w:instr=" PAGE   \* MERGEFORMAT ">
          <w:r w:rsidR="00335D71">
            <w:rPr>
              <w:noProof/>
            </w:rPr>
            <w:t>6</w:t>
          </w:r>
        </w:fldSimple>
      </w:p>
    </w:sdtContent>
  </w:sdt>
  <w:p w:rsidR="00E31E62" w:rsidRDefault="00E31E6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31E62" w:rsidRDefault="00E31E62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1">
    <w:p w:rsidR="00E31E62" w:rsidRDefault="00E31E62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1E62" w:rsidRDefault="00E31E62">
    <w:pPr>
      <w:pStyle w:val="Hlavika"/>
    </w:pPr>
    <w:r>
      <w:t xml:space="preserve">UZPODv14-p                                </w:t>
    </w:r>
    <w:r>
      <w:tab/>
      <w:t xml:space="preserve">                                                                                                        DIČ 2020361266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3">
    <w:nsid w:val="1BF36512"/>
    <w:multiLevelType w:val="hybridMultilevel"/>
    <w:tmpl w:val="8D94EE0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C8550BE"/>
    <w:multiLevelType w:val="hybridMultilevel"/>
    <w:tmpl w:val="92787646"/>
    <w:lvl w:ilvl="0" w:tplc="7144AD66">
      <w:start w:val="26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6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7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9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2">
    <w:nsid w:val="72E165CD"/>
    <w:multiLevelType w:val="hybridMultilevel"/>
    <w:tmpl w:val="F85A2BC4"/>
    <w:lvl w:ilvl="0" w:tplc="935EF33C">
      <w:start w:val="10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5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num w:numId="1">
    <w:abstractNumId w:val="10"/>
  </w:num>
  <w:num w:numId="2">
    <w:abstractNumId w:val="9"/>
  </w:num>
  <w:num w:numId="3">
    <w:abstractNumId w:val="5"/>
  </w:num>
  <w:num w:numId="4">
    <w:abstractNumId w:val="6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5"/>
  </w:num>
  <w:num w:numId="10">
    <w:abstractNumId w:val="8"/>
  </w:num>
  <w:num w:numId="11">
    <w:abstractNumId w:val="14"/>
  </w:num>
  <w:num w:numId="12">
    <w:abstractNumId w:val="7"/>
  </w:num>
  <w:num w:numId="13">
    <w:abstractNumId w:val="13"/>
  </w:num>
  <w:num w:numId="14">
    <w:abstractNumId w:val="3"/>
  </w:num>
  <w:num w:numId="15">
    <w:abstractNumId w:val="4"/>
  </w:num>
  <w:num w:numId="16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FELayout/>
  </w:compat>
  <w:rsids>
    <w:rsidRoot w:val="00EB4F96"/>
    <w:rsid w:val="0006460F"/>
    <w:rsid w:val="00070B47"/>
    <w:rsid w:val="000F6C22"/>
    <w:rsid w:val="00111F47"/>
    <w:rsid w:val="00127738"/>
    <w:rsid w:val="00147589"/>
    <w:rsid w:val="001503DC"/>
    <w:rsid w:val="001A2DC0"/>
    <w:rsid w:val="001A58FE"/>
    <w:rsid w:val="001B7EA6"/>
    <w:rsid w:val="002D319C"/>
    <w:rsid w:val="00335D71"/>
    <w:rsid w:val="0038343D"/>
    <w:rsid w:val="00512799"/>
    <w:rsid w:val="005155CF"/>
    <w:rsid w:val="005377D4"/>
    <w:rsid w:val="00585A8F"/>
    <w:rsid w:val="00653FE6"/>
    <w:rsid w:val="006E3082"/>
    <w:rsid w:val="00724BF6"/>
    <w:rsid w:val="00745EF2"/>
    <w:rsid w:val="007478A6"/>
    <w:rsid w:val="007922C7"/>
    <w:rsid w:val="007C2E6F"/>
    <w:rsid w:val="007E6D49"/>
    <w:rsid w:val="00877C51"/>
    <w:rsid w:val="00881D7A"/>
    <w:rsid w:val="00885C4A"/>
    <w:rsid w:val="00892914"/>
    <w:rsid w:val="008D5CA3"/>
    <w:rsid w:val="00935E7D"/>
    <w:rsid w:val="00953E8B"/>
    <w:rsid w:val="009800F3"/>
    <w:rsid w:val="009C20CB"/>
    <w:rsid w:val="00A04275"/>
    <w:rsid w:val="00A40CB0"/>
    <w:rsid w:val="00A61C1D"/>
    <w:rsid w:val="00AB75FB"/>
    <w:rsid w:val="00AC497D"/>
    <w:rsid w:val="00B913D7"/>
    <w:rsid w:val="00C45703"/>
    <w:rsid w:val="00CA3F54"/>
    <w:rsid w:val="00CE6158"/>
    <w:rsid w:val="00D64E57"/>
    <w:rsid w:val="00D70F21"/>
    <w:rsid w:val="00E31E62"/>
    <w:rsid w:val="00E469A5"/>
    <w:rsid w:val="00EB4F96"/>
    <w:rsid w:val="00F646EB"/>
    <w:rsid w:val="00FA247E"/>
    <w:rsid w:val="00FA647A"/>
    <w:rsid w:val="00FB2A3A"/>
    <w:rsid w:val="00FC48F3"/>
    <w:rsid w:val="00FF5C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qFormat="1"/>
    <w:lsdException w:name="heading 2" w:semiHidden="0" w:qFormat="1"/>
    <w:lsdException w:name="heading 3" w:semiHidden="0" w:qFormat="1"/>
    <w:lsdException w:name="heading 4" w:semiHidden="0" w:qFormat="1"/>
    <w:lsdException w:name="heading 5" w:semiHidden="0" w:qFormat="1"/>
    <w:lsdException w:name="heading 6" w:semiHidden="0" w:qFormat="1"/>
    <w:lsdException w:name="heading 7" w:semiHidden="0" w:qFormat="1"/>
    <w:lsdException w:name="heading 8" w:semiHidden="0" w:qFormat="1"/>
    <w:lsdException w:name="heading 9" w:semiHidden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uiPriority="39" w:unhideWhenUsed="1"/>
    <w:lsdException w:name="toc 2" w:uiPriority="39" w:unhideWhenUsed="1"/>
    <w:lsdException w:name="toc 3" w:uiPriority="39" w:unhideWhenUsed="1"/>
    <w:lsdException w:name="toc 4" w:uiPriority="39" w:unhideWhenUsed="1"/>
    <w:lsdException w:name="toc 5" w:uiPriority="39" w:unhideWhenUsed="1"/>
    <w:lsdException w:name="toc 6" w:uiPriority="39" w:unhideWhenUsed="1"/>
    <w:lsdException w:name="toc 7" w:uiPriority="39" w:unhideWhenUsed="1"/>
    <w:lsdException w:name="toc 8" w:uiPriority="39" w:unhideWhenUsed="1"/>
    <w:lsdException w:name="toc 9" w:uiPriority="39" w:unhideWhenUsed="1"/>
    <w:lsdException w:name="Normal Indent" w:unhideWhenUsed="1"/>
    <w:lsdException w:name="annotation text" w:unhideWhenUsed="1"/>
    <w:lsdException w:name="index heading" w:unhideWhenUsed="1"/>
    <w:lsdException w:name="caption" w:uiPriority="35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semiHidden="0" w:qFormat="1"/>
    <w:lsdException w:name="Closing" w:unhideWhenUsed="1"/>
    <w:lsdException w:name="Signature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semiHidden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3" w:unhideWhenUsed="1"/>
    <w:lsdException w:name="Block Text" w:unhideWhenUsed="1"/>
    <w:lsdException w:name="Hyperlink" w:unhideWhenUsed="1"/>
    <w:lsdException w:name="FollowedHyperlink" w:unhideWhenUsed="1"/>
    <w:lsdException w:name="Strong" w:semiHidden="0" w:uiPriority="22" w:qFormat="1"/>
    <w:lsdException w:name="Emphasis" w:semiHidden="0" w:uiPriority="2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Table Grid" w:semiHidden="0" w:uiPriority="59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1A2DC0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A2DC0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A2DC0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1A2DC0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A2DC0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1A2DC0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1A2DC0"/>
    <w:pPr>
      <w:spacing w:before="240" w:after="60" w:line="240" w:lineRule="auto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A2DC0"/>
    <w:pPr>
      <w:spacing w:before="240" w:after="60" w:line="240" w:lineRule="auto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A2DC0"/>
    <w:pPr>
      <w:spacing w:before="240" w:after="60" w:line="240" w:lineRule="auto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A2DC0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1A2DC0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1A2DC0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1A2DC0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1A2DC0"/>
    <w:rPr>
      <w:rFonts w:ascii="Times New Roman" w:eastAsia="Times New Roman" w:hAnsi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1A2DC0"/>
    <w:rPr>
      <w:rFonts w:ascii="Times New Roman" w:eastAsia="Times New Roman" w:hAnsi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1A2DC0"/>
    <w:rPr>
      <w:rFonts w:ascii="Times New Roman" w:eastAsia="Times New Roman" w:hAnsi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rsid w:val="001A2DC0"/>
    <w:rPr>
      <w:rFonts w:ascii="Times New Roman" w:eastAsia="Times New Roman" w:hAnsi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rsid w:val="001A2DC0"/>
    <w:rPr>
      <w:rFonts w:ascii="Times New Roman" w:eastAsia="Times New Roman" w:hAnsi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rsid w:val="001A2DC0"/>
    <w:rPr>
      <w:rFonts w:ascii="Cambria" w:hAnsi="Cambria" w:cs="Cambria"/>
      <w:sz w:val="22"/>
      <w:szCs w:val="22"/>
    </w:rPr>
  </w:style>
  <w:style w:type="paragraph" w:styleId="Hlavika">
    <w:name w:val="header"/>
    <w:basedOn w:val="Normlny"/>
    <w:link w:val="HlavikaChar"/>
    <w:uiPriority w:val="99"/>
    <w:rsid w:val="001A2DC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A2DC0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1A2DC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A2DC0"/>
    <w:rPr>
      <w:rFonts w:ascii="Times New Roman" w:hAnsi="Times New Roman"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rsid w:val="001A2DC0"/>
    <w:pPr>
      <w:spacing w:after="0" w:line="240" w:lineRule="auto"/>
    </w:pPr>
    <w:rPr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1A2DC0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rsid w:val="001A2DC0"/>
    <w:pPr>
      <w:spacing w:after="0" w:line="240" w:lineRule="auto"/>
      <w:jc w:val="both"/>
    </w:pPr>
    <w:rPr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1A2DC0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rsid w:val="001A2DC0"/>
    <w:pPr>
      <w:spacing w:after="0" w:line="240" w:lineRule="auto"/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rsid w:val="001A2DC0"/>
    <w:pPr>
      <w:spacing w:after="0" w:line="240" w:lineRule="auto"/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rsid w:val="001A2DC0"/>
    <w:pPr>
      <w:spacing w:after="0" w:line="240" w:lineRule="auto"/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rsid w:val="001A2DC0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rsid w:val="001A2DC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rsid w:val="001A2DC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rsid w:val="001A2DC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1A2DC0"/>
    <w:pPr>
      <w:ind w:left="720"/>
    </w:pPr>
  </w:style>
  <w:style w:type="paragraph" w:customStyle="1" w:styleId="TopHeader">
    <w:name w:val="Top Header"/>
    <w:basedOn w:val="Normlny"/>
    <w:qFormat/>
    <w:rsid w:val="001A2DC0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rsid w:val="001A2DC0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TableText">
    <w:name w:val="Table Text"/>
    <w:uiPriority w:val="99"/>
    <w:rsid w:val="001A2DC0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Odsadxx">
    <w:name w:val="Odsad   xx."/>
    <w:uiPriority w:val="99"/>
    <w:rsid w:val="001A2DC0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1A2DC0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vlavoodsadeny">
    <w:name w:val="Table Text - maly 9 vlavo odsadeny"/>
    <w:uiPriority w:val="99"/>
    <w:rsid w:val="001A2DC0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customStyle="1" w:styleId="TableText-maly9">
    <w:name w:val="Table Text - maly 9"/>
    <w:uiPriority w:val="99"/>
    <w:rsid w:val="001A2DC0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Odsad">
    <w:name w:val="Odsad"/>
    <w:uiPriority w:val="99"/>
    <w:rsid w:val="001A2DC0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NaZacatek">
    <w:name w:val="Na Zacatek"/>
    <w:uiPriority w:val="99"/>
    <w:rsid w:val="001A2DC0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6</Pages>
  <Words>1215</Words>
  <Characters>7434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Idea</cp:lastModifiedBy>
  <cp:revision>6</cp:revision>
  <cp:lastPrinted>2017-03-29T08:46:00Z</cp:lastPrinted>
  <dcterms:created xsi:type="dcterms:W3CDTF">2019-03-27T13:02:00Z</dcterms:created>
  <dcterms:modified xsi:type="dcterms:W3CDTF">2019-03-27T14:26:00Z</dcterms:modified>
</cp:coreProperties>
</file>