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2635" w:leader="none"/>
          <w:tab w:val="center" w:pos="4734" w:leader="none"/>
        </w:tabs>
        <w:outlineLvl w:val="1"/>
        <w:rPr>
          <w:rFonts w:ascii="Arial;Arial Narrow" w:hAnsi="Arial;Arial Narrow" w:cs="Arial;Arial Narrow"/>
          <w:b/>
          <w:b/>
          <w:bCs/>
          <w:sz w:val="20"/>
        </w:rPr>
      </w:pPr>
      <w:r>
        <w:rPr>
          <w:rFonts w:cs="Arial;Arial Narrow" w:ascii="Arial;Arial Narrow" w:hAnsi="Arial;Arial Narrow"/>
          <w:b/>
          <w:bCs/>
          <w:sz w:val="20"/>
        </w:rPr>
        <w:tab/>
        <w:tab/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2635" w:leader="none"/>
          <w:tab w:val="center" w:pos="4734" w:leader="none"/>
        </w:tabs>
        <w:outlineLvl w:val="1"/>
        <w:rPr>
          <w:rFonts w:ascii="Arial;Arial Narrow" w:hAnsi="Arial;Arial Narrow" w:cs="Arial;Arial Narrow"/>
          <w:b/>
          <w:b/>
          <w:bCs/>
          <w:sz w:val="20"/>
        </w:rPr>
      </w:pPr>
      <w:r>
        <w:rPr>
          <w:rFonts w:cs="Arial;Arial Narrow" w:ascii="Arial;Arial Narrow" w:hAnsi="Arial;Arial Narrow"/>
          <w:b/>
          <w:bCs/>
          <w:sz w:val="20"/>
        </w:rPr>
      </w:r>
    </w:p>
    <w:p>
      <w:pPr>
        <w:pStyle w:val="Normal"/>
        <w:numPr>
          <w:ilvl w:val="0"/>
          <w:numId w:val="6"/>
        </w:numPr>
        <w:shd w:fill="E6E6E6" w:val="clear"/>
        <w:ind w:left="709" w:hanging="709"/>
        <w:jc w:val="center"/>
        <w:rPr>
          <w:i/>
          <w:i/>
          <w:sz w:val="20"/>
          <w:szCs w:val="20"/>
        </w:rPr>
      </w:pPr>
      <w:r>
        <w:rPr>
          <w:i/>
          <w:szCs w:val="20"/>
        </w:rPr>
        <w:t xml:space="preserve">Všeobecné informácie             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2635" w:leader="none"/>
          <w:tab w:val="center" w:pos="4734" w:leader="none"/>
        </w:tabs>
        <w:outlineLvl w:val="1"/>
        <w:rPr>
          <w:rFonts w:ascii="Arial;Arial Narrow" w:hAnsi="Arial;Arial Narrow" w:cs="Arial;Arial Narrow"/>
          <w:b/>
          <w:b/>
          <w:bCs/>
          <w:i/>
          <w:i/>
          <w:sz w:val="20"/>
          <w:szCs w:val="20"/>
        </w:rPr>
      </w:pPr>
      <w:r>
        <w:rPr>
          <w:rFonts w:cs="Arial;Arial Narrow" w:ascii="Arial;Arial Narrow" w:hAnsi="Arial;Arial Narrow"/>
          <w:b/>
          <w:bCs/>
          <w:i/>
          <w:sz w:val="20"/>
          <w:szCs w:val="20"/>
        </w:rPr>
      </w:r>
    </w:p>
    <w:p>
      <w:pPr>
        <w:pStyle w:val="Normal"/>
        <w:ind w:left="425" w:hanging="0"/>
        <w:jc w:val="both"/>
        <w:rPr>
          <w:rFonts w:ascii="Arial;Arial Narrow" w:hAnsi="Arial;Arial Narrow" w:cs="Arial;Arial Narrow"/>
          <w:b/>
          <w:b/>
          <w:bCs/>
          <w:sz w:val="18"/>
          <w:szCs w:val="22"/>
        </w:rPr>
      </w:pPr>
      <w:r>
        <w:rPr>
          <w:rFonts w:cs="Arial;Arial Narrow" w:ascii="Arial;Arial Narrow" w:hAnsi="Arial;Arial Narrow"/>
          <w:b/>
          <w:bCs/>
          <w:sz w:val="18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268"/>
        <w:gridCol w:w="7098"/>
      </w:tblGrid>
      <w:tr>
        <w:trPr>
          <w:trHeight w:val="1100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2"/>
              </w:numPr>
              <w:spacing w:before="0" w:after="0"/>
              <w:ind w:left="357" w:hanging="357"/>
              <w:contextualSpacing/>
              <w:jc w:val="both"/>
              <w:outlineLvl w:val="1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20"/>
                <w:szCs w:val="22"/>
              </w:rPr>
              <w:t>Obchodné meno:</w:t>
            </w:r>
          </w:p>
        </w:tc>
        <w:tc>
          <w:tcPr>
            <w:tcW w:w="70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 </w:t>
            </w:r>
            <w:r>
              <w:rPr>
                <w:rFonts w:cs="Arial;Arial Narrow" w:ascii="Arial;Arial Narrow" w:hAnsi="Arial;Arial Narrow"/>
                <w:sz w:val="20"/>
                <w:szCs w:val="22"/>
              </w:rPr>
              <w:t>CONREX, spol. s r.o.</w:t>
            </w:r>
          </w:p>
        </w:tc>
      </w:tr>
      <w:tr>
        <w:trPr>
          <w:trHeight w:val="340" w:hRule="atLeast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Sídlo:</w:t>
            </w:r>
          </w:p>
        </w:tc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Dlhá 89, 949 01 Nitra</w:t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3261"/>
        <w:gridCol w:w="992"/>
        <w:gridCol w:w="425"/>
        <w:gridCol w:w="4253"/>
        <w:gridCol w:w="435"/>
      </w:tblGrid>
      <w:tr>
        <w:trPr>
          <w:trHeight w:val="340" w:hRule="atLeast"/>
        </w:trPr>
        <w:tc>
          <w:tcPr>
            <w:tcW w:w="93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2"/>
              </w:numPr>
              <w:spacing w:before="0" w:after="0"/>
              <w:ind w:left="357" w:hanging="357"/>
              <w:contextualSpacing/>
              <w:jc w:val="both"/>
              <w:outlineLvl w:val="1"/>
              <w:rPr>
                <w:rFonts w:ascii="Arial;Arial Narrow" w:hAnsi="Arial;Arial Narrow" w:cs="Arial;Arial Narrow"/>
                <w:b/>
                <w:b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20"/>
                <w:szCs w:val="22"/>
              </w:rPr>
              <w:t>Údaje o konsolidovanom celku</w:t>
            </w:r>
          </w:p>
        </w:tc>
      </w:tr>
      <w:tr>
        <w:trPr>
          <w:trHeight w:val="340" w:hRule="atLeast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</w:rPr>
              <w:t>ÚJ   nie je súčasťou konsolidovaného celku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X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;Arial Narrow" w:ascii="Arial;Arial Narrow" w:hAnsi="Arial;Arial Narrow"/>
                <w:sz w:val="20"/>
              </w:rPr>
              <w:t>ÚJ je súčasťou konsolidovaného celku</w:t>
            </w:r>
            <w:r>
              <w:rPr>
                <w:rFonts w:cs="Arial;Arial Narrow" w:ascii="Arial;Arial Narrow" w:hAnsi="Arial;Arial Narrow"/>
                <w:szCs w:val="22"/>
              </w:rPr>
              <w:t xml:space="preserve">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ind w:left="56" w:hanging="0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93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214" w:hanging="0"/>
              <w:rPr>
                <w:rFonts w:ascii="Arial;Arial Narrow" w:hAnsi="Arial;Arial Narrow" w:cs="Arial;Arial Narrow"/>
                <w:i/>
                <w:i/>
                <w:sz w:val="18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a)obchodné meno a sídlo konsolidujúcej ÚJ, ktorá zostavuje konsolidovanú účtovnú závierku za tú skupinu účtovných jednotiek konsolidovaného celku, ktorého súčasťou je aj ÚJ;</w:t>
            </w:r>
            <w:r>
              <w:rPr>
                <w:rFonts w:cs="Arial;Arial Narrow" w:ascii="Arial;Arial Narrow" w:hAnsi="Arial;Arial Narrow"/>
                <w:i/>
                <w:sz w:val="18"/>
              </w:rPr>
              <w:t xml:space="preserve"> </w:t>
            </w:r>
          </w:p>
        </w:tc>
      </w:tr>
      <w:tr>
        <w:trPr>
          <w:trHeight w:val="340" w:hRule="atLeast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Meno ÚJ, ktorá je bezprostredne konsolidujúcou ÚJ:</w:t>
            </w:r>
          </w:p>
        </w:tc>
        <w:tc>
          <w:tcPr>
            <w:tcW w:w="61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9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Sídlo :</w:t>
            </w:r>
          </w:p>
        </w:tc>
        <w:tc>
          <w:tcPr>
            <w:tcW w:w="61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</w:tr>
    </w:tbl>
    <w:p>
      <w:pPr>
        <w:pStyle w:val="Normal"/>
        <w:ind w:right="112" w:hanging="0"/>
        <w:jc w:val="both"/>
        <w:rPr>
          <w:rFonts w:ascii="Arial;Arial Narrow" w:hAnsi="Arial;Arial Narrow" w:cs="Arial;Arial Narrow"/>
          <w:i/>
          <w:i/>
          <w:sz w:val="18"/>
        </w:rPr>
      </w:pPr>
      <w:r>
        <w:rPr>
          <w:rFonts w:cs="Arial;Arial Narrow" w:ascii="Arial;Arial Narrow" w:hAnsi="Arial;Arial Narrow"/>
          <w:i/>
          <w:sz w:val="18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3828"/>
        <w:gridCol w:w="1358"/>
        <w:gridCol w:w="1760"/>
        <w:gridCol w:w="709"/>
        <w:gridCol w:w="567"/>
        <w:gridCol w:w="567"/>
        <w:gridCol w:w="577"/>
      </w:tblGrid>
      <w:tr>
        <w:trPr>
          <w:trHeight w:val="340" w:hRule="atLeast"/>
        </w:trPr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318" w:hanging="0"/>
              <w:rPr>
                <w:rFonts w:ascii="Arial;Arial Narrow" w:hAnsi="Arial;Arial Narrow" w:cs="Arial;Arial Narrow"/>
                <w:b/>
                <w:b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b)ÚJ je materskou účtovnou jednotkou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ÁNO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NIE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X</w:t>
            </w:r>
          </w:p>
        </w:tc>
      </w:tr>
      <w:tr>
        <w:trPr>
          <w:trHeight w:val="340" w:hRule="atLeast"/>
        </w:trPr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ind w:left="318" w:hanging="0"/>
              <w:rPr>
                <w:rFonts w:ascii="Arial;Arial Narrow" w:hAnsi="Arial;Arial Narrow" w:cs="Arial;Arial Narrow"/>
                <w:i/>
                <w:i/>
                <w:sz w:val="18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ÚJ je oslobodená od povinnosti zostaviť konsolidovanú ÚZ podľa §22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ÁNO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NIE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Obchodné meno a sídlo materskej ÚJ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34" w:hanging="0"/>
              <w:jc w:val="both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§ 22 ods.8</w:t>
            </w:r>
          </w:p>
        </w:tc>
        <w:tc>
          <w:tcPr>
            <w:tcW w:w="4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Obchodné meno asídlo dcérskych ÚJ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34" w:hanging="0"/>
              <w:jc w:val="both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§ 22 ods.12</w:t>
            </w:r>
          </w:p>
        </w:tc>
        <w:tc>
          <w:tcPr>
            <w:tcW w:w="4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</w:tbl>
    <w:p>
      <w:pPr>
        <w:pStyle w:val="Normal"/>
        <w:tabs>
          <w:tab w:val="clear" w:pos="709"/>
          <w:tab w:val="left" w:pos="851" w:leader="none"/>
        </w:tabs>
        <w:jc w:val="center"/>
        <w:rPr>
          <w:rFonts w:ascii="Arial;Arial Narrow" w:hAnsi="Arial;Arial Narrow" w:cs="Arial;Arial Narrow"/>
          <w:i/>
          <w:i/>
          <w:sz w:val="18"/>
        </w:rPr>
      </w:pPr>
      <w:r>
        <w:rPr>
          <w:rFonts w:cs="Arial;Arial Narrow" w:ascii="Arial;Arial Narrow" w:hAnsi="Arial;Arial Narrow"/>
          <w:i/>
          <w:sz w:val="18"/>
        </w:rPr>
      </w:r>
    </w:p>
    <w:p>
      <w:pPr>
        <w:pStyle w:val="Normal"/>
        <w:rPr>
          <w:rFonts w:ascii="Arial;Arial Narrow" w:hAnsi="Arial;Arial Narrow" w:cs="Arial;Arial Narrow"/>
          <w:i/>
          <w:i/>
          <w:sz w:val="20"/>
        </w:rPr>
      </w:pPr>
      <w:r>
        <w:rPr>
          <w:rFonts w:cs="Arial;Arial Narrow" w:ascii="Arial;Arial Narrow" w:hAnsi="Arial;Arial Narrow"/>
          <w:i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7938"/>
        <w:gridCol w:w="1428"/>
      </w:tblGrid>
      <w:tr>
        <w:trPr>
          <w:trHeight w:val="340" w:hRule="atLeast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2"/>
              </w:numPr>
              <w:spacing w:before="0" w:after="0"/>
              <w:ind w:left="357" w:hanging="357"/>
              <w:contextualSpacing/>
              <w:jc w:val="both"/>
              <w:outlineLvl w:val="1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Priemerný prepočítaný počet zamestnancov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snapToGrid w:val="false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4</w:t>
            </w:r>
          </w:p>
        </w:tc>
      </w:tr>
    </w:tbl>
    <w:p>
      <w:pPr>
        <w:pStyle w:val="Normal"/>
        <w:tabs>
          <w:tab w:val="clear" w:pos="709"/>
          <w:tab w:val="left" w:pos="851" w:leader="none"/>
        </w:tabs>
        <w:ind w:left="2870" w:hanging="0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tabs>
          <w:tab w:val="clear" w:pos="709"/>
          <w:tab w:val="left" w:pos="851" w:leader="none"/>
        </w:tabs>
        <w:ind w:left="2870" w:hanging="0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tabs>
          <w:tab w:val="clear" w:pos="709"/>
          <w:tab w:val="left" w:pos="851" w:leader="none"/>
        </w:tabs>
        <w:ind w:left="2870" w:hanging="0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tabs>
          <w:tab w:val="clear" w:pos="709"/>
          <w:tab w:val="left" w:pos="851" w:leader="none"/>
        </w:tabs>
        <w:ind w:left="2870" w:hanging="0"/>
        <w:jc w:val="both"/>
        <w:rPr>
          <w:rFonts w:ascii="Arial;Arial Narrow" w:hAnsi="Arial;Arial Narrow" w:cs="Arial;Arial Narrow"/>
          <w:i/>
          <w:i/>
          <w:sz w:val="20"/>
          <w:szCs w:val="20"/>
        </w:rPr>
      </w:pPr>
      <w:r>
        <w:rPr>
          <w:rFonts w:cs="Arial;Arial Narrow" w:ascii="Arial;Arial Narrow" w:hAnsi="Arial;Arial Narrow"/>
          <w:i/>
          <w:sz w:val="20"/>
          <w:szCs w:val="20"/>
        </w:rPr>
      </w:r>
    </w:p>
    <w:p>
      <w:pPr>
        <w:pStyle w:val="Normal"/>
        <w:numPr>
          <w:ilvl w:val="0"/>
          <w:numId w:val="6"/>
        </w:numPr>
        <w:shd w:fill="E6E6E6" w:val="clear"/>
        <w:ind w:left="709" w:hanging="709"/>
        <w:jc w:val="center"/>
        <w:rPr>
          <w:i/>
          <w:i/>
          <w:szCs w:val="20"/>
        </w:rPr>
      </w:pPr>
      <w:r>
        <w:rPr>
          <w:i/>
          <w:szCs w:val="20"/>
        </w:rPr>
        <w:t>Informácie o prijatých postupoch</w:t>
      </w:r>
    </w:p>
    <w:p>
      <w:pPr>
        <w:pStyle w:val="Normal"/>
        <w:ind w:left="1121" w:hanging="0"/>
        <w:jc w:val="both"/>
        <w:rPr>
          <w:rFonts w:ascii="Arial;Arial Narrow" w:hAnsi="Arial;Arial Narrow" w:cs="Arial;Arial Narrow"/>
          <w:b/>
          <w:b/>
          <w:i/>
          <w:i/>
          <w:sz w:val="20"/>
          <w:szCs w:val="20"/>
        </w:rPr>
      </w:pPr>
      <w:r>
        <w:rPr>
          <w:rFonts w:cs="Arial;Arial Narrow" w:ascii="Arial;Arial Narrow" w:hAnsi="Arial;Arial Narrow"/>
          <w:b/>
          <w:i/>
          <w:sz w:val="20"/>
          <w:szCs w:val="20"/>
        </w:rPr>
      </w:r>
    </w:p>
    <w:p>
      <w:pPr>
        <w:pStyle w:val="Normal"/>
        <w:ind w:left="1121" w:hanging="0"/>
        <w:jc w:val="both"/>
        <w:rPr>
          <w:rFonts w:ascii="Arial;Arial Narrow" w:hAnsi="Arial;Arial Narrow" w:cs="Arial;Arial Narrow"/>
          <w:b/>
          <w:b/>
          <w:sz w:val="20"/>
        </w:rPr>
      </w:pPr>
      <w:r>
        <w:rPr>
          <w:rFonts w:cs="Arial;Arial Narrow" w:ascii="Arial;Arial Narrow" w:hAnsi="Arial;Arial Narrow"/>
          <w:b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78"/>
        <w:gridCol w:w="6368"/>
        <w:gridCol w:w="709"/>
        <w:gridCol w:w="567"/>
        <w:gridCol w:w="567"/>
        <w:gridCol w:w="577"/>
      </w:tblGrid>
      <w:tr>
        <w:trPr>
          <w:trHeight w:val="522" w:hRule="exact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10"/>
              </w:numPr>
              <w:snapToGrid w:val="false"/>
              <w:spacing w:before="0" w:after="0"/>
              <w:ind w:left="357" w:hanging="357"/>
              <w:contextualSpacing/>
              <w:jc w:val="both"/>
              <w:outlineLvl w:val="1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Cs w:val="22"/>
              </w:rPr>
            </w:r>
          </w:p>
        </w:tc>
        <w:tc>
          <w:tcPr>
            <w:tcW w:w="6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;Arial Narrow" w:ascii="Arial;Arial Narrow" w:hAnsi="Arial;Arial Narrow"/>
                <w:b/>
                <w:sz w:val="20"/>
              </w:rPr>
              <w:t>Účtovná závierka bola zostavená za predpokladu, že účtovná jednotka bude nepretržite pokračovať vo svojej činnosti</w:t>
            </w:r>
            <w:r>
              <w:rPr>
                <w:rFonts w:cs="Arial;Arial Narrow" w:ascii="Arial;Arial Narrow" w:hAnsi="Arial;Arial Narrow"/>
                <w:b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ÁNO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X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NIE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</w:tbl>
    <w:p>
      <w:pPr>
        <w:pStyle w:val="Odsekzoznamu"/>
        <w:keepNext w:val="true"/>
        <w:numPr>
          <w:ilvl w:val="0"/>
          <w:numId w:val="0"/>
        </w:numPr>
        <w:spacing w:before="0" w:after="0"/>
        <w:ind w:left="357" w:hanging="0"/>
        <w:contextualSpacing/>
        <w:jc w:val="both"/>
        <w:outlineLvl w:val="1"/>
        <w:rPr>
          <w:rFonts w:ascii="Arial;Arial Narrow" w:hAnsi="Arial;Arial Narrow" w:cs="Arial;Arial Narrow"/>
          <w:sz w:val="20"/>
          <w:lang w:val="sk-SK"/>
        </w:rPr>
      </w:pPr>
      <w:r>
        <w:rPr>
          <w:rFonts w:cs="Arial;Arial Narrow" w:ascii="Arial;Arial Narrow" w:hAnsi="Arial;Arial Narrow"/>
          <w:sz w:val="20"/>
          <w:lang w:val="sk-SK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67"/>
        <w:gridCol w:w="8364"/>
        <w:gridCol w:w="435"/>
      </w:tblGrid>
      <w:tr>
        <w:trPr>
          <w:trHeight w:val="28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Odsekzoznamu"/>
              <w:keepNext w:val="true"/>
              <w:numPr>
                <w:ilvl w:val="0"/>
                <w:numId w:val="10"/>
              </w:numPr>
              <w:snapToGrid w:val="false"/>
              <w:spacing w:before="0" w:after="0"/>
              <w:ind w:left="357" w:hanging="357"/>
              <w:contextualSpacing/>
              <w:jc w:val="both"/>
              <w:outlineLvl w:val="1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b/>
                <w:b/>
                <w:sz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Spôsob oceňovania jednotlivých položiek majetku a záväzkov</w:t>
            </w:r>
          </w:p>
        </w:tc>
      </w:tr>
      <w:tr>
        <w:trPr>
          <w:trHeight w:val="283" w:hRule="atLeast"/>
        </w:trPr>
        <w:tc>
          <w:tcPr>
            <w:tcW w:w="9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/>
            </w:pPr>
            <w:r>
              <w:rPr>
                <w:rFonts w:eastAsia="Arial;Arial Narrow" w:cs="Arial;Arial Narrow" w:ascii="Arial;Arial Narrow" w:hAnsi="Arial;Arial Narrow"/>
                <w:bCs/>
                <w:sz w:val="20"/>
              </w:rPr>
              <w:t xml:space="preserve"> </w:t>
            </w:r>
            <w:r>
              <w:rPr>
                <w:rFonts w:cs="Arial;Arial Narrow" w:ascii="Arial;Arial Narrow" w:hAnsi="Arial;Arial Narrow"/>
                <w:bCs/>
                <w:sz w:val="20"/>
              </w:rPr>
              <w:t>Obstarávacou cenou</w:t>
            </w:r>
          </w:p>
        </w:tc>
      </w:tr>
      <w:tr>
        <w:trPr>
          <w:trHeight w:val="283" w:hRule="atLeast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1. hmotný majetok s výnimkou hmotného majetku vytvoreného vlastnou činnosťou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  <w:tr>
        <w:trPr>
          <w:trHeight w:val="283" w:hRule="atLeast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2. zásoby s výnimkou zásob vytvorených vlastnou činnosťou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  <w:tr>
        <w:trPr>
          <w:trHeight w:val="283" w:hRule="atLeast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3. podiely na ZI obchodných spoločností,  cenné papiere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4. pohľadávky pri odplatnom nadobudnutí alebo pohľadávky nadobudnuté vkladom do ZI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5. nehmotný majetok s výnimkou nehmotného majetku vytvoreného vlastnou činnosťou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6. záväzky pri ich prevzatí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  <w:szCs w:val="22"/>
        </w:rPr>
      </w:pPr>
      <w:r>
        <w:rPr>
          <w:rFonts w:cs="Arial;Arial Narrow" w:ascii="Arial;Arial Narrow" w:hAnsi="Arial;Arial Narrow"/>
          <w:sz w:val="20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931"/>
        <w:gridCol w:w="435"/>
      </w:tblGrid>
      <w:tr>
        <w:trPr>
          <w:trHeight w:val="283" w:hRule="atLeast"/>
        </w:trPr>
        <w:tc>
          <w:tcPr>
            <w:tcW w:w="9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/>
            </w:pPr>
            <w:r>
              <w:rPr>
                <w:rFonts w:eastAsia="Arial;Arial Narrow" w:cs="Arial;Arial Narrow" w:ascii="Arial;Arial Narrow" w:hAnsi="Arial;Arial Narrow"/>
                <w:bCs/>
                <w:sz w:val="20"/>
              </w:rPr>
              <w:t xml:space="preserve"> </w:t>
            </w:r>
            <w:r>
              <w:rPr>
                <w:rFonts w:cs="Arial;Arial Narrow" w:ascii="Arial;Arial Narrow" w:hAnsi="Arial;Arial Narrow"/>
                <w:bCs/>
                <w:sz w:val="20"/>
              </w:rPr>
              <w:t>Vlastnými nákladmi</w:t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1. hmotný majetok vytvorený vlastnou činnosťou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2. zásoby vytvorené vlastnou činnosťou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3. nehmotný majetok vytvorený vlastnou činnosťou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/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4. príchovky a prírastky zvierat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  <w:szCs w:val="22"/>
        </w:rPr>
      </w:pPr>
      <w:r>
        <w:rPr>
          <w:rFonts w:cs="Arial;Arial Narrow" w:ascii="Arial;Arial Narrow" w:hAnsi="Arial;Arial Narrow"/>
          <w:sz w:val="20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931"/>
        <w:gridCol w:w="435"/>
      </w:tblGrid>
      <w:tr>
        <w:trPr>
          <w:trHeight w:val="283" w:hRule="atLeast"/>
        </w:trPr>
        <w:tc>
          <w:tcPr>
            <w:tcW w:w="9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/>
            </w:pPr>
            <w:r>
              <w:rPr>
                <w:rFonts w:eastAsia="Arial;Arial Narrow" w:cs="Arial;Arial Narrow" w:ascii="Arial;Arial Narrow" w:hAnsi="Arial;Arial Narrow"/>
                <w:bCs/>
                <w:sz w:val="20"/>
              </w:rPr>
              <w:t xml:space="preserve"> </w:t>
            </w:r>
            <w:r>
              <w:rPr>
                <w:rFonts w:cs="Arial;Arial Narrow" w:ascii="Arial;Arial Narrow" w:hAnsi="Arial;Arial Narrow"/>
                <w:bCs/>
                <w:sz w:val="20"/>
              </w:rPr>
              <w:t>Menovitou hodnotou</w:t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1. peňažné prostriedky a ceniny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2. pohľadávky pri ich vzniku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3. záväzky pri ich vzniku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  <w:szCs w:val="22"/>
        </w:rPr>
      </w:pPr>
      <w:r>
        <w:rPr>
          <w:rFonts w:cs="Arial;Arial Narrow" w:ascii="Arial;Arial Narrow" w:hAnsi="Arial;Arial Narrow"/>
          <w:sz w:val="20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931"/>
        <w:gridCol w:w="435"/>
      </w:tblGrid>
      <w:tr>
        <w:trPr>
          <w:trHeight w:val="283" w:hRule="atLeast"/>
        </w:trPr>
        <w:tc>
          <w:tcPr>
            <w:tcW w:w="9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Úbytok zásob rovnakého druhu sa účtuje v ocenení: </w:t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Cenou zistenou váženým aritmetickým priemerom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Metódou FIFO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Obstarávacia cena zásob sa rozdeľuje na cenu za ktoré sa zásoby obstarali</w:t>
            </w:r>
          </w:p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eastAsia="Arial;Arial Narrow" w:cs="Arial;Arial Narrow" w:ascii="Arial;Arial Narrow" w:hAnsi="Arial;Arial Narrow"/>
                <w:bCs/>
                <w:sz w:val="20"/>
              </w:rPr>
              <w:t xml:space="preserve"> </w:t>
            </w:r>
            <w:r>
              <w:rPr>
                <w:rFonts w:cs="Arial;Arial Narrow" w:ascii="Arial;Arial Narrow" w:hAnsi="Arial;Arial Narrow"/>
                <w:bCs/>
                <w:sz w:val="20"/>
              </w:rPr>
              <w:t>a náklady súvisiace s obstaraním(VON).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 xml:space="preserve">Pri vyskladnení sa VON rozpúšťajú nasledovne :VON/(PS zásob + príjem zásob) x výdaj  zásob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  <w:szCs w:val="22"/>
        </w:rPr>
      </w:pPr>
      <w:r>
        <w:rPr>
          <w:rFonts w:cs="Arial;Arial Narrow" w:ascii="Arial;Arial Narrow" w:hAnsi="Arial;Arial Narrow"/>
          <w:sz w:val="20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8931"/>
        <w:gridCol w:w="435"/>
      </w:tblGrid>
      <w:tr>
        <w:trPr/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/>
            </w:pPr>
            <w:r>
              <w:rPr>
                <w:rFonts w:cs="Arial;Arial Narrow" w:ascii="Arial;Arial Narrow" w:hAnsi="Arial;Arial Narrow"/>
                <w:sz w:val="20"/>
              </w:rPr>
              <w:t xml:space="preserve">Výdavky budúcich období a príjmy budúcich období  sa vykazujú vo výške, ktorá je potrebná </w:t>
            </w:r>
          </w:p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na dodržanie zásady vecnej a časovej súvislosti s účtovným obdobím.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  <w:tr>
        <w:trPr/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Rezervy sú záväzky s neurčitým časovým vymedzením alebo výškou; tvoria sa na krytie známych</w:t>
            </w:r>
          </w:p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eastAsia="Arial;Arial Narrow" w:cs="Arial;Arial Narrow" w:ascii="Arial;Arial Narrow" w:hAnsi="Arial;Arial Narrow"/>
                <w:bCs/>
                <w:sz w:val="20"/>
              </w:rPr>
              <w:t xml:space="preserve"> </w:t>
            </w:r>
            <w:r>
              <w:rPr>
                <w:rFonts w:cs="Arial;Arial Narrow" w:ascii="Arial;Arial Narrow" w:hAnsi="Arial;Arial Narrow"/>
                <w:bCs/>
                <w:sz w:val="20"/>
              </w:rPr>
              <w:t>rizík alebo strát z podnikania. Oceňujú sa v očakávanej výške záväzku.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</w:r>
          </w:p>
        </w:tc>
      </w:tr>
      <w:tr>
        <w:trPr/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Prenajatý  majetok a majetok obstaraný na základe  zmluvy o kúpe prenajatej veci - v ocenení</w:t>
            </w:r>
          </w:p>
          <w:p>
            <w:pPr>
              <w:pStyle w:val="Normal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eastAsia="Arial;Arial Narrow" w:cs="Arial;Arial Narrow" w:ascii="Arial;Arial Narrow" w:hAnsi="Arial;Arial Narrow"/>
                <w:bCs/>
                <w:sz w:val="20"/>
                <w:szCs w:val="22"/>
              </w:rPr>
              <w:t xml:space="preserve"> </w:t>
            </w: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 xml:space="preserve">rovnajúcom istine a náklady súvisiace s obstaraním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</w:r>
          </w:p>
        </w:tc>
      </w:tr>
      <w:tr>
        <w:trPr/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Daň z príjmov splatná – daň sa  určuje z účtovného zisku pred zdanením, po úpravách na daňové</w:t>
            </w:r>
          </w:p>
          <w:p>
            <w:pPr>
              <w:pStyle w:val="Normal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eastAsia="Arial;Arial Narrow" w:cs="Arial;Arial Narrow" w:ascii="Arial;Arial Narrow" w:hAnsi="Arial;Arial Narrow"/>
                <w:bCs/>
                <w:sz w:val="20"/>
                <w:szCs w:val="22"/>
              </w:rPr>
              <w:t xml:space="preserve"> </w:t>
            </w: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účely podľa zákona o daniach z príjmov pri sadzbe 21 %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X</w:t>
            </w:r>
          </w:p>
        </w:tc>
      </w:tr>
      <w:tr>
        <w:trPr/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 xml:space="preserve">Náklady a výnosy časovo rozlišujú. Časovo sa ne nerozlišujú náklady a výnosy, ak ide </w:t>
            </w:r>
          </w:p>
          <w:p>
            <w:pPr>
              <w:pStyle w:val="Normal"/>
              <w:ind w:right="-468" w:hanging="0"/>
              <w:rPr/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o nevýznamný a stále sa opakujúci účtovný prípad týkajúci sa časového rozlíšenia nákladov alebo výnosov posledného a prvého mesiaca účtovného obdobia.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  <w:tr>
        <w:trPr/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Náklady a výnosy časovo nerozlišujú.</w:t>
            </w:r>
          </w:p>
          <w:p>
            <w:pPr>
              <w:pStyle w:val="Normal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snapToGrid w:val="false"/>
              <w:ind w:right="-468" w:hanging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</w:r>
          </w:p>
        </w:tc>
      </w:tr>
      <w:tr>
        <w:trPr/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rFonts w:ascii="Arial;Arial Narrow" w:hAnsi="Arial;Arial Narrow" w:cs="Arial;Arial Narrow"/>
                <w:bCs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2"/>
              </w:rPr>
              <w:t>Na účte časového rozlíšenia  sa  neúčtuje ak ide o nevýznamný a stále sa opakujúci účtovný prípad, ktorý sa týka účtovania nákladov a výnosov medzi dvoma účtovnými obdobiami, pričom nejde o účtovný prípad týkajúci sa účtovania dotácií a emisných kvót.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ind w:right="-468" w:hanging="0"/>
              <w:rPr>
                <w:rFonts w:ascii="Arial;Arial Narrow" w:hAnsi="Arial;Arial Narrow" w:cs="Arial;Arial Narrow"/>
                <w:bCs/>
                <w:sz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</w:rPr>
              <w:t>X</w:t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  <w:szCs w:val="22"/>
        </w:rPr>
      </w:pPr>
      <w:r>
        <w:rPr>
          <w:rFonts w:cs="Arial;Arial Narrow" w:ascii="Arial;Arial Narrow" w:hAnsi="Arial;Arial Narrow"/>
          <w:sz w:val="20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67"/>
        <w:gridCol w:w="6760"/>
        <w:gridCol w:w="1604"/>
        <w:gridCol w:w="435"/>
      </w:tblGrid>
      <w:tr>
        <w:trPr>
          <w:trHeight w:val="774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10"/>
              </w:numPr>
              <w:snapToGrid w:val="false"/>
              <w:spacing w:before="0" w:after="0"/>
              <w:ind w:left="357" w:hanging="357"/>
              <w:contextualSpacing/>
              <w:jc w:val="center"/>
              <w:outlineLvl w:val="1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Cs w:val="22"/>
              </w:rPr>
            </w:r>
          </w:p>
          <w:p>
            <w:pPr>
              <w:pStyle w:val="Odsekzoznamu"/>
              <w:keepNext w:val="true"/>
              <w:numPr>
                <w:ilvl w:val="0"/>
                <w:numId w:val="0"/>
              </w:numPr>
              <w:spacing w:before="0" w:after="0"/>
              <w:ind w:left="357" w:hanging="0"/>
              <w:contextualSpacing/>
              <w:jc w:val="center"/>
              <w:outlineLvl w:val="1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Cs w:val="22"/>
              </w:rPr>
            </w:r>
          </w:p>
          <w:p>
            <w:pPr>
              <w:pStyle w:val="Odsekzoznamu"/>
              <w:keepNext w:val="true"/>
              <w:numPr>
                <w:ilvl w:val="0"/>
                <w:numId w:val="0"/>
              </w:numPr>
              <w:spacing w:before="0" w:after="0"/>
              <w:ind w:left="357" w:hanging="0"/>
              <w:contextualSpacing/>
              <w:jc w:val="center"/>
              <w:outlineLvl w:val="1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Cs w:val="22"/>
              </w:rPr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 xml:space="preserve">Spôsob zostavenia odpisového plánu pre jednotlivé druhy dlhodobého hmotného majetku  a dlhodobého nehmotného majetku, doba odpisovania, použité sadzby odpisov a odpisové metódy pri určení odpisov </w:t>
            </w:r>
          </w:p>
        </w:tc>
      </w:tr>
      <w:tr>
        <w:trPr/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widowControl w:val="false"/>
              <w:autoSpaceDE w:val="false"/>
              <w:jc w:val="both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 xml:space="preserve">Nehmotný majetok odpisuje účtovná jednotka počas predpokladanej doby používania zodpovedajúcej spotrebe budúcich ekonomických úžitkov z majetku. Nehmotný majetok, ktorým sú náklady na vývoj sa odpisuje  najneskôr do piatich rokov od jeho obstarania. Nehmotný majetok vytvorený vlastnou činnosťou sa neaktivuje okrem softvéru a nákladov na vývoj, ktoré sa aktivujú v súlade s postupmi účtovania. 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  <w:p>
            <w:pPr>
              <w:pStyle w:val="Normal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  <w:p>
            <w:pPr>
              <w:pStyle w:val="Normal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  <w:tr>
        <w:trPr>
          <w:trHeight w:val="810" w:hRule="atLeast"/>
        </w:trPr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widowControl w:val="false"/>
              <w:autoSpaceDE w:val="false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 xml:space="preserve"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majetku. Účtovné a daňové odpisy sa </w:t>
            </w:r>
            <w:r>
              <w:rPr>
                <w:rFonts w:cs="Arial;Arial Narrow" w:ascii="Arial;Arial Narrow" w:hAnsi="Arial;Arial Narrow"/>
                <w:b/>
                <w:sz w:val="20"/>
                <w:szCs w:val="22"/>
              </w:rPr>
              <w:t>rovnajú.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X</w:t>
            </w:r>
          </w:p>
        </w:tc>
      </w:tr>
      <w:tr>
        <w:trPr>
          <w:trHeight w:val="823" w:hRule="atLeast"/>
        </w:trPr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widowControl w:val="false"/>
              <w:autoSpaceDE w:val="false"/>
              <w:jc w:val="both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 xml:space="preserve"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majetku. Účtovné a daňové odpisy sa </w:t>
            </w:r>
            <w:r>
              <w:rPr>
                <w:rFonts w:cs="Arial;Arial Narrow" w:ascii="Arial;Arial Narrow" w:hAnsi="Arial;Arial Narrow"/>
                <w:b/>
                <w:sz w:val="20"/>
                <w:szCs w:val="22"/>
              </w:rPr>
              <w:t>nerovnajú.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  <w:tr>
        <w:trPr>
          <w:trHeight w:val="64" w:hRule="atLeast"/>
        </w:trPr>
        <w:tc>
          <w:tcPr>
            <w:tcW w:w="7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widowControl w:val="false"/>
              <w:autoSpaceDE w:val="false"/>
              <w:jc w:val="both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Dlhodobý nehmotný majetok =doba použiteľnosti viac ako rok a vstupná cena je  viac ako :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widowControl w:val="false"/>
              <w:autoSpaceDE w:val="false"/>
              <w:jc w:val="both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2400,-eur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X</w:t>
            </w:r>
          </w:p>
        </w:tc>
      </w:tr>
      <w:tr>
        <w:trPr>
          <w:trHeight w:val="64" w:hRule="atLeast"/>
        </w:trPr>
        <w:tc>
          <w:tcPr>
            <w:tcW w:w="7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widowControl w:val="false"/>
              <w:autoSpaceDE w:val="false"/>
              <w:jc w:val="both"/>
              <w:rPr/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Samostatné hnuteľné veci sú dlhodobým hmotným majetkom ak doba použiteľnosti je viac ako rok a vstupná cena viac ako: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widowControl w:val="false"/>
              <w:autoSpaceDE w:val="false"/>
              <w:jc w:val="both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1700,-eur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X</w:t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p>
      <w:pPr>
        <w:pStyle w:val="Normal"/>
        <w:jc w:val="both"/>
        <w:rPr>
          <w:rFonts w:ascii="Arial;Arial Narrow" w:hAnsi="Arial;Arial Narrow" w:cs="Arial;Arial Narrow"/>
          <w:sz w:val="18"/>
        </w:rPr>
      </w:pPr>
      <w:r>
        <w:rPr>
          <w:rFonts w:cs="Arial;Arial Narrow" w:ascii="Arial;Arial Narrow" w:hAnsi="Arial;Arial Narrow"/>
          <w:sz w:val="18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3119"/>
        <w:gridCol w:w="1276"/>
        <w:gridCol w:w="1417"/>
        <w:gridCol w:w="1134"/>
        <w:gridCol w:w="1276"/>
        <w:gridCol w:w="1144"/>
      </w:tblGrid>
      <w:tr>
        <w:trPr>
          <w:trHeight w:val="340" w:hRule="atLeast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20"/>
              </w:rPr>
              <w:t>Majetok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Odpisová skupina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Doba odpisovania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Lineárne odpisy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Zrýchlené odpisy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  <w:tr>
        <w:trPr>
          <w:trHeight w:val="340" w:hRule="atLeast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Dopravné prostriedky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  <w:tr>
        <w:trPr>
          <w:trHeight w:val="340" w:hRule="atLeast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Stroje, prístroje a zariadenia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  <w:tr>
        <w:trPr>
          <w:trHeight w:val="340" w:hRule="atLeast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 xml:space="preserve">Stroje, prístroje a zariadenia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  <w:tr>
        <w:trPr>
          <w:trHeight w:val="340" w:hRule="atLeast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  <w:tr>
        <w:trPr>
          <w:trHeight w:val="340" w:hRule="atLeast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  <w:tr>
        <w:trPr>
          <w:trHeight w:val="340" w:hRule="atLeast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before="0" w:after="120"/>
              <w:jc w:val="both"/>
              <w:rPr>
                <w:rFonts w:ascii="Arial;Arial Narrow" w:hAnsi="Arial;Arial Narrow" w:cs="Arial;Arial Narrow"/>
                <w:sz w:val="18"/>
              </w:rPr>
            </w:pPr>
            <w:r>
              <w:rPr>
                <w:rFonts w:cs="Arial;Arial Narrow" w:ascii="Arial;Arial Narrow" w:hAnsi="Arial;Arial Narrow"/>
                <w:sz w:val="18"/>
              </w:rPr>
            </w:r>
          </w:p>
        </w:tc>
      </w:tr>
    </w:tbl>
    <w:p>
      <w:pPr>
        <w:pStyle w:val="Odsekzoznamu"/>
        <w:rPr>
          <w:rFonts w:ascii="Arial;Arial Narrow" w:hAnsi="Arial;Arial Narrow" w:cs="Arial;Arial Narrow"/>
          <w:sz w:val="20"/>
          <w:lang w:val="sk-SK"/>
        </w:rPr>
      </w:pPr>
      <w:r>
        <w:rPr>
          <w:rFonts w:cs="Arial;Arial Narrow" w:ascii="Arial;Arial Narrow" w:hAnsi="Arial;Arial Narrow"/>
          <w:sz w:val="20"/>
          <w:lang w:val="sk-SK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48"/>
        <w:gridCol w:w="2246"/>
        <w:gridCol w:w="1842"/>
        <w:gridCol w:w="1560"/>
        <w:gridCol w:w="992"/>
        <w:gridCol w:w="709"/>
        <w:gridCol w:w="425"/>
        <w:gridCol w:w="709"/>
        <w:gridCol w:w="435"/>
      </w:tblGrid>
      <w:tr>
        <w:trPr>
          <w:trHeight w:val="340" w:hRule="exact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10"/>
              </w:numPr>
              <w:snapToGrid w:val="false"/>
              <w:spacing w:before="0" w:after="0"/>
              <w:ind w:left="357" w:hanging="357"/>
              <w:contextualSpacing/>
              <w:jc w:val="both"/>
              <w:outlineLvl w:val="1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6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528" w:hanging="0"/>
              <w:jc w:val="both"/>
              <w:rPr>
                <w:rFonts w:ascii="Arial;Arial Narrow" w:hAnsi="Arial;Arial Narrow" w:cs="Arial;Arial Narrow"/>
                <w:b/>
                <w:b/>
                <w:sz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Zmeny účtovných zásad a účtovných metód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ÁNO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NIE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X</w:t>
            </w:r>
          </w:p>
        </w:tc>
      </w:tr>
      <w:tr>
        <w:trPr>
          <w:trHeight w:val="388" w:hRule="atLeast"/>
        </w:trPr>
        <w:tc>
          <w:tcPr>
            <w:tcW w:w="26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Zmena účtovných zásad a účtovných metód(popis)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Dôvod uplatnenia</w:t>
            </w:r>
          </w:p>
        </w:tc>
        <w:tc>
          <w:tcPr>
            <w:tcW w:w="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Vplyv (+/-) zmeny na:</w:t>
            </w:r>
          </w:p>
        </w:tc>
      </w:tr>
      <w:tr>
        <w:trPr>
          <w:trHeight w:val="301" w:hRule="atLeast"/>
        </w:trPr>
        <w:tc>
          <w:tcPr>
            <w:tcW w:w="269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Hodnotu majetku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Vlastné imanie</w:t>
            </w:r>
          </w:p>
        </w:tc>
        <w:tc>
          <w:tcPr>
            <w:tcW w:w="1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  <w:t>Výsledok hospodárenia</w:t>
            </w:r>
          </w:p>
        </w:tc>
      </w:tr>
      <w:tr>
        <w:trPr>
          <w:trHeight w:val="340" w:hRule="atLeast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  <w:tc>
          <w:tcPr>
            <w:tcW w:w="15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0" w:after="120"/>
              <w:rPr>
                <w:rFonts w:ascii="Arial;Arial Narrow" w:hAnsi="Arial;Arial Narrow" w:cs="Arial;Arial Narrow"/>
                <w:sz w:val="20"/>
                <w:szCs w:val="22"/>
              </w:rPr>
            </w:pPr>
            <w:r>
              <w:rPr>
                <w:rFonts w:cs="Arial;Arial Narrow" w:ascii="Arial;Arial Narrow" w:hAnsi="Arial;Arial Narrow"/>
                <w:sz w:val="20"/>
                <w:szCs w:val="22"/>
              </w:rPr>
            </w:r>
          </w:p>
        </w:tc>
      </w:tr>
    </w:tbl>
    <w:p>
      <w:pPr>
        <w:pStyle w:val="Odsekzoznamu"/>
        <w:rPr>
          <w:rFonts w:ascii="Arial;Arial Narrow" w:hAnsi="Arial;Arial Narrow" w:cs="Arial;Arial Narrow"/>
          <w:sz w:val="20"/>
          <w:lang w:val="sk-SK"/>
        </w:rPr>
      </w:pPr>
      <w:r>
        <w:rPr>
          <w:rFonts w:cs="Arial;Arial Narrow" w:ascii="Arial;Arial Narrow" w:hAnsi="Arial;Arial Narrow"/>
          <w:sz w:val="20"/>
          <w:lang w:val="sk-SK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426"/>
        <w:gridCol w:w="5670"/>
        <w:gridCol w:w="1701"/>
        <w:gridCol w:w="1569"/>
      </w:tblGrid>
      <w:tr>
        <w:trPr>
          <w:trHeight w:val="278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10"/>
              </w:numPr>
              <w:snapToGrid w:val="false"/>
              <w:spacing w:before="0" w:after="0"/>
              <w:ind w:left="357" w:hanging="357"/>
              <w:contextualSpacing/>
              <w:jc w:val="center"/>
              <w:outlineLvl w:val="1"/>
              <w:rPr>
                <w:rFonts w:ascii="Arial;Arial Narrow" w:hAnsi="Arial;Arial Narrow" w:cs="Arial;Arial Narrow"/>
                <w:bCs/>
                <w:kern w:val="2"/>
                <w:szCs w:val="22"/>
                <w:lang w:eastAsia="sk-SK"/>
              </w:rPr>
            </w:pPr>
            <w:r>
              <w:rPr>
                <w:rFonts w:cs="Arial;Arial Narrow" w:ascii="Arial;Arial Narrow" w:hAnsi="Arial;Arial Narrow"/>
                <w:bCs/>
                <w:kern w:val="2"/>
                <w:szCs w:val="22"/>
                <w:lang w:eastAsia="sk-SK"/>
              </w:rPr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39" w:hanging="0"/>
              <w:rPr>
                <w:rFonts w:ascii="Arial;Arial Narrow" w:hAnsi="Arial;Arial Narrow" w:cs="Arial;Arial Narrow"/>
                <w:b/>
                <w:b/>
                <w:bCs/>
                <w:kern w:val="2"/>
                <w:szCs w:val="22"/>
                <w:lang w:eastAsia="sk-SK"/>
              </w:rPr>
            </w:pPr>
            <w:r>
              <w:rPr>
                <w:rFonts w:cs="Arial;Arial Narrow" w:ascii="Arial;Arial Narrow" w:hAnsi="Arial;Arial Narrow"/>
                <w:b/>
                <w:sz w:val="20"/>
                <w:lang w:val="sk-SK" w:eastAsia="sk-SK"/>
              </w:rPr>
              <w:t>Informácia o poskytnutých dotáciách  a ich ocenenie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snapToGrid w:val="false"/>
              <w:ind w:left="0" w:hanging="0"/>
              <w:rPr>
                <w:rFonts w:ascii="Arial;Arial Narrow" w:hAnsi="Arial;Arial Narrow" w:cs="Arial;Arial Narrow"/>
                <w:b/>
                <w:b/>
                <w:bCs/>
                <w:kern w:val="2"/>
                <w:szCs w:val="22"/>
                <w:lang w:eastAsia="sk-SK"/>
              </w:rPr>
            </w:pPr>
            <w:r>
              <w:rPr>
                <w:rFonts w:cs="Arial;Arial Narrow" w:ascii="Arial;Arial Narrow" w:hAnsi="Arial;Arial Narrow"/>
                <w:b/>
                <w:bCs/>
                <w:kern w:val="2"/>
                <w:szCs w:val="22"/>
                <w:lang w:eastAsia="sk-SK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jc w:val="center"/>
              <w:rPr>
                <w:rFonts w:ascii="Arial;Arial Narrow" w:hAnsi="Arial;Arial Narrow" w:cs="Arial;Arial Narrow"/>
                <w:sz w:val="20"/>
                <w:lang w:val="sk-SK" w:eastAsia="sk-SK"/>
              </w:rPr>
            </w:pPr>
            <w:r>
              <w:rPr>
                <w:rFonts w:cs="Arial;Arial Narrow" w:ascii="Arial;Arial Narrow" w:hAnsi="Arial;Arial Narrow"/>
                <w:sz w:val="20"/>
                <w:lang w:val="sk-SK" w:eastAsia="sk-SK"/>
              </w:rPr>
              <w:t>EUR</w:t>
            </w:r>
          </w:p>
        </w:tc>
      </w:tr>
      <w:tr>
        <w:trPr>
          <w:trHeight w:val="340" w:hRule="atLeast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bCs/>
                <w:kern w:val="2"/>
                <w:sz w:val="20"/>
                <w:szCs w:val="22"/>
                <w:lang w:val="sk-SK" w:eastAsia="sk-SK"/>
              </w:rPr>
            </w:pPr>
            <w:r>
              <w:rPr>
                <w:rFonts w:cs="Arial;Arial Narrow" w:ascii="Arial;Arial Narrow" w:hAnsi="Arial;Arial Narrow"/>
                <w:bCs/>
                <w:kern w:val="2"/>
                <w:sz w:val="20"/>
                <w:szCs w:val="22"/>
                <w:lang w:val="sk-SK" w:eastAsia="sk-SK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</w:tbl>
    <w:p>
      <w:pPr>
        <w:pStyle w:val="Normal"/>
        <w:ind w:left="709" w:hanging="0"/>
        <w:jc w:val="both"/>
        <w:rPr>
          <w:rFonts w:ascii="Arial;Arial Narrow" w:hAnsi="Arial;Arial Narrow" w:cs="Arial;Arial Narrow"/>
          <w:sz w:val="18"/>
          <w:szCs w:val="22"/>
        </w:rPr>
      </w:pPr>
      <w:r>
        <w:rPr>
          <w:rFonts w:cs="Arial;Arial Narrow" w:ascii="Arial;Arial Narrow" w:hAnsi="Arial;Arial Narrow"/>
          <w:sz w:val="18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426"/>
        <w:gridCol w:w="2820"/>
        <w:gridCol w:w="986"/>
        <w:gridCol w:w="830"/>
        <w:gridCol w:w="2025"/>
        <w:gridCol w:w="2279"/>
      </w:tblGrid>
      <w:tr>
        <w:trPr>
          <w:trHeight w:val="503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keepNext w:val="true"/>
              <w:numPr>
                <w:ilvl w:val="0"/>
                <w:numId w:val="10"/>
              </w:numPr>
              <w:snapToGrid w:val="false"/>
              <w:spacing w:before="0" w:after="0"/>
              <w:ind w:left="357" w:hanging="357"/>
              <w:contextualSpacing/>
              <w:jc w:val="center"/>
              <w:outlineLvl w:val="1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8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b/>
                <w:b/>
                <w:sz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Informácie o účtovaní významných opráv chýb minulých účtovných období v bežnom ÚO</w:t>
            </w:r>
          </w:p>
        </w:tc>
      </w:tr>
      <w:tr>
        <w:trPr/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jc w:val="both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Opravy minulého obdobia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Arial;Arial Narrow" w:ascii="Arial;Arial Narrow" w:hAnsi="Arial;Arial Narrow"/>
                <w:sz w:val="20"/>
              </w:rPr>
              <w:t>Patrí do obdobia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Arial;Arial Narrow" w:ascii="Arial;Arial Narrow" w:hAnsi="Arial;Arial Narrow"/>
                <w:sz w:val="20"/>
              </w:rPr>
              <w:t>Účet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Účtované na účet HV min. období (EUR)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Účtované do HV bežného  obdobia(EUR)</w:t>
            </w:r>
          </w:p>
        </w:tc>
      </w:tr>
      <w:tr>
        <w:trPr>
          <w:trHeight w:val="340" w:hRule="atLeast"/>
        </w:trPr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b/>
                <w:b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18"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snapToGrid w:val="false"/>
              <w:jc w:val="both"/>
              <w:rPr>
                <w:rFonts w:ascii="Arial;Arial Narrow" w:hAnsi="Arial;Arial Narrow" w:cs="Arial;Arial Narrow"/>
                <w:sz w:val="18"/>
                <w:szCs w:val="22"/>
              </w:rPr>
            </w:pPr>
            <w:r>
              <w:rPr>
                <w:rFonts w:cs="Arial;Arial Narrow" w:ascii="Arial;Arial Narrow" w:hAnsi="Arial;Arial Narrow"/>
                <w:sz w:val="18"/>
                <w:szCs w:val="22"/>
              </w:rPr>
            </w:r>
          </w:p>
        </w:tc>
      </w:tr>
    </w:tbl>
    <w:p>
      <w:pPr>
        <w:pStyle w:val="Normal"/>
        <w:ind w:left="360" w:hanging="0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ind w:left="360" w:hanging="0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numPr>
          <w:ilvl w:val="0"/>
          <w:numId w:val="6"/>
        </w:numPr>
        <w:shd w:fill="E6E6E6" w:val="clear"/>
        <w:ind w:left="709" w:hanging="709"/>
        <w:jc w:val="center"/>
        <w:rPr/>
      </w:pPr>
      <w:r>
        <w:rPr>
          <w:i/>
          <w:szCs w:val="20"/>
        </w:rPr>
        <w:t>Informácie, ktoré vysvetľujú a dopĺňajú súvahu a výkaz ziskov a strát</w:t>
      </w:r>
    </w:p>
    <w:p>
      <w:pPr>
        <w:pStyle w:val="Normal"/>
        <w:ind w:left="1481" w:hanging="0"/>
        <w:jc w:val="both"/>
        <w:rPr>
          <w:rFonts w:ascii="Arial;Arial Narrow" w:hAnsi="Arial;Arial Narrow" w:cs="Arial;Arial Narrow"/>
          <w:i/>
          <w:i/>
          <w:sz w:val="20"/>
          <w:szCs w:val="20"/>
        </w:rPr>
      </w:pPr>
      <w:r>
        <w:rPr>
          <w:rFonts w:cs="Arial;Arial Narrow" w:ascii="Arial;Arial Narrow" w:hAnsi="Arial;Arial Narrow"/>
          <w:i/>
          <w:sz w:val="20"/>
          <w:szCs w:val="20"/>
        </w:rPr>
      </w:r>
    </w:p>
    <w:p>
      <w:pPr>
        <w:pStyle w:val="Normal"/>
        <w:ind w:left="1481" w:hanging="0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67"/>
        <w:gridCol w:w="3969"/>
        <w:gridCol w:w="3119"/>
        <w:gridCol w:w="1711"/>
      </w:tblGrid>
      <w:tr>
        <w:trPr>
          <w:trHeight w:val="751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5"/>
              </w:numPr>
              <w:snapToGrid w:val="false"/>
              <w:ind w:left="709" w:hanging="567"/>
              <w:jc w:val="both"/>
              <w:rPr>
                <w:rFonts w:ascii="Arial;Arial Narrow" w:hAnsi="Arial;Arial Narrow" w:cs="Arial;Arial Narrow"/>
                <w:b/>
                <w:b/>
                <w:bCs/>
                <w:szCs w:val="22"/>
              </w:rPr>
            </w:pPr>
            <w:r>
              <w:rPr>
                <w:rFonts w:cs="Arial;Arial Narrow" w:ascii="Arial;Arial Narrow" w:hAnsi="Arial;Arial Narrow"/>
                <w:b/>
                <w:bCs/>
                <w:szCs w:val="22"/>
              </w:rPr>
            </w:r>
          </w:p>
          <w:p>
            <w:pPr>
              <w:pStyle w:val="Odsekzoznamu"/>
              <w:ind w:left="1277" w:hanging="0"/>
              <w:jc w:val="both"/>
              <w:rPr>
                <w:rFonts w:ascii="Arial;Arial Narrow" w:hAnsi="Arial;Arial Narrow" w:cs="Arial;Arial Narrow"/>
                <w:b/>
                <w:b/>
                <w:bCs/>
                <w:szCs w:val="22"/>
                <w:lang w:eastAsia="sk-SK"/>
              </w:rPr>
            </w:pPr>
            <w:r>
              <w:rPr>
                <w:rFonts w:cs="Arial;Arial Narrow" w:ascii="Arial;Arial Narrow" w:hAnsi="Arial;Arial Narrow"/>
                <w:b/>
                <w:bCs/>
                <w:szCs w:val="22"/>
                <w:lang w:eastAsia="sk-SK"/>
              </w:rPr>
            </w:r>
          </w:p>
          <w:p>
            <w:pPr>
              <w:pStyle w:val="Odsekzoznamu"/>
              <w:ind w:left="1277" w:hanging="0"/>
              <w:jc w:val="both"/>
              <w:rPr>
                <w:rFonts w:ascii="Arial;Arial Narrow" w:hAnsi="Arial;Arial Narrow" w:cs="Arial;Arial Narrow"/>
                <w:b/>
                <w:b/>
                <w:bCs/>
                <w:szCs w:val="22"/>
                <w:lang w:eastAsia="sk-SK"/>
              </w:rPr>
            </w:pPr>
            <w:r>
              <w:rPr>
                <w:rFonts w:cs="Arial;Arial Narrow" w:ascii="Arial;Arial Narrow" w:hAnsi="Arial;Arial Narrow"/>
                <w:b/>
                <w:bCs/>
                <w:szCs w:val="22"/>
                <w:lang w:eastAsia="sk-SK"/>
              </w:rPr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Arial;Arial Narrow" w:hAnsi="Arial;Arial Narrow" w:cs="Arial;Arial Narrow"/>
                <w:b/>
                <w:b/>
                <w:sz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Informácia o sume a dôvodoch vzniku jednotlivých položiek nákladov alebo výnosov, ktoré majú výnimočný rozsah</w:t>
            </w:r>
            <w:r>
              <w:rPr>
                <w:rFonts w:cs="Arial;Arial Narrow" w:ascii="Arial;Arial Narrow" w:hAnsi="Arial;Arial Narrow"/>
                <w:i/>
                <w:sz w:val="20"/>
              </w:rPr>
              <w:t xml:space="preserve"> </w:t>
            </w:r>
            <w:r>
              <w:rPr>
                <w:rFonts w:cs="Arial;Arial Narrow" w:ascii="Arial;Arial Narrow" w:hAnsi="Arial;Arial Narrow"/>
                <w:b/>
                <w:sz w:val="20"/>
              </w:rPr>
              <w:t>alebo výskyt</w:t>
            </w:r>
            <w:r>
              <w:rPr>
                <w:rFonts w:cs="Arial;Arial Narrow" w:ascii="Arial;Arial Narrow" w:hAnsi="Arial;Arial Narrow"/>
                <w:i/>
                <w:sz w:val="20"/>
              </w:rPr>
              <w:t xml:space="preserve">, </w:t>
            </w:r>
            <w:r>
              <w:rPr>
                <w:rFonts w:cs="Arial;Arial Narrow" w:ascii="Arial;Arial Narrow" w:hAnsi="Arial;Arial Narrow"/>
                <w:i/>
                <w:sz w:val="18"/>
              </w:rPr>
              <w:t>napríklad výnosy z predaja podniku alebo časti podniku, náklady z dôvodu predaja podniku alebo časti podniku, škody z dôvodu živelných pohrôm</w:t>
            </w:r>
          </w:p>
        </w:tc>
      </w:tr>
      <w:tr>
        <w:trPr>
          <w:trHeight w:val="340" w:hRule="atLeast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TopHeader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  <w:t>Popis nákladov ,výnosov výnimočného rozsahu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TopHeader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  <w:t>Dôvod vzniku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TopHeader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  <w:t>EUR</w:t>
            </w:r>
          </w:p>
        </w:tc>
      </w:tr>
      <w:tr>
        <w:trPr>
          <w:trHeight w:val="340" w:hRule="atLeast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</w:r>
          </w:p>
        </w:tc>
      </w:tr>
      <w:tr>
        <w:trPr>
          <w:trHeight w:val="340" w:hRule="atLeast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</w:rPr>
            </w:pPr>
            <w:r>
              <w:rPr>
                <w:rFonts w:cs="Arial;Arial Narrow" w:ascii="Arial;Arial Narrow" w:hAnsi="Arial;Arial Narrow"/>
                <w:b w:val="false"/>
              </w:rPr>
            </w:r>
          </w:p>
        </w:tc>
      </w:tr>
    </w:tbl>
    <w:p>
      <w:pPr>
        <w:pStyle w:val="Normal"/>
        <w:ind w:left="1134" w:hanging="0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ind w:left="1134" w:hanging="0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67"/>
        <w:gridCol w:w="3828"/>
        <w:gridCol w:w="3260"/>
        <w:gridCol w:w="1711"/>
      </w:tblGrid>
      <w:tr>
        <w:trPr>
          <w:trHeight w:val="250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5"/>
              </w:numPr>
              <w:snapToGrid w:val="false"/>
              <w:ind w:left="709" w:hanging="567"/>
              <w:jc w:val="both"/>
              <w:rPr>
                <w:rFonts w:ascii="Arial;Arial Narrow" w:hAnsi="Arial;Arial Narrow" w:cs="Arial;Arial Narrow"/>
                <w:b/>
                <w:b/>
                <w:bCs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/>
                <w:bCs/>
                <w:sz w:val="20"/>
                <w:szCs w:val="20"/>
              </w:rPr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jc w:val="center"/>
              <w:rPr>
                <w:rFonts w:ascii="Arial;Arial Narrow" w:hAnsi="Arial;Arial Narrow" w:cs="Arial;Arial Narrow"/>
                <w:b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cs="Arial;Arial Narrow" w:ascii="Arial;Arial Narrow" w:hAnsi="Arial;Arial Narrow"/>
                <w:b/>
                <w:bCs/>
                <w:sz w:val="20"/>
                <w:szCs w:val="20"/>
                <w:lang w:eastAsia="sk-SK"/>
              </w:rPr>
              <w:t>Informácie o záväzkoch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opHeader"/>
              <w:rPr>
                <w:rFonts w:ascii="Arial;Arial Narrow" w:hAnsi="Arial;Arial Narrow" w:cs="Arial;Arial Narrow"/>
                <w:b w:val="false"/>
                <w:b w:val="false"/>
                <w:bCs w:val="false"/>
                <w:sz w:val="20"/>
                <w:szCs w:val="20"/>
                <w:lang w:eastAsia="sk-SK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EUR</w:t>
            </w:r>
          </w:p>
        </w:tc>
      </w:tr>
      <w:tr>
        <w:trPr>
          <w:trHeight w:val="569" w:hRule="atLeast"/>
        </w:trPr>
        <w:tc>
          <w:tcPr>
            <w:tcW w:w="7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numPr>
                <w:ilvl w:val="0"/>
                <w:numId w:val="4"/>
              </w:numPr>
              <w:rPr>
                <w:rFonts w:ascii="Arial;Arial Narrow" w:hAnsi="Arial;Arial Narrow" w:cs="Arial;Arial Narrow"/>
                <w:b/>
                <w:b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color w:val="000000"/>
                <w:sz w:val="20"/>
                <w:szCs w:val="20"/>
              </w:rPr>
              <w:t>Celková sume záväzkov so zostatkovou dobou splatnosti dlhšou ako päť rokov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b/>
                <w:b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9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numPr>
                <w:ilvl w:val="0"/>
                <w:numId w:val="4"/>
              </w:numPr>
              <w:jc w:val="both"/>
              <w:rPr>
                <w:rFonts w:ascii="Arial;Arial Narrow" w:hAnsi="Arial;Arial Narrow" w:cs="Arial;Arial Narrow"/>
                <w:bCs/>
                <w:color w:val="000000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</w:rPr>
              <w:t>Celková suma zabezpečených záväzkov, opis a spôsoby zabezpečenia záväzkov</w:t>
            </w:r>
          </w:p>
        </w:tc>
      </w:tr>
      <w:tr>
        <w:trPr>
          <w:trHeight w:val="340" w:hRule="atLeast"/>
        </w:trPr>
        <w:tc>
          <w:tcPr>
            <w:tcW w:w="7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TopHeader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Spôsob zabezpečenia: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TopHeader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EUR</w:t>
            </w:r>
          </w:p>
        </w:tc>
      </w:tr>
      <w:tr>
        <w:trPr>
          <w:trHeight w:val="340" w:hRule="atLeast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</w:rPr>
              <w:t>Záložné právo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bCs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bCs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Inak zabezpečené.........................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Inak zabezpečené............................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bCs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</w:rPr>
              <w:t>Spolu zabezpečené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bCs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</w:tbl>
    <w:p>
      <w:pPr>
        <w:pStyle w:val="Normal"/>
        <w:ind w:left="1134" w:hanging="0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numPr>
          <w:ilvl w:val="0"/>
          <w:numId w:val="5"/>
        </w:numPr>
        <w:ind w:left="709" w:hanging="567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b/>
          <w:bCs/>
          <w:kern w:val="2"/>
          <w:sz w:val="20"/>
          <w:lang w:eastAsia="en-US"/>
        </w:rPr>
        <w:t>Informácie o vlastných akciách</w:t>
      </w:r>
    </w:p>
    <w:p>
      <w:pPr>
        <w:pStyle w:val="Normal"/>
        <w:numPr>
          <w:ilvl w:val="0"/>
          <w:numId w:val="9"/>
        </w:numPr>
        <w:ind w:left="1276" w:hanging="567"/>
        <w:jc w:val="both"/>
        <w:rPr>
          <w:rFonts w:ascii="Arial;Arial Narrow" w:hAnsi="Arial;Arial Narrow" w:cs="Arial;Arial Narrow"/>
          <w:i/>
          <w:i/>
          <w:sz w:val="18"/>
        </w:rPr>
      </w:pPr>
      <w:r>
        <w:rPr>
          <w:rFonts w:cs="Arial;Arial Narrow" w:ascii="Arial;Arial Narrow" w:hAnsi="Arial;Arial Narrow"/>
          <w:i/>
          <w:sz w:val="18"/>
        </w:rPr>
        <w:t>dôvod nadobudnutia vlastných akcií počas účtovného obdobia,</w:t>
      </w:r>
    </w:p>
    <w:p>
      <w:pPr>
        <w:pStyle w:val="Normal"/>
        <w:numPr>
          <w:ilvl w:val="0"/>
          <w:numId w:val="9"/>
        </w:numPr>
        <w:ind w:left="1276" w:hanging="567"/>
        <w:jc w:val="both"/>
        <w:rPr>
          <w:rFonts w:ascii="Arial;Arial Narrow" w:hAnsi="Arial;Arial Narrow" w:cs="Arial;Arial Narrow"/>
          <w:i/>
          <w:i/>
          <w:sz w:val="18"/>
        </w:rPr>
      </w:pPr>
      <w:r>
        <w:rPr>
          <w:rFonts w:cs="Arial;Arial Narrow" w:ascii="Arial;Arial Narrow" w:hAnsi="Arial;Arial Narrow"/>
          <w:i/>
          <w:sz w:val="18"/>
        </w:rPr>
        <w:t>informácie</w:t>
      </w:r>
    </w:p>
    <w:p>
      <w:pPr>
        <w:pStyle w:val="Normal"/>
        <w:numPr>
          <w:ilvl w:val="0"/>
          <w:numId w:val="8"/>
        </w:numPr>
        <w:tabs>
          <w:tab w:val="clear" w:pos="709"/>
          <w:tab w:val="left" w:pos="851" w:leader="none"/>
        </w:tabs>
        <w:ind w:left="1701" w:hanging="425"/>
        <w:jc w:val="both"/>
        <w:rPr>
          <w:rFonts w:ascii="Arial;Arial Narrow" w:hAnsi="Arial;Arial Narrow" w:cs="Arial;Arial Narrow"/>
          <w:i/>
          <w:i/>
          <w:sz w:val="18"/>
        </w:rPr>
      </w:pPr>
      <w:r>
        <w:rPr>
          <w:rFonts w:cs="Arial;Arial Narrow" w:ascii="Arial;Arial Narrow" w:hAnsi="Arial;Arial Narrow"/>
          <w:i/>
          <w:sz w:val="18"/>
        </w:rPr>
        <w:t>počet a menovitá hodnota nadobudnutých vlastných akcií počas účtovného obdobia a počet a menovitá hodnota prevedených vlastných akcií počas účtovného obdobia, pričom sa uvádza percentuálna hodnota týchto vlastných akcií na upísanom základnom imaní,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851" w:leader="none"/>
        </w:tabs>
        <w:ind w:left="1701" w:hanging="425"/>
        <w:jc w:val="both"/>
        <w:rPr>
          <w:rFonts w:ascii="Arial;Arial Narrow" w:hAnsi="Arial;Arial Narrow" w:cs="Arial;Arial Narrow"/>
          <w:i/>
          <w:i/>
          <w:sz w:val="18"/>
        </w:rPr>
      </w:pPr>
      <w:r>
        <w:rPr>
          <w:rFonts w:cs="Arial;Arial Narrow" w:ascii="Arial;Arial Narrow" w:hAnsi="Arial;Arial Narrow"/>
          <w:i/>
          <w:sz w:val="18"/>
        </w:rPr>
        <w:t>počet a hodnota, za ktorú sa vlastné akcie počas účtovného obdobia nadobudli a počet a hodnota, za ktorú sa vlastné akcie počas účtovného obdobia previedli na inú osobu,</w:t>
      </w:r>
    </w:p>
    <w:p>
      <w:pPr>
        <w:pStyle w:val="Normal"/>
        <w:numPr>
          <w:ilvl w:val="0"/>
          <w:numId w:val="9"/>
        </w:numPr>
        <w:ind w:left="1276" w:hanging="567"/>
        <w:jc w:val="both"/>
        <w:rPr>
          <w:rFonts w:ascii="Arial;Arial Narrow" w:hAnsi="Arial;Arial Narrow" w:cs="Arial;Arial Narrow"/>
          <w:bCs/>
          <w:i/>
          <w:i/>
          <w:kern w:val="2"/>
          <w:sz w:val="20"/>
          <w:lang w:eastAsia="en-US"/>
        </w:rPr>
      </w:pPr>
      <w:r>
        <w:rPr>
          <w:rFonts w:cs="Arial;Arial Narrow" w:ascii="Arial;Arial Narrow" w:hAnsi="Arial;Arial Narrow"/>
          <w:i/>
          <w:sz w:val="18"/>
        </w:rPr>
        <w:t xml:space="preserve">počet, menovitá hodnota a hodnota, za ktorú sa vlastné akcie nadobudli a ktoré účtovná jednotka má v držbe k poslednému dňu účtovného obdobia; </w:t>
      </w:r>
      <w:r>
        <w:rPr>
          <w:rFonts w:cs="Arial;Arial Narrow" w:ascii="Arial;Arial Narrow" w:hAnsi="Arial;Arial Narrow"/>
          <w:bCs/>
          <w:i/>
          <w:kern w:val="2"/>
          <w:sz w:val="18"/>
          <w:lang w:eastAsia="en-US"/>
        </w:rPr>
        <w:t>uvádza  sa aj ich percentuálny podiel na upísanom základnom imaní</w:t>
      </w:r>
      <w:r>
        <w:rPr>
          <w:rFonts w:cs="Arial;Arial Narrow" w:ascii="Arial;Arial Narrow" w:hAnsi="Arial;Arial Narrow"/>
          <w:bCs/>
          <w:i/>
          <w:kern w:val="2"/>
          <w:sz w:val="20"/>
          <w:lang w:eastAsia="en-US"/>
        </w:rPr>
        <w:t>.</w:t>
      </w:r>
    </w:p>
    <w:p>
      <w:pPr>
        <w:pStyle w:val="Normal"/>
        <w:ind w:left="1276" w:hanging="0"/>
        <w:jc w:val="both"/>
        <w:rPr>
          <w:rFonts w:ascii="Arial;Arial Narrow" w:hAnsi="Arial;Arial Narrow" w:cs="Arial;Arial Narrow"/>
          <w:bCs/>
          <w:i/>
          <w:i/>
          <w:kern w:val="2"/>
          <w:sz w:val="20"/>
          <w:lang w:eastAsia="en-US"/>
        </w:rPr>
      </w:pPr>
      <w:r>
        <w:rPr>
          <w:rFonts w:cs="Arial;Arial Narrow" w:ascii="Arial;Arial Narrow" w:hAnsi="Arial;Arial Narrow"/>
          <w:bCs/>
          <w:i/>
          <w:kern w:val="2"/>
          <w:sz w:val="20"/>
          <w:lang w:eastAsia="en-US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78"/>
        <w:gridCol w:w="5659"/>
        <w:gridCol w:w="993"/>
        <w:gridCol w:w="425"/>
        <w:gridCol w:w="1276"/>
        <w:gridCol w:w="435"/>
      </w:tblGrid>
      <w:tr>
        <w:trPr>
          <w:trHeight w:val="522" w:hRule="exact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5"/>
              </w:numPr>
              <w:snapToGrid w:val="false"/>
              <w:ind w:left="709" w:hanging="567"/>
              <w:jc w:val="both"/>
              <w:rPr>
                <w:rFonts w:ascii="Arial;Arial Narrow" w:hAnsi="Arial;Arial Narrow" w:cs="Arial;Arial Narrow"/>
                <w:szCs w:val="22"/>
              </w:rPr>
            </w:pPr>
            <w:r>
              <w:rPr>
                <w:rFonts w:cs="Arial;Arial Narrow" w:ascii="Arial;Arial Narrow" w:hAnsi="Arial;Arial Narrow"/>
                <w:szCs w:val="22"/>
              </w:rPr>
            </w:r>
          </w:p>
        </w:tc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b/>
                <w:b/>
                <w:szCs w:val="22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Kapitálový fond z príspevkov podľa § 123 ods. 2 a § 217a Obchodného zákonníka účtovná jednotka 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vytvorila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nevytvorila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autoSpaceDE w:val="false"/>
              <w:jc w:val="center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X</w:t>
            </w:r>
          </w:p>
        </w:tc>
      </w:tr>
    </w:tbl>
    <w:p>
      <w:pPr>
        <w:pStyle w:val="Normal"/>
        <w:rPr>
          <w:rFonts w:ascii="Arial;Arial Narrow" w:hAnsi="Arial;Arial Narrow" w:cs="Arial;Arial Narrow"/>
          <w:bCs/>
          <w:i/>
          <w:i/>
          <w:sz w:val="14"/>
          <w:szCs w:val="22"/>
        </w:rPr>
      </w:pPr>
      <w:r>
        <w:rPr>
          <w:rFonts w:cs="Arial;Arial Narrow" w:ascii="Arial;Arial Narrow" w:hAnsi="Arial;Arial Narrow"/>
          <w:bCs/>
          <w:i/>
          <w:sz w:val="14"/>
          <w:szCs w:val="22"/>
        </w:rPr>
      </w:r>
    </w:p>
    <w:p>
      <w:pPr>
        <w:pStyle w:val="Normal"/>
        <w:rPr>
          <w:rFonts w:ascii="Arial;Arial Narrow" w:hAnsi="Arial;Arial Narrow" w:cs="Arial;Arial Narrow"/>
          <w:bCs/>
          <w:i/>
          <w:i/>
          <w:sz w:val="14"/>
          <w:szCs w:val="22"/>
        </w:rPr>
      </w:pPr>
      <w:r>
        <w:rPr>
          <w:rFonts w:cs="Arial;Arial Narrow" w:ascii="Arial;Arial Narrow" w:hAnsi="Arial;Arial Narrow"/>
          <w:bCs/>
          <w:i/>
          <w:sz w:val="14"/>
          <w:szCs w:val="22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67"/>
        <w:gridCol w:w="5220"/>
        <w:gridCol w:w="1956"/>
        <w:gridCol w:w="1623"/>
      </w:tblGrid>
      <w:tr>
        <w:trPr>
          <w:trHeight w:val="25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5"/>
              </w:numPr>
              <w:snapToGrid w:val="false"/>
              <w:ind w:left="709" w:hanging="567"/>
              <w:jc w:val="both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b/>
                <w:b/>
                <w:sz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Informácie o orgánoch účtovnej jednotky</w:t>
            </w:r>
          </w:p>
        </w:tc>
      </w:tr>
      <w:tr>
        <w:trPr>
          <w:trHeight w:val="283" w:hRule="atLeast"/>
        </w:trPr>
        <w:tc>
          <w:tcPr>
            <w:tcW w:w="9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a)výška jednotlivých druhov záruk alebo iných zabezpečení pre členov štatutárneho orgánu, dozorného orgánu a iného orgánu ÚJ</w:t>
            </w:r>
          </w:p>
        </w:tc>
      </w:tr>
      <w:tr>
        <w:trPr>
          <w:trHeight w:val="340" w:hRule="atLeast"/>
        </w:trPr>
        <w:tc>
          <w:tcPr>
            <w:tcW w:w="5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Druh záruky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Štatutárny orgán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EUR</w:t>
            </w:r>
          </w:p>
        </w:tc>
      </w:tr>
      <w:tr>
        <w:trPr>
          <w:trHeight w:val="340" w:hRule="atLeast"/>
        </w:trPr>
        <w:tc>
          <w:tcPr>
            <w:tcW w:w="5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  <w:right w:w="10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</w:tbl>
    <w:p>
      <w:pPr>
        <w:pStyle w:val="Normal"/>
        <w:rPr>
          <w:rFonts w:ascii="Arial;Arial Narrow" w:hAnsi="Arial;Arial Narrow" w:cs="Arial;Arial Narrow"/>
        </w:rPr>
      </w:pPr>
      <w:r>
        <w:rPr>
          <w:rFonts w:cs="Arial;Arial Narrow" w:ascii="Arial;Arial Narrow" w:hAnsi="Arial;Arial Narrow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787"/>
        <w:gridCol w:w="1537"/>
        <w:gridCol w:w="756"/>
        <w:gridCol w:w="1286"/>
      </w:tblGrid>
      <w:tr>
        <w:trPr>
          <w:trHeight w:val="340" w:hRule="atLeast"/>
        </w:trPr>
        <w:tc>
          <w:tcPr>
            <w:tcW w:w="9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b)pôžičky poskytnuté členom štatutárneho orgánu, dozorného orgánu a iného orgánu ÚJ</w:t>
            </w:r>
          </w:p>
        </w:tc>
      </w:tr>
      <w:tr>
        <w:trPr>
          <w:trHeight w:val="283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Celková suma poskytnutých pôžičiek k poslednému dňu účtovného obdobia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;Arial Narrow" w:ascii="Arial;Arial Narrow" w:hAnsi="Arial;Arial Narrow"/>
                <w:sz w:val="20"/>
              </w:rPr>
              <w:t>Štatutárny orgán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;Arial Narrow" w:ascii="Arial;Arial Narrow" w:hAnsi="Arial;Arial Narrow"/>
                <w:sz w:val="20"/>
              </w:rPr>
              <w:t>Úrok v %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EUR</w:t>
            </w:r>
          </w:p>
          <w:p>
            <w:pPr>
              <w:pStyle w:val="Normal"/>
              <w:tabs>
                <w:tab w:val="clear" w:pos="709"/>
                <w:tab w:val="left" w:pos="851" w:leader="none"/>
              </w:tabs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9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Celková suma splatených pôžičiek k poslednému dňu účt. obdobia</w:t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283" w:hRule="atLeast"/>
        </w:trPr>
        <w:tc>
          <w:tcPr>
            <w:tcW w:w="9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 xml:space="preserve">Celková suma odpustených pôžičiek a odpísaných pôžičiek k poslednému dňu účtovného obdobia </w:t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851" w:leader="none"/>
              </w:tabs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</w:tbl>
    <w:p>
      <w:pPr>
        <w:pStyle w:val="Normal"/>
        <w:rPr>
          <w:rFonts w:ascii="Arial;Arial Narrow" w:hAnsi="Arial;Arial Narrow" w:cs="Arial;Arial Narrow"/>
        </w:rPr>
      </w:pPr>
      <w:r>
        <w:rPr>
          <w:rFonts w:cs="Arial;Arial Narrow" w:ascii="Arial;Arial Narrow" w:hAnsi="Arial;Arial Narrow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787"/>
        <w:gridCol w:w="1956"/>
        <w:gridCol w:w="1623"/>
      </w:tblGrid>
      <w:tr>
        <w:trPr>
          <w:trHeight w:val="283" w:hRule="atLeast"/>
        </w:trPr>
        <w:tc>
          <w:tcPr>
            <w:tcW w:w="9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c)celková suma použitých finančných prostriedkov alebo iného plnenia na súkromné účely členmi štatutárneho orgánu, dozorného orgánu a iného orgánu ÚJ, ktoré je potrebné vyúčtovať</w:t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Plnenie na súkromné účely k vyúčtovaniu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Štatutárny orgán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  <w:t>EUR</w:t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</w:rPr>
            </w:pPr>
            <w:r>
              <w:rPr>
                <w:rFonts w:cs="Arial;Arial Narrow" w:ascii="Arial;Arial Narrow" w:hAnsi="Arial;Arial Narrow"/>
                <w:sz w:val="20"/>
              </w:rPr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709"/>
        <w:gridCol w:w="6521"/>
        <w:gridCol w:w="425"/>
        <w:gridCol w:w="1711"/>
      </w:tblGrid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5"/>
              </w:numPr>
              <w:snapToGrid w:val="false"/>
              <w:ind w:left="709" w:hanging="567"/>
              <w:jc w:val="both"/>
              <w:rPr>
                <w:rFonts w:ascii="Arial;Arial Narrow" w:hAnsi="Arial;Arial Narrow" w:cs="Arial;Arial Narrow"/>
                <w:bCs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  <w:lang w:val="sk-SK"/>
              </w:rPr>
            </w:r>
          </w:p>
        </w:tc>
        <w:tc>
          <w:tcPr>
            <w:tcW w:w="8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ind w:left="1480" w:hanging="0"/>
              <w:jc w:val="both"/>
              <w:rPr>
                <w:rFonts w:ascii="Arial;Arial Narrow" w:hAnsi="Arial;Arial Narrow" w:cs="Arial;Arial Narrow"/>
                <w:b/>
                <w:b/>
                <w:sz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</w:rPr>
              <w:t>Informácie o povinnostiach účtovnej jednotky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numPr>
                <w:ilvl w:val="0"/>
                <w:numId w:val="7"/>
              </w:numPr>
              <w:snapToGrid w:val="false"/>
              <w:spacing w:before="0" w:after="0"/>
              <w:ind w:left="641" w:hanging="284"/>
              <w:contextualSpacing/>
              <w:jc w:val="both"/>
              <w:rPr>
                <w:rFonts w:ascii="Arial;Arial Narrow" w:hAnsi="Arial;Arial Narrow" w:cs="Arial;Arial Narrow"/>
                <w:b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cs="Arial;Arial Narrow" w:ascii="Arial;Arial Narrow" w:hAnsi="Arial;Arial Narrow"/>
                <w:b/>
                <w:bCs/>
                <w:sz w:val="20"/>
                <w:szCs w:val="20"/>
                <w:lang w:eastAsia="sk-SK"/>
              </w:rPr>
            </w:r>
          </w:p>
        </w:tc>
        <w:tc>
          <w:tcPr>
            <w:tcW w:w="8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Odsekzoznamu"/>
              <w:ind w:left="0" w:hanging="0"/>
              <w:jc w:val="both"/>
              <w:rPr>
                <w:rFonts w:ascii="Arial;Arial Narrow" w:hAnsi="Arial;Arial Narrow" w:cs="Arial;Arial Narrow"/>
                <w:bCs/>
                <w:sz w:val="20"/>
                <w:szCs w:val="20"/>
                <w:lang w:eastAsia="sk-SK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  <w:lang w:eastAsia="sk-SK"/>
              </w:rPr>
              <w:t>Významné položky finančných povinností, ktoré sa nevykazujú v 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val="sk-SK" w:eastAsia="sk-SK"/>
              </w:rPr>
              <w:t>súvahe, ale sú významné na posúdenie finančnej situácie ÚJ</w:t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  <w:t>Celková suma finančných povinností ktoré sa nevykazujú v súvahe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  <w:t>Záväzky z operatívneho prenájmu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Uzatvorená zmluva o úvere(peniaze ešte neboli poskytnuté)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Zmluvná povinnosť odobrať množstvo produktu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 xml:space="preserve">Pripravované investície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  <w:t>Uzatvorené zmluvy s dodávateľmi o dodávkach v budúcnosti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  <w:t>Finančné povinnosti z licenčných zmlúv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ind w:left="0" w:hanging="0"/>
              <w:rPr>
                <w:rFonts w:ascii="Arial;Arial Narrow" w:hAnsi="Arial;Arial Narrow" w:cs="Arial;Arial Narrow"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  <w:t>Iné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Arial;Arial Narrow" w:hAnsi="Arial;Arial Narrow" w:cs="Arial;Arial Narrow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709"/>
        <w:gridCol w:w="6533"/>
        <w:gridCol w:w="423"/>
        <w:gridCol w:w="1701"/>
      </w:tblGrid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numPr>
                <w:ilvl w:val="0"/>
                <w:numId w:val="7"/>
              </w:numPr>
              <w:snapToGrid w:val="false"/>
              <w:spacing w:before="0" w:after="0"/>
              <w:ind w:left="641" w:hanging="284"/>
              <w:contextualSpacing/>
              <w:jc w:val="both"/>
              <w:rPr>
                <w:rFonts w:ascii="Arial;Arial Narrow" w:hAnsi="Arial;Arial Narrow" w:cs="Arial;Arial Narrow"/>
                <w:b/>
                <w:b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  <w:szCs w:val="20"/>
              </w:rPr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rPr>
                <w:rFonts w:ascii="Arial;Arial Narrow" w:hAnsi="Arial;Arial Narrow" w:cs="Arial;Arial Narrow"/>
                <w:b/>
                <w:b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sz w:val="20"/>
                <w:szCs w:val="20"/>
                <w:lang w:val="sk-SK"/>
              </w:rPr>
              <w:t>Celková suma podmienených záväzkov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numPr>
                <w:ilvl w:val="0"/>
                <w:numId w:val="7"/>
              </w:numPr>
              <w:snapToGrid w:val="false"/>
              <w:spacing w:before="0" w:after="0"/>
              <w:ind w:left="641" w:hanging="284"/>
              <w:contextualSpacing/>
              <w:jc w:val="both"/>
              <w:rPr>
                <w:rFonts w:ascii="Arial;Arial Narrow" w:hAnsi="Arial;Arial Narrow" w:cs="Arial;Arial Narrow"/>
                <w:b w:val="false"/>
                <w:b w:val="false"/>
                <w:bCs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b w:val="false"/>
                <w:bCs/>
                <w:sz w:val="20"/>
                <w:szCs w:val="20"/>
                <w:lang w:val="sk-SK"/>
              </w:rPr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rPr>
                <w:rFonts w:ascii="Arial;Arial Narrow" w:hAnsi="Arial;Arial Narrow" w:cs="Arial;Arial Narrow"/>
                <w:b/>
                <w:b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  <w:lang w:val="sk-SK" w:eastAsia="sk-SK"/>
              </w:rPr>
              <w:t>O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eastAsia="sk-SK"/>
              </w:rPr>
              <w:t xml:space="preserve">pis a hodnota 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val="sk-SK" w:eastAsia="sk-SK"/>
              </w:rPr>
              <w:t xml:space="preserve">významných 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eastAsia="sk-SK"/>
              </w:rPr>
              <w:t>podmienených záväzkov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EUR</w:t>
            </w:r>
          </w:p>
        </w:tc>
      </w:tr>
      <w:tr>
        <w:trPr>
          <w:trHeight w:val="340" w:hRule="atLeast"/>
        </w:trPr>
        <w:tc>
          <w:tcPr>
            <w:tcW w:w="7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Poskytnuté záruky za úver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Ručenie za ...............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Neobmedzené ručenie v inej spoločnosti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Žaloba zo strany...........(hrozba súdneho procesu)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jc w:val="left"/>
              <w:rPr/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ÚJ predala pohľadávky a ručí za ich vymožiteľnosť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Iné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Odsekzoznamu"/>
        <w:spacing w:before="0" w:after="0"/>
        <w:ind w:left="641" w:hanging="0"/>
        <w:contextualSpacing/>
        <w:jc w:val="both"/>
        <w:rPr>
          <w:rFonts w:ascii="Arial;Arial Narrow" w:hAnsi="Arial;Arial Narrow" w:cs="Arial;Arial Narrow"/>
          <w:i/>
          <w:i/>
          <w:sz w:val="20"/>
        </w:rPr>
      </w:pPr>
      <w:r>
        <w:rPr>
          <w:rFonts w:cs="Arial;Arial Narrow" w:ascii="Arial;Arial Narrow" w:hAnsi="Arial;Arial Narrow"/>
          <w:i/>
          <w:sz w:val="20"/>
        </w:rPr>
      </w:r>
    </w:p>
    <w:tbl>
      <w:tblPr>
        <w:tblW w:w="936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720"/>
        <w:gridCol w:w="6510"/>
        <w:gridCol w:w="425"/>
        <w:gridCol w:w="1711"/>
      </w:tblGrid>
      <w:tr>
        <w:trPr>
          <w:trHeight w:val="340" w:hRule="atLeast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numPr>
                <w:ilvl w:val="0"/>
                <w:numId w:val="7"/>
              </w:numPr>
              <w:snapToGrid w:val="false"/>
              <w:spacing w:before="0" w:after="0"/>
              <w:ind w:left="641" w:hanging="284"/>
              <w:contextualSpacing/>
              <w:jc w:val="both"/>
              <w:rPr>
                <w:rFonts w:ascii="Arial;Arial Narrow" w:hAnsi="Arial;Arial Narrow" w:cs="Arial;Arial Narrow"/>
                <w:b/>
                <w:b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/>
                <w:sz w:val="20"/>
                <w:szCs w:val="20"/>
              </w:rPr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spacing w:before="0" w:after="0"/>
              <w:ind w:left="-119" w:hanging="0"/>
              <w:contextualSpacing/>
              <w:jc w:val="both"/>
              <w:rPr>
                <w:rFonts w:ascii="Arial;Arial Narrow" w:hAnsi="Arial;Arial Narrow" w:cs="Arial;Arial Narrow"/>
                <w:i/>
                <w:i/>
                <w:sz w:val="20"/>
                <w:lang w:val="sk-SK"/>
              </w:rPr>
            </w:pPr>
            <w:r>
              <w:rPr>
                <w:rFonts w:cs="Arial;Arial Narrow" w:ascii="Arial;Arial Narrow" w:hAnsi="Arial;Arial Narrow"/>
                <w:bCs/>
                <w:sz w:val="20"/>
                <w:szCs w:val="20"/>
                <w:lang w:eastAsia="sk-SK"/>
              </w:rPr>
              <w:t xml:space="preserve">Celková suma významných finančných povinností a významných podmienených záväzkoch voči dcérskej 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val="sk-SK" w:eastAsia="sk-SK"/>
              </w:rPr>
              <w:t>ÚJ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eastAsia="sk-SK"/>
              </w:rPr>
              <w:t xml:space="preserve"> a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val="sk-SK" w:eastAsia="sk-SK"/>
              </w:rPr>
              <w:t xml:space="preserve"> ÚJ s </w:t>
            </w:r>
            <w:r>
              <w:rPr>
                <w:rFonts w:cs="Arial;Arial Narrow" w:ascii="Arial;Arial Narrow" w:hAnsi="Arial;Arial Narrow"/>
                <w:bCs/>
                <w:sz w:val="20"/>
                <w:szCs w:val="20"/>
                <w:lang w:eastAsia="sk-SK"/>
              </w:rPr>
              <w:t>podstatným vplyvom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Odsekzoznamu"/>
              <w:snapToGrid w:val="false"/>
              <w:rPr>
                <w:rFonts w:ascii="Arial;Arial Narrow" w:hAnsi="Arial;Arial Narrow" w:cs="Arial;Arial Narrow"/>
                <w:b/>
                <w:b/>
                <w:i/>
                <w:i/>
                <w:sz w:val="20"/>
                <w:szCs w:val="20"/>
                <w:lang w:val="sk-SK"/>
              </w:rPr>
            </w:pPr>
            <w:r>
              <w:rPr>
                <w:rFonts w:cs="Arial;Arial Narrow" w:ascii="Arial;Arial Narrow" w:hAnsi="Arial;Arial Narrow"/>
                <w:b/>
                <w:i/>
                <w:sz w:val="20"/>
                <w:szCs w:val="20"/>
                <w:lang w:val="sk-SK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  <w:t>EUR</w:t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opHeader"/>
              <w:snapToGrid w:val="false"/>
              <w:jc w:val="left"/>
              <w:rPr>
                <w:rFonts w:ascii="Arial;Arial Narrow" w:hAnsi="Arial;Arial Narrow" w:cs="Arial;Arial Narrow"/>
                <w:b w:val="false"/>
                <w:b w:val="false"/>
                <w:sz w:val="20"/>
                <w:szCs w:val="20"/>
              </w:rPr>
            </w:pPr>
            <w:r>
              <w:rPr>
                <w:rFonts w:cs="Arial;Arial Narrow" w:ascii="Arial;Arial Narrow" w:hAnsi="Arial;Arial Narrow"/>
                <w:b w:val="false"/>
                <w:sz w:val="20"/>
                <w:szCs w:val="20"/>
              </w:rPr>
            </w:r>
          </w:p>
        </w:tc>
      </w:tr>
    </w:tbl>
    <w:p>
      <w:pPr>
        <w:pStyle w:val="Odsekzoznamu"/>
        <w:spacing w:before="0" w:after="0"/>
        <w:contextualSpacing/>
        <w:jc w:val="both"/>
        <w:rPr>
          <w:rFonts w:ascii="Arial;Arial Narrow" w:hAnsi="Arial;Arial Narrow" w:cs="Arial;Arial Narrow"/>
          <w:i/>
          <w:i/>
          <w:sz w:val="20"/>
          <w:lang w:val="sk-SK"/>
        </w:rPr>
      </w:pPr>
      <w:r>
        <w:rPr>
          <w:rFonts w:cs="Arial;Arial Narrow" w:ascii="Arial;Arial Narrow" w:hAnsi="Arial;Arial Narrow"/>
          <w:i/>
          <w:sz w:val="20"/>
          <w:lang w:val="sk-SK"/>
        </w:rPr>
      </w:r>
    </w:p>
    <w:p>
      <w:pPr>
        <w:pStyle w:val="Odsekzoznamu"/>
        <w:spacing w:before="0" w:after="0"/>
        <w:contextualSpacing/>
        <w:jc w:val="both"/>
        <w:rPr>
          <w:rFonts w:ascii="Arial;Arial Narrow" w:hAnsi="Arial;Arial Narrow" w:cs="Arial;Arial Narrow"/>
          <w:i/>
          <w:i/>
          <w:sz w:val="20"/>
          <w:lang w:val="sk-SK"/>
        </w:rPr>
      </w:pPr>
      <w:r>
        <w:rPr>
          <w:rFonts w:cs="Arial;Arial Narrow" w:ascii="Arial;Arial Narrow" w:hAnsi="Arial;Arial Narrow"/>
          <w:i/>
          <w:sz w:val="20"/>
          <w:lang w:val="sk-SK"/>
        </w:rPr>
      </w:r>
    </w:p>
    <w:p>
      <w:pPr>
        <w:pStyle w:val="Odsekzoznamu"/>
        <w:numPr>
          <w:ilvl w:val="0"/>
          <w:numId w:val="7"/>
        </w:numPr>
        <w:spacing w:before="0" w:after="0"/>
        <w:ind w:left="641" w:hanging="284"/>
        <w:contextualSpacing/>
        <w:jc w:val="both"/>
        <w:rPr>
          <w:rFonts w:ascii="Arial;Arial Narrow" w:hAnsi="Arial;Arial Narrow" w:cs="Arial;Arial Narrow"/>
          <w:i/>
          <w:i/>
          <w:sz w:val="20"/>
        </w:rPr>
      </w:pPr>
      <w:r>
        <w:rPr>
          <w:rFonts w:cs="Arial;Arial Narrow" w:ascii="Arial;Arial Narrow" w:hAnsi="Arial;Arial Narrow"/>
          <w:i/>
          <w:sz w:val="20"/>
        </w:rPr>
        <w:t>opise významných povinností účtovnej jednotky vyplývajúcich z dôchodkových programov pre zamestnancov.</w:t>
      </w:r>
    </w:p>
    <w:p>
      <w:pPr>
        <w:pStyle w:val="Normal"/>
        <w:jc w:val="both"/>
        <w:rPr>
          <w:rFonts w:ascii="Arial;Arial Narrow" w:hAnsi="Arial;Arial Narrow" w:cs="Arial;Arial Narrow"/>
          <w:i/>
          <w:i/>
          <w:sz w:val="20"/>
        </w:rPr>
      </w:pPr>
      <w:r>
        <w:rPr>
          <w:rFonts w:cs="Arial;Arial Narrow" w:ascii="Arial;Arial Narrow" w:hAnsi="Arial;Arial Narrow"/>
          <w:i/>
          <w:sz w:val="20"/>
        </w:rPr>
      </w:r>
    </w:p>
    <w:p>
      <w:pPr>
        <w:pStyle w:val="Normal"/>
        <w:numPr>
          <w:ilvl w:val="0"/>
          <w:numId w:val="5"/>
        </w:numPr>
        <w:ind w:left="709" w:hanging="567"/>
        <w:jc w:val="both"/>
        <w:rPr>
          <w:rFonts w:ascii="Arial;Arial Narrow" w:hAnsi="Arial;Arial Narrow" w:cs="Arial;Arial Narrow"/>
          <w:b/>
          <w:b/>
          <w:sz w:val="20"/>
        </w:rPr>
      </w:pPr>
      <w:bookmarkStart w:id="0" w:name="OLE_LINK1"/>
      <w:r>
        <w:rPr>
          <w:rFonts w:cs="Arial;Arial Narrow" w:ascii="Arial;Arial Narrow" w:hAnsi="Arial;Arial Narrow"/>
          <w:sz w:val="20"/>
        </w:rPr>
        <w:t>Informácie o udelení výlučného práva alebo osobitného práva, ktorým sa udelilo právo poskytovať služby vo verejnom záujme</w:t>
      </w:r>
      <w:bookmarkEnd w:id="0"/>
    </w:p>
    <w:p>
      <w:pPr>
        <w:pStyle w:val="Normal"/>
        <w:jc w:val="right"/>
        <w:rPr>
          <w:rFonts w:ascii="Arial;Arial Narrow" w:hAnsi="Arial;Arial Narrow" w:cs="Arial;Arial Narrow"/>
          <w:b/>
          <w:b/>
          <w:sz w:val="20"/>
        </w:rPr>
      </w:pPr>
      <w:r>
        <w:rPr>
          <w:rFonts w:cs="Arial;Arial Narrow" w:ascii="Arial;Arial Narrow" w:hAnsi="Arial;Arial Narrow"/>
          <w:b/>
          <w:sz w:val="20"/>
        </w:rPr>
      </w:r>
    </w:p>
    <w:p>
      <w:pPr>
        <w:pStyle w:val="Normal"/>
        <w:jc w:val="right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Default"/>
        <w:rPr>
          <w:rFonts w:ascii="Arial;Arial Narrow" w:hAnsi="Arial;Arial Narrow" w:cs="Arial;Arial Narrow"/>
          <w:sz w:val="22"/>
          <w:szCs w:val="23"/>
        </w:rPr>
      </w:pPr>
      <w:r>
        <w:rPr>
          <w:rFonts w:cs="Arial;Arial Narrow" w:ascii="Arial;Arial Narrow" w:hAnsi="Arial;Arial Narrow"/>
          <w:sz w:val="22"/>
          <w:szCs w:val="23"/>
        </w:rPr>
        <w:t>Použité skratky:</w:t>
      </w:r>
    </w:p>
    <w:p>
      <w:pPr>
        <w:pStyle w:val="Normal"/>
        <w:jc w:val="both"/>
        <w:rPr/>
      </w:pPr>
      <w:r>
        <w:rPr>
          <w:rFonts w:cs="Arial;Arial Narrow" w:ascii="Arial;Arial Narrow" w:hAnsi="Arial;Arial Narrow"/>
          <w:sz w:val="20"/>
        </w:rPr>
        <w:t xml:space="preserve">ÚJ - účtovná jednotka; BO- bežné účtovné obdobie; X= ÚJ má náplň pre jednotlivú položku </w:t>
      </w:r>
    </w:p>
    <w:p>
      <w:pPr>
        <w:pStyle w:val="Normal"/>
        <w:jc w:val="both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rPr>
          <w:rFonts w:ascii="Arial;Arial Narrow" w:hAnsi="Arial;Arial Narrow" w:cs="Arial;Arial Narrow"/>
          <w:i/>
          <w:i/>
          <w:sz w:val="18"/>
          <w:szCs w:val="18"/>
        </w:rPr>
      </w:pPr>
      <w:r>
        <w:rPr>
          <w:rFonts w:cs="Arial;Arial Narrow" w:ascii="Arial;Arial Narrow" w:hAnsi="Arial;Arial Narrow"/>
          <w:i/>
          <w:sz w:val="18"/>
          <w:szCs w:val="18"/>
        </w:rPr>
        <w:t>Údaje v poznámkach sú uvádzané za bežne účtovné obdobie. Sumy sú uvádzané v celých eurách.</w:t>
      </w:r>
    </w:p>
    <w:p>
      <w:pPr>
        <w:pStyle w:val="Default"/>
        <w:rPr>
          <w:rFonts w:ascii="Arial;Arial Narrow" w:hAnsi="Arial;Arial Narrow" w:cs="Arial;Arial Narrow"/>
          <w:i/>
          <w:i/>
          <w:sz w:val="18"/>
          <w:szCs w:val="18"/>
        </w:rPr>
      </w:pPr>
      <w:r>
        <w:rPr>
          <w:rFonts w:cs="Arial;Arial Narrow" w:ascii="Arial;Arial Narrow" w:hAnsi="Arial;Arial Narrow"/>
          <w:i/>
          <w:sz w:val="18"/>
          <w:szCs w:val="18"/>
        </w:rPr>
        <w:t xml:space="preserve">Poznámky sa zostavujú tak, aby informácie v nich uvedené boli užitočné, významné, zrozumiteľné, porovnateľné a spoľahlivé. </w:t>
      </w:r>
    </w:p>
    <w:p>
      <w:pPr>
        <w:pStyle w:val="Default"/>
        <w:rPr>
          <w:rFonts w:ascii="Arial;Arial Narrow" w:hAnsi="Arial;Arial Narrow" w:cs="Arial;Arial Narrow"/>
          <w:i/>
          <w:i/>
          <w:sz w:val="18"/>
          <w:szCs w:val="18"/>
        </w:rPr>
      </w:pPr>
      <w:r>
        <w:rPr>
          <w:rFonts w:eastAsia="Arial;Arial Narrow" w:cs="Arial;Arial Narrow" w:ascii="Arial;Arial Narrow" w:hAnsi="Arial;Arial Narrow"/>
          <w:i/>
          <w:sz w:val="18"/>
          <w:szCs w:val="18"/>
        </w:rPr>
        <w:t xml:space="preserve"> </w:t>
      </w:r>
      <w:r>
        <w:rPr>
          <w:rFonts w:cs="Arial;Arial Narrow" w:ascii="Arial;Arial Narrow" w:hAnsi="Arial;Arial Narrow"/>
          <w:i/>
          <w:sz w:val="18"/>
          <w:szCs w:val="18"/>
        </w:rPr>
        <w:t xml:space="preserve">V poznámkach sa uvádzajú informácie, o ktorých sa účtovná jednotka dozvedela do dňa zostavenia individuálnej účtovnej závierky a má pre tieto informácie obsahovú náplň ustanovenú týmto opatrením. Obsahová náplň poznámok pozostáva z popisných informácií a číselných údajov podľa prílohy .V poznámkach sa môžu uvádzať informácie, ktoré sa účtovná jednotka rozhodla poskytnúť nad rámec ustanovenej obsahovej náplne. </w:t>
      </w:r>
    </w:p>
    <w:p>
      <w:pPr>
        <w:pStyle w:val="Default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b/>
          <w:i/>
          <w:sz w:val="18"/>
          <w:szCs w:val="18"/>
        </w:rPr>
        <w:t>Údaje v poznámkach sa uvádzajú za bežné účtovné obdobie. Sumy v poznámkach sa uvádzajú v celých eurách</w:t>
      </w:r>
      <w:r>
        <w:rPr>
          <w:rFonts w:cs="Arial;Arial Narrow" w:ascii="Arial;Arial Narrow" w:hAnsi="Arial;Arial Narrow"/>
          <w:i/>
          <w:sz w:val="18"/>
          <w:szCs w:val="18"/>
        </w:rPr>
        <w:t xml:space="preserve">. </w:t>
      </w:r>
    </w:p>
    <w:p>
      <w:pPr>
        <w:pStyle w:val="Normal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p>
      <w:pPr>
        <w:pStyle w:val="Normal"/>
        <w:rPr>
          <w:rFonts w:ascii="Arial;Arial Narrow" w:hAnsi="Arial;Arial Narrow" w:cs="Arial;Arial Narrow"/>
          <w:sz w:val="20"/>
        </w:rPr>
      </w:pPr>
      <w:r>
        <w:rPr>
          <w:rFonts w:cs="Arial;Arial Narrow" w:ascii="Arial;Arial Narrow" w:hAnsi="Arial;Arial Narrow"/>
          <w:sz w:val="20"/>
        </w:rPr>
      </w:r>
    </w:p>
    <w:sectPr>
      <w:headerReference w:type="default" r:id="rId2"/>
      <w:footerReference w:type="default" r:id="rId3"/>
      <w:type w:val="nextPage"/>
      <w:pgSz w:w="11906" w:h="16838"/>
      <w:pgMar w:left="1021" w:right="1559" w:header="567" w:top="1107" w:footer="567" w:bottom="1418" w:gutter="0"/>
      <w:pgNumType w:start="1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swiss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">
    <w:altName w:val="Arial Narrow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Pt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343" w:type="dxa"/>
      <w:jc w:val="left"/>
      <w:tblInd w:w="18" w:type="dxa"/>
      <w:tblBorders>
        <w:top w:val="single" w:sz="4" w:space="0" w:color="000000"/>
        <w:left w:val="single" w:sz="4" w:space="0" w:color="000000"/>
        <w:bottom w:val="single" w:sz="4" w:space="0" w:color="000000"/>
        <w:insideH w:val="single" w:sz="4" w:space="0" w:color="000000"/>
      </w:tblBorders>
      <w:tblCellMar>
        <w:top w:w="0" w:type="dxa"/>
        <w:left w:w="65" w:type="dxa"/>
        <w:bottom w:w="0" w:type="dxa"/>
        <w:right w:w="70" w:type="dxa"/>
      </w:tblCellMar>
    </w:tblPr>
    <w:tblGrid>
      <w:gridCol w:w="2954"/>
      <w:gridCol w:w="709"/>
      <w:gridCol w:w="2693"/>
      <w:gridCol w:w="284"/>
      <w:gridCol w:w="2703"/>
    </w:tblGrid>
    <w:tr>
      <w:trPr>
        <w:trHeight w:val="326" w:hRule="atLeast"/>
      </w:trPr>
      <w:tc>
        <w:tcPr>
          <w:tcW w:w="29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Hlavika"/>
            <w:rPr/>
          </w:pPr>
          <w:r>
            <w:rPr/>
            <w:t>Poznámky Úč</w:t>
          </w:r>
          <w:r>
            <w:rPr>
              <w:lang w:val="sk-SK"/>
            </w:rPr>
            <w:t xml:space="preserve"> </w:t>
          </w:r>
          <w:r>
            <w:rPr/>
            <w:t xml:space="preserve"> </w:t>
          </w:r>
          <w:r>
            <w:rPr>
              <w:lang w:val="sk-SK"/>
            </w:rPr>
            <w:t>MÚJ</w:t>
          </w:r>
          <w:r>
            <w:rPr/>
            <w:t xml:space="preserve"> 3-01</w:t>
          </w:r>
        </w:p>
      </w:tc>
      <w:tc>
        <w:tcPr>
          <w:tcW w:w="709" w:type="dxa"/>
          <w:tcBorders>
            <w:left w:val="single" w:sz="4" w:space="0" w:color="000000"/>
          </w:tcBorders>
          <w:shd w:fill="auto" w:val="clear"/>
          <w:vAlign w:val="center"/>
        </w:tcPr>
        <w:p>
          <w:pPr>
            <w:pStyle w:val="Normal"/>
            <w:snapToGrid w:val="false"/>
            <w:rPr/>
          </w:pPr>
          <w:r>
            <w:rPr/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rPr/>
          </w:pPr>
          <w:r>
            <w:rPr/>
            <w:t>IČO:</w:t>
          </w:r>
          <w:r>
            <w:rPr/>
            <w:t>34115102</w:t>
          </w:r>
        </w:p>
      </w:tc>
      <w:tc>
        <w:tcPr>
          <w:tcW w:w="284" w:type="dxa"/>
          <w:tcBorders>
            <w:left w:val="single" w:sz="4" w:space="0" w:color="000000"/>
          </w:tcBorders>
          <w:shd w:fill="auto" w:val="clear"/>
          <w:vAlign w:val="center"/>
        </w:tcPr>
        <w:p>
          <w:pPr>
            <w:pStyle w:val="Normal"/>
            <w:snapToGrid w:val="false"/>
            <w:rPr/>
          </w:pPr>
          <w:r>
            <w:rPr/>
          </w:r>
        </w:p>
      </w:tc>
      <w:tc>
        <w:tcPr>
          <w:tcW w:w="27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  <w:vAlign w:val="center"/>
        </w:tcPr>
        <w:p>
          <w:pPr>
            <w:pStyle w:val="Normal"/>
            <w:rPr/>
          </w:pPr>
          <w:r>
            <w:rPr/>
            <w:t>DIČ:</w:t>
          </w:r>
          <w:r>
            <w:rPr/>
            <w:t>2020407158</w:t>
          </w:r>
        </w:p>
      </w:tc>
    </w:tr>
  </w:tbl>
  <w:p>
    <w:pPr>
      <w:pStyle w:val="Hlavika"/>
      <w:rPr>
        <w:lang w:val="sk-SK"/>
      </w:rPr>
    </w:pPr>
    <w:r>
      <w:rPr>
        <w:lang w:val="sk-SK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dpis1"/>
      <w:numFmt w:val="decimal"/>
      <w:lvlText w:val="§ %1"/>
      <w:lvlJc w:val="center"/>
      <w:pPr>
        <w:tabs>
          <w:tab w:val="num" w:pos="4613"/>
        </w:tabs>
        <w:ind w:left="3893" w:hanging="-360"/>
      </w:pPr>
      <w:rPr>
        <w:sz w:val="24"/>
        <w:b/>
        <w:szCs w:val="24"/>
        <w:bCs/>
        <w:rFonts w:ascii="Times New Roman" w:hAnsi="Times New Roman" w:cs="Times New Roman"/>
        <w:lang w:val="sk-SK" w:bidi="sk-SK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(%1)"/>
      <w:lvlJc w:val="left"/>
      <w:pPr>
        <w:ind w:left="644" w:hanging="360"/>
      </w:pPr>
      <w:rPr>
        <w:sz w:val="20"/>
        <w:b w:val="false"/>
        <w:szCs w:val="20"/>
      </w:rPr>
    </w:lvl>
  </w:abstractNum>
  <w:abstractNum w:abstractNumId="3">
    <w:lvl w:ilvl="0">
      <w:start w:val="2"/>
      <w:numFmt w:val="decimal"/>
      <w:lvlText w:val="%1."/>
      <w:lvlJc w:val="left"/>
      <w:pPr>
        <w:ind w:left="2510" w:hanging="36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-210"/>
        </w:tabs>
        <w:ind w:left="641" w:hanging="284"/>
      </w:pPr>
      <w:rPr>
        <w:b w:val="false"/>
      </w:rPr>
    </w:lvl>
  </w:abstractNum>
  <w:abstractNum w:abstractNumId="5">
    <w:lvl w:ilvl="0">
      <w:start w:val="1"/>
      <w:numFmt w:val="decimal"/>
      <w:lvlText w:val="(%1)"/>
      <w:lvlJc w:val="left"/>
      <w:pPr>
        <w:ind w:left="786" w:hanging="360"/>
      </w:pPr>
      <w:rPr>
        <w:sz w:val="20"/>
        <w:i w:val="false"/>
        <w:b w:val="false"/>
        <w:szCs w:val="24"/>
        <w:rFonts w:ascii="Times New Roman" w:hAnsi="Times New Roman" w:cs="Times New Roman"/>
      </w:rPr>
    </w:lvl>
  </w:abstractNum>
  <w:abstractNum w:abstractNumId="6">
    <w:lvl w:ilvl="0">
      <w:start w:val="1"/>
      <w:numFmt w:val="upperRoman"/>
      <w:lvlText w:val="%1."/>
      <w:lvlJc w:val="right"/>
      <w:pPr>
        <w:ind w:left="720" w:hanging="360"/>
      </w:pPr>
      <w:rPr>
        <w:i/>
        <w:szCs w:val="20"/>
      </w:rPr>
    </w:lvl>
  </w:abstractNum>
  <w:abstractNum w:abstractNumId="7">
    <w:lvl w:ilvl="0">
      <w:start w:val="1"/>
      <w:numFmt w:val="lowerLetter"/>
      <w:lvlText w:val="%1)"/>
      <w:lvlJc w:val="left"/>
      <w:pPr>
        <w:ind w:left="644" w:hanging="360"/>
      </w:pPr>
      <w:rPr>
        <w:b w:val="false"/>
      </w:rPr>
    </w:lvl>
  </w:abstractNum>
  <w:abstractNum w:abstractNumId="8">
    <w:lvl w:ilvl="0">
      <w:start w:val="1"/>
      <w:numFmt w:val="decimal"/>
      <w:lvlText w:val="%1."/>
      <w:lvlJc w:val="left"/>
      <w:pPr>
        <w:ind w:left="2487" w:hanging="360"/>
      </w:pPr>
      <w:rPr/>
    </w:lvl>
  </w:abstractNum>
  <w:abstractNum w:abstractNumId="9">
    <w:lvl w:ilvl="0">
      <w:start w:val="1"/>
      <w:numFmt w:val="lowerLetter"/>
      <w:lvlText w:val="%1)"/>
      <w:lvlJc w:val="left"/>
      <w:pPr>
        <w:ind w:left="786" w:hanging="360"/>
      </w:pPr>
      <w:rPr>
        <w:sz w:val="18"/>
        <w:i/>
        <w:szCs w:val="24"/>
        <w:rFonts w:ascii="Times New Roman" w:hAnsi="Times New Roman" w:cs="Times New Roman"/>
      </w:rPr>
    </w:lvl>
  </w:abstractNum>
  <w:abstractNum w:abstractNumId="10">
    <w:lvl w:ilvl="0">
      <w:start w:val="1"/>
      <w:numFmt w:val="decimal"/>
      <w:lvlText w:val="(%1)"/>
      <w:lvlJc w:val="left"/>
      <w:pPr>
        <w:ind w:left="644" w:hanging="360"/>
      </w:pPr>
      <w:rPr>
        <w:sz w:val="20"/>
        <w:b w:val="false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Cs w:val="24"/>
        <w:lang w:val="sk-SK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sk-SK" w:bidi="ar-SA" w:eastAsia="zh-CN"/>
    </w:rPr>
  </w:style>
  <w:style w:type="paragraph" w:styleId="Nadpis1">
    <w:name w:val="Heading 1"/>
    <w:next w:val="Nadpis2"/>
    <w:qFormat/>
    <w:pPr>
      <w:keepNext w:val="true"/>
      <w:widowControl/>
      <w:numPr>
        <w:ilvl w:val="0"/>
        <w:numId w:val="1"/>
      </w:numPr>
      <w:spacing w:before="240" w:after="60"/>
      <w:jc w:val="center"/>
      <w:outlineLvl w:val="0"/>
    </w:pPr>
    <w:rPr>
      <w:rFonts w:ascii="Times New Roman" w:hAnsi="Times New Roman" w:eastAsia="Times New Roman" w:cs="Arial;Arial Narrow"/>
      <w:b/>
      <w:bCs/>
      <w:color w:val="auto"/>
      <w:kern w:val="2"/>
      <w:sz w:val="24"/>
      <w:szCs w:val="32"/>
      <w:lang w:val="sk-SK" w:bidi="ar-SA" w:eastAsia="zh-CN"/>
    </w:rPr>
  </w:style>
  <w:style w:type="paragraph" w:styleId="Nadpis2">
    <w:name w:val="Heading 2"/>
    <w:basedOn w:val="Normal"/>
    <w:next w:val="Normal"/>
    <w:qFormat/>
    <w:pPr>
      <w:keepNext w:val="true"/>
      <w:spacing w:before="0" w:after="120"/>
      <w:jc w:val="center"/>
      <w:outlineLvl w:val="1"/>
    </w:pPr>
    <w:rPr>
      <w:b/>
    </w:rPr>
  </w:style>
  <w:style w:type="paragraph" w:styleId="Nadpis3">
    <w:name w:val="Heading 3"/>
    <w:basedOn w:val="Normal"/>
    <w:next w:val="Normal"/>
    <w:qFormat/>
    <w:pPr>
      <w:keepNext w:val="true"/>
      <w:jc w:val="both"/>
      <w:outlineLvl w:val="2"/>
    </w:pPr>
    <w:rPr>
      <w:b/>
      <w:u w:val="single"/>
    </w:rPr>
  </w:style>
  <w:style w:type="paragraph" w:styleId="Nadpis4">
    <w:name w:val="Heading 4"/>
    <w:basedOn w:val="Normal"/>
    <w:next w:val="Normal"/>
    <w:qFormat/>
    <w:pPr>
      <w:keepNext w:val="true"/>
      <w:keepLines/>
      <w:ind w:firstLine="357"/>
      <w:jc w:val="both"/>
      <w:outlineLvl w:val="3"/>
    </w:pPr>
    <w:rPr>
      <w:b/>
    </w:rPr>
  </w:style>
  <w:style w:type="paragraph" w:styleId="Nadpis5">
    <w:name w:val="Heading 5"/>
    <w:basedOn w:val="Normal"/>
    <w:next w:val="Normal"/>
    <w:qFormat/>
    <w:pPr>
      <w:keepNext w:val="true"/>
      <w:keepLines/>
      <w:ind w:firstLine="360"/>
      <w:jc w:val="both"/>
      <w:outlineLvl w:val="4"/>
    </w:pPr>
    <w:rPr>
      <w:b/>
    </w:rPr>
  </w:style>
  <w:style w:type="paragraph" w:styleId="Nadpis6">
    <w:name w:val="Heading 6"/>
    <w:basedOn w:val="Normal"/>
    <w:next w:val="Normal"/>
    <w:qFormat/>
    <w:pPr>
      <w:keepNext w:val="true"/>
      <w:ind w:left="360" w:hanging="0"/>
      <w:jc w:val="center"/>
      <w:outlineLvl w:val="5"/>
    </w:pPr>
    <w:rPr>
      <w:rFonts w:ascii="Arial Narrow" w:hAnsi="Arial Narrow" w:cs="Arial Narrow"/>
      <w:b/>
      <w:bCs/>
      <w:sz w:val="28"/>
      <w:szCs w:val="22"/>
    </w:rPr>
  </w:style>
  <w:style w:type="character" w:styleId="WW8Num1z0">
    <w:name w:val="WW8Num1z0"/>
    <w:qFormat/>
    <w:rPr>
      <w:b w:val="false"/>
      <w:sz w:val="20"/>
      <w:szCs w:val="20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Times New Roman" w:hAnsi="Times New Roman" w:cs="Times New Roman"/>
      <w:b w:val="false"/>
      <w:i w:val="false"/>
      <w:sz w:val="20"/>
      <w:szCs w:val="24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i/>
      <w:szCs w:val="20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b w:val="false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Times New Roman" w:hAnsi="Times New Roman" w:cs="Times New Roman"/>
      <w:i/>
      <w:sz w:val="18"/>
      <w:szCs w:val="24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b w:val="false"/>
      <w:sz w:val="20"/>
      <w:szCs w:val="20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rFonts w:ascii="Times New Roman" w:hAnsi="Times New Roman" w:cs="Times New Roman"/>
      <w:b/>
      <w:bCs/>
      <w:sz w:val="24"/>
      <w:szCs w:val="24"/>
      <w:lang w:val="sk-SK" w:bidi="sk-SK"/>
    </w:rPr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Predvolenpsmoodseku">
    <w:name w:val="Predvolené písmo odseku"/>
    <w:qFormat/>
    <w:rPr/>
  </w:style>
  <w:style w:type="character" w:styleId="Znakyprepoznmkupodiarou">
    <w:name w:val="Znaky pre poznámku pod čiarou"/>
    <w:qFormat/>
    <w:rPr>
      <w:vertAlign w:val="superscript"/>
    </w:rPr>
  </w:style>
  <w:style w:type="character" w:styleId="Slostrany">
    <w:name w:val="Číslo strany"/>
    <w:basedOn w:val="Predvolenpsmoodseku"/>
    <w:rPr/>
  </w:style>
  <w:style w:type="character" w:styleId="PtaChar">
    <w:name w:val="Päta Char"/>
    <w:qFormat/>
    <w:rPr>
      <w:sz w:val="24"/>
      <w:szCs w:val="24"/>
    </w:rPr>
  </w:style>
  <w:style w:type="character" w:styleId="TextkoncovejpoznmkyChar">
    <w:name w:val="Text koncovej poznámky Char"/>
    <w:basedOn w:val="Predvolenpsmoodseku"/>
    <w:qFormat/>
    <w:rPr/>
  </w:style>
  <w:style w:type="character" w:styleId="Znakyprekoncovpoznmku">
    <w:name w:val="Znaky pre koncovú poznámku"/>
    <w:qFormat/>
    <w:rPr>
      <w:vertAlign w:val="superscript"/>
    </w:rPr>
  </w:style>
  <w:style w:type="character" w:styleId="HlavikaChar">
    <w:name w:val="Hlavička Char"/>
    <w:qFormat/>
    <w:rPr>
      <w:sz w:val="24"/>
      <w:szCs w:val="24"/>
    </w:rPr>
  </w:style>
  <w:style w:type="character" w:styleId="TextbublinyChar">
    <w:name w:val="Text bubliny Char"/>
    <w:qFormat/>
    <w:rPr>
      <w:rFonts w:ascii="Tahoma" w:hAnsi="Tahoma" w:cs="Tahoma"/>
      <w:sz w:val="16"/>
      <w:szCs w:val="16"/>
    </w:rPr>
  </w:style>
  <w:style w:type="character" w:styleId="Tl">
    <w:name w:val="tl"/>
    <w:basedOn w:val="Predvolenpsmoodseku"/>
    <w:qFormat/>
    <w:rPr/>
  </w:style>
  <w:style w:type="character" w:styleId="Tl1Char">
    <w:name w:val="Štýl1 Char"/>
    <w:basedOn w:val="PtaChar"/>
    <w:qFormat/>
    <w:rPr/>
  </w:style>
  <w:style w:type="character" w:styleId="Ra">
    <w:name w:val="ra"/>
    <w:basedOn w:val="Predvolenpsmoodseku"/>
    <w:qFormat/>
    <w:rPr/>
  </w:style>
  <w:style w:type="character" w:styleId="OdsekzoznamuChar">
    <w:name w:val="Odsek zoznamu Char"/>
    <w:qFormat/>
    <w:rPr>
      <w:sz w:val="24"/>
      <w:szCs w:val="24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lotextu">
    <w:name w:val="Body Text"/>
    <w:basedOn w:val="Normal"/>
    <w:pPr/>
    <w:rPr>
      <w:rFonts w:ascii="Arial;Arial Narrow" w:hAnsi="Arial;Arial Narrow" w:cs="Arial;Arial Narrow"/>
      <w:sz w:val="20"/>
      <w:szCs w:val="18"/>
      <w:lang w:val="en-GB"/>
    </w:rPr>
  </w:style>
  <w:style w:type="paragraph" w:styleId="Zoznam">
    <w:name w:val="List"/>
    <w:basedOn w:val="Telotextu"/>
    <w:pPr/>
    <w:rPr>
      <w:rFonts w:cs="Mang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Zkladntext">
    <w:name w:val="Základní text"/>
    <w:qFormat/>
    <w:pPr>
      <w:widowControl/>
      <w:spacing w:before="0" w:after="240"/>
      <w:jc w:val="both"/>
    </w:pPr>
    <w:rPr>
      <w:rFonts w:ascii="Times New Roman" w:hAnsi="Times New Roman" w:eastAsia="Times New Roman" w:cs="Times New Roman"/>
      <w:color w:val="000000"/>
      <w:sz w:val="24"/>
      <w:szCs w:val="20"/>
      <w:lang w:val="sk-SK" w:bidi="ar-SA" w:eastAsia="zh-CN"/>
    </w:rPr>
  </w:style>
  <w:style w:type="paragraph" w:styleId="Poznmkapodiarou">
    <w:name w:val="Footnote Text"/>
    <w:basedOn w:val="Normal"/>
    <w:pPr/>
    <w:rPr>
      <w:sz w:val="20"/>
      <w:szCs w:val="20"/>
    </w:rPr>
  </w:style>
  <w:style w:type="paragraph" w:styleId="Pta">
    <w:name w:val="Footer"/>
    <w:basedOn w:val="Normal"/>
    <w:pPr>
      <w:tabs>
        <w:tab w:val="clear" w:pos="709"/>
        <w:tab w:val="center" w:pos="4536" w:leader="none"/>
        <w:tab w:val="right" w:pos="9072" w:leader="none"/>
      </w:tabs>
      <w:jc w:val="right"/>
    </w:pPr>
    <w:rPr>
      <w:lang w:val="sk-SK"/>
    </w:rPr>
  </w:style>
  <w:style w:type="paragraph" w:styleId="Zkladntext2">
    <w:name w:val="Základný text 2"/>
    <w:basedOn w:val="Normal"/>
    <w:qFormat/>
    <w:pPr>
      <w:jc w:val="both"/>
    </w:pPr>
    <w:rPr/>
  </w:style>
  <w:style w:type="paragraph" w:styleId="Odsadenietelatextu">
    <w:name w:val="Body Text Indent"/>
    <w:basedOn w:val="Normal"/>
    <w:pPr>
      <w:ind w:firstLine="360"/>
      <w:jc w:val="both"/>
    </w:pPr>
    <w:rPr/>
  </w:style>
  <w:style w:type="paragraph" w:styleId="Zarkazkladnhotextu2">
    <w:name w:val="Zarážka základného textu 2"/>
    <w:basedOn w:val="Normal"/>
    <w:qFormat/>
    <w:pPr>
      <w:ind w:firstLine="360"/>
    </w:pPr>
    <w:rPr/>
  </w:style>
  <w:style w:type="paragraph" w:styleId="Zkladntext3">
    <w:name w:val="Základný text 3"/>
    <w:basedOn w:val="Normal"/>
    <w:qFormat/>
    <w:pPr>
      <w:ind w:right="-468" w:hanging="0"/>
      <w:jc w:val="both"/>
    </w:pPr>
    <w:rPr>
      <w:b/>
      <w:bCs/>
    </w:rPr>
  </w:style>
  <w:style w:type="paragraph" w:styleId="Oznaitext">
    <w:name w:val="Označiť text"/>
    <w:basedOn w:val="Normal"/>
    <w:qFormat/>
    <w:pPr>
      <w:ind w:left="1680" w:right="-468" w:hanging="240"/>
    </w:pPr>
    <w:rPr/>
  </w:style>
  <w:style w:type="paragraph" w:styleId="Zarkazkladnhotextu3">
    <w:name w:val="Zarážka základného textu 3"/>
    <w:basedOn w:val="Normal"/>
    <w:qFormat/>
    <w:pPr>
      <w:ind w:right="-468" w:firstLine="720"/>
      <w:jc w:val="both"/>
    </w:pPr>
    <w:rPr>
      <w:bCs/>
    </w:rPr>
  </w:style>
  <w:style w:type="paragraph" w:styleId="Hlavika">
    <w:name w:val="Header"/>
    <w:basedOn w:val="Normal"/>
    <w:pPr>
      <w:tabs>
        <w:tab w:val="clear" w:pos="709"/>
        <w:tab w:val="center" w:pos="4703" w:leader="none"/>
        <w:tab w:val="right" w:pos="9406" w:leader="none"/>
      </w:tabs>
    </w:pPr>
    <w:rPr>
      <w:lang w:val="sk-SK"/>
    </w:rPr>
  </w:style>
  <w:style w:type="paragraph" w:styleId="Odsekzoznamu">
    <w:name w:val="Odsek zoznamu"/>
    <w:basedOn w:val="Normal"/>
    <w:qFormat/>
    <w:pPr>
      <w:ind w:left="708" w:hanging="0"/>
    </w:pPr>
    <w:rPr>
      <w:lang w:val="sk-SK"/>
    </w:rPr>
  </w:style>
  <w:style w:type="paragraph" w:styleId="Koncovpoznmka">
    <w:name w:val="Endnote Text"/>
    <w:basedOn w:val="Normal"/>
    <w:pPr/>
    <w:rPr>
      <w:sz w:val="20"/>
      <w:szCs w:val="20"/>
    </w:rPr>
  </w:style>
  <w:style w:type="paragraph" w:styleId="Textbubliny">
    <w:name w:val="Text bubliny"/>
    <w:basedOn w:val="Normal"/>
    <w:qFormat/>
    <w:pPr/>
    <w:rPr>
      <w:rFonts w:ascii="Tahoma" w:hAnsi="Tahoma" w:cs="Tahoma"/>
      <w:sz w:val="16"/>
      <w:szCs w:val="16"/>
      <w:lang w:val="sk-SK"/>
    </w:rPr>
  </w:style>
  <w:style w:type="paragraph" w:styleId="Tl1">
    <w:name w:val="Štýl1"/>
    <w:basedOn w:val="Pta"/>
    <w:qFormat/>
    <w:pPr/>
    <w:rPr/>
  </w:style>
  <w:style w:type="paragraph" w:styleId="TopHeader">
    <w:name w:val="Top Header"/>
    <w:basedOn w:val="Normal"/>
    <w:qFormat/>
    <w:pPr>
      <w:jc w:val="center"/>
    </w:pPr>
    <w:rPr>
      <w:rFonts w:ascii="Arial Narrow" w:hAnsi="Arial Narrow" w:cs="Arial Narrow"/>
      <w:b/>
      <w:bCs/>
      <w:sz w:val="22"/>
      <w:szCs w:val="22"/>
    </w:rPr>
  </w:style>
  <w:style w:type="paragraph" w:styleId="Default">
    <w:name w:val="Default"/>
    <w:qFormat/>
    <w:pPr>
      <w:widowControl/>
      <w:autoSpaceDE w:val="false"/>
    </w:pPr>
    <w:rPr>
      <w:rFonts w:ascii="Times New Roman" w:hAnsi="Times New Roman" w:eastAsia="Times New Roman" w:cs="Times New Roman"/>
      <w:color w:val="000000"/>
      <w:sz w:val="24"/>
      <w:szCs w:val="24"/>
      <w:lang w:val="sk-SK" w:bidi="ar-SA" w:eastAsia="zh-CN"/>
    </w:rPr>
  </w:style>
  <w:style w:type="paragraph" w:styleId="Obsahtabuky">
    <w:name w:val="Obsah tabuľky"/>
    <w:basedOn w:val="Normal"/>
    <w:qFormat/>
    <w:pPr>
      <w:suppressLineNumbers/>
    </w:pPr>
    <w:rPr/>
  </w:style>
  <w:style w:type="paragraph" w:styleId="Nadpistabuky">
    <w:name w:val="Nadpis tabuľky"/>
    <w:basedOn w:val="Obsahtabuky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Application>LibreOffice/6.1.2.1$Windows_x86 LibreOffice_project/65905a128db06ba48db947242809d14d3f9a93fe</Application>
  <Pages>5</Pages>
  <Words>1384</Words>
  <Characters>8221</Characters>
  <CharactersWithSpaces>9452</CharactersWithSpaces>
  <Paragraphs>212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2016-01-30T14:32:00Z</dcterms:created>
  <dc:creator>EK</dc:creator>
  <dc:description/>
  <cp:keywords/>
  <dc:language>sk-SK</dc:language>
  <cp:lastModifiedBy/>
  <cp:lastPrinted>2019-03-29T11:46:42Z</cp:lastPrinted>
  <dcterms:modified xsi:type="dcterms:W3CDTF">2019-03-29T11:49:29Z</dcterms:modified>
  <cp:revision>25</cp:revision>
  <dc:subject/>
  <dc:title>Opatrenie</dc:title>
</cp:coreProperties>
</file>