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3532" w:rsidRDefault="005432C6">
      <w:pPr>
        <w:spacing w:after="74" w:line="259" w:lineRule="auto"/>
        <w:ind w:left="57" w:right="0" w:firstLine="0"/>
        <w:jc w:val="center"/>
      </w:pPr>
      <w:r>
        <w:rPr>
          <w:b/>
          <w:sz w:val="24"/>
        </w:rPr>
        <w:t xml:space="preserve"> </w:t>
      </w:r>
    </w:p>
    <w:p w:rsidR="006C3532" w:rsidRDefault="005432C6">
      <w:pPr>
        <w:spacing w:after="41" w:line="259" w:lineRule="auto"/>
        <w:ind w:left="10" w:right="6"/>
        <w:jc w:val="center"/>
      </w:pPr>
      <w:r>
        <w:rPr>
          <w:b/>
        </w:rPr>
        <w:t xml:space="preserve">ČL.I.   VŠEOBECNÉ ÚDAJE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-5" w:right="401"/>
      </w:pPr>
      <w:r>
        <w:t xml:space="preserve">Názov Spoločnosti a jej sídlo </w:t>
      </w:r>
    </w:p>
    <w:p w:rsidR="006C3532" w:rsidRDefault="005432C6" w:rsidP="00BF3D86">
      <w:pPr>
        <w:ind w:left="355" w:right="0"/>
      </w:pPr>
      <w:r>
        <w:t xml:space="preserve">Spoločnosť </w:t>
      </w:r>
      <w:r w:rsidR="00BF3D86" w:rsidRPr="00BF3D86">
        <w:t>Veacom SK s.r.o.</w:t>
      </w:r>
      <w:r>
        <w:t xml:space="preserve"> (ďalej len Spoločnosť), bola založená </w:t>
      </w:r>
      <w:r w:rsidR="00BF3D86">
        <w:t>30</w:t>
      </w:r>
      <w:r>
        <w:t>.</w:t>
      </w:r>
      <w:r w:rsidR="00BF3D86">
        <w:t>10.2018</w:t>
      </w:r>
      <w:r>
        <w:t xml:space="preserve"> a do obchodného registra bola zapísaná </w:t>
      </w:r>
      <w:r w:rsidR="00BF3D86">
        <w:t>6</w:t>
      </w:r>
      <w:r>
        <w:t>.</w:t>
      </w:r>
      <w:r w:rsidR="00BF3D86">
        <w:t>11.2018</w:t>
      </w:r>
      <w:r>
        <w:t xml:space="preserve">. (Obchodný register Okresného súdu Trnava oddiel S.r.o., </w:t>
      </w:r>
      <w:r w:rsidR="00BF3D86">
        <w:t>vl.č.43260/T</w:t>
      </w:r>
      <w:r>
        <w:t xml:space="preserve">).Sídlo spoločnosti sa nachádza na adrese: </w:t>
      </w:r>
      <w:r w:rsidR="00BF3D86">
        <w:t>Štefánikova 113/23 917 01 Trnava</w:t>
      </w:r>
      <w:r w:rsidR="00BF3D86">
        <w:t>.</w:t>
      </w:r>
      <w:r>
        <w:rPr>
          <w:sz w:val="20"/>
        </w:rPr>
        <w:t xml:space="preserve"> </w:t>
      </w:r>
    </w:p>
    <w:p w:rsidR="006C3532" w:rsidRDefault="005432C6">
      <w:pPr>
        <w:spacing w:after="10" w:line="262" w:lineRule="auto"/>
        <w:ind w:left="-5" w:right="401"/>
        <w:jc w:val="left"/>
      </w:pPr>
      <w:r>
        <w:rPr>
          <w:b/>
        </w:rPr>
        <w:t xml:space="preserve">Hlavnými činnosťami Spoločnosti sú: </w:t>
      </w:r>
    </w:p>
    <w:p w:rsidR="00BF3D86" w:rsidRDefault="00BF3D86">
      <w:pPr>
        <w:ind w:left="355" w:right="0"/>
      </w:pPr>
      <w:r>
        <w:t>-</w:t>
      </w:r>
      <w:r>
        <w:t xml:space="preserve">Sprostredkovateľská činnosť v oblasti obchodu, služieb, výroby </w:t>
      </w:r>
    </w:p>
    <w:p w:rsidR="00BF3D86" w:rsidRDefault="00BF3D86" w:rsidP="00BF3D86">
      <w:pPr>
        <w:ind w:left="0" w:right="0" w:firstLine="345"/>
      </w:pPr>
      <w:r>
        <w:t>-</w:t>
      </w:r>
      <w:r>
        <w:t>Kúpa tovaru na účely jeho predaja konečnému spotrebiteľovi (maloobchod) alebo iným</w:t>
      </w:r>
      <w:r>
        <w:t xml:space="preserve"> prevádzkovateľom živnosti (veľkoobchod)</w:t>
      </w:r>
    </w:p>
    <w:p w:rsidR="00BF3D86" w:rsidRDefault="00BF3D86" w:rsidP="00BF3D86">
      <w:pPr>
        <w:ind w:left="0" w:right="0" w:firstLine="345"/>
      </w:pPr>
      <w:r>
        <w:t>-</w:t>
      </w:r>
      <w:r>
        <w:t>Reklamné a marketingové služby, prieskum trhu a verejnej mienky</w:t>
      </w:r>
    </w:p>
    <w:p w:rsidR="00BF3D86" w:rsidRDefault="00BF3D86" w:rsidP="00BF3D86">
      <w:pPr>
        <w:ind w:left="0" w:right="0" w:firstLine="345"/>
      </w:pPr>
      <w:r>
        <w:t>-</w:t>
      </w:r>
      <w:r>
        <w:t>Činnosť podnikateľských, organizačných a ekonomických poradcov</w:t>
      </w:r>
    </w:p>
    <w:p w:rsidR="00BF3D86" w:rsidRDefault="00BF3D86" w:rsidP="00BF3D86">
      <w:pPr>
        <w:ind w:left="0" w:right="0" w:firstLine="345"/>
      </w:pPr>
      <w:r>
        <w:t>-</w:t>
      </w:r>
      <w:r>
        <w:t>Administratívne služby</w:t>
      </w:r>
    </w:p>
    <w:p w:rsidR="006C3532" w:rsidRDefault="005432C6">
      <w:pPr>
        <w:ind w:left="355" w:right="0"/>
      </w:pPr>
      <w:r>
        <w:t xml:space="preserve"> </w:t>
      </w:r>
    </w:p>
    <w:p w:rsidR="006C3532" w:rsidRDefault="005432C6">
      <w:pPr>
        <w:spacing w:after="21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-5" w:right="401"/>
      </w:pPr>
      <w:r>
        <w:t xml:space="preserve">Počet zamestnancov  </w:t>
      </w:r>
    </w:p>
    <w:p w:rsidR="006C3532" w:rsidRDefault="005432C6">
      <w:pPr>
        <w:ind w:left="355" w:right="0"/>
      </w:pPr>
      <w:r>
        <w:t xml:space="preserve">Údaje o počte zamestnancov za bežné účtovné obdobie </w:t>
      </w:r>
      <w:r>
        <w:t xml:space="preserve">sú uvedené v nasledujúcom prehľade: </w:t>
      </w:r>
    </w:p>
    <w:p w:rsidR="006C3532" w:rsidRDefault="005432C6">
      <w:pPr>
        <w:spacing w:after="4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tabs>
          <w:tab w:val="center" w:pos="6796"/>
          <w:tab w:val="center" w:pos="8703"/>
        </w:tabs>
        <w:spacing w:after="2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7"/>
        </w:rPr>
        <w:t>201</w:t>
      </w:r>
      <w:r w:rsidR="00BF3D86">
        <w:rPr>
          <w:sz w:val="17"/>
        </w:rPr>
        <w:t>8</w:t>
      </w:r>
      <w:r>
        <w:rPr>
          <w:sz w:val="17"/>
        </w:rPr>
        <w:tab/>
      </w:r>
    </w:p>
    <w:p w:rsidR="006C3532" w:rsidRDefault="005432C6">
      <w:pPr>
        <w:spacing w:after="19" w:line="259" w:lineRule="auto"/>
        <w:ind w:left="429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828784" cy="9092"/>
                <wp:effectExtent l="0" t="0" r="0" b="0"/>
                <wp:docPr id="11130" name="Group 111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8784" cy="9092"/>
                          <a:chOff x="0" y="0"/>
                          <a:chExt cx="5828784" cy="9092"/>
                        </a:xfrm>
                      </wpg:grpSpPr>
                      <wps:wsp>
                        <wps:cNvPr id="247" name="Shape 247"/>
                        <wps:cNvSpPr/>
                        <wps:spPr>
                          <a:xfrm>
                            <a:off x="5122" y="4546"/>
                            <a:ext cx="58184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8471">
                                <a:moveTo>
                                  <a:pt x="0" y="0"/>
                                </a:moveTo>
                                <a:lnTo>
                                  <a:pt x="5818471" y="0"/>
                                </a:lnTo>
                              </a:path>
                            </a:pathLst>
                          </a:custGeom>
                          <a:ln w="9092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0" name="Shape 14700"/>
                        <wps:cNvSpPr/>
                        <wps:spPr>
                          <a:xfrm>
                            <a:off x="0" y="0"/>
                            <a:ext cx="5828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28784" h="9144">
                                <a:moveTo>
                                  <a:pt x="0" y="0"/>
                                </a:moveTo>
                                <a:lnTo>
                                  <a:pt x="5828784" y="0"/>
                                </a:lnTo>
                                <a:lnTo>
                                  <a:pt x="5828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30" style="width:458.959pt;height:0.715881pt;mso-position-horizontal-relative:char;mso-position-vertical-relative:line" coordsize="58287,90">
                <v:shape id="Shape 247" style="position:absolute;width:58184;height:0;left:51;top:45;" coordsize="5818471,0" path="m0,0l5818471,0">
                  <v:stroke weight="0.715891pt" endcap="square" joinstyle="round" on="true" color="#000000"/>
                  <v:fill on="false" color="#000000" opacity="0"/>
                </v:shape>
                <v:shape id="Shape 14701" style="position:absolute;width:58287;height:91;left:0;top:0;" coordsize="5828784,9144" path="m0,0l5828784,0l5828784,9144l0,9144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654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539"/>
        <w:gridCol w:w="1923"/>
        <w:gridCol w:w="192"/>
      </w:tblGrid>
      <w:tr w:rsidR="006C3532">
        <w:trPr>
          <w:trHeight w:val="212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77" w:right="0" w:firstLine="0"/>
              <w:jc w:val="left"/>
            </w:pPr>
            <w:r>
              <w:rPr>
                <w:sz w:val="17"/>
              </w:rPr>
              <w:t>Priemerný prepočítaný počet zamestnancov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BF3D86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6C3532">
            <w:pPr>
              <w:spacing w:after="0" w:line="259" w:lineRule="auto"/>
              <w:ind w:left="0" w:right="0" w:firstLine="0"/>
            </w:pPr>
          </w:p>
        </w:tc>
      </w:tr>
      <w:tr w:rsidR="006C3532">
        <w:trPr>
          <w:trHeight w:val="462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77" w:right="1610" w:firstLine="0"/>
            </w:pPr>
            <w:r>
              <w:rPr>
                <w:sz w:val="17"/>
              </w:rPr>
              <w:t>Stav zamestnancov ku dňu, ku ktorému sa zostavuje účtovná závierka, z toho: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BF3D86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6C3532">
            <w:pPr>
              <w:spacing w:after="0" w:line="259" w:lineRule="auto"/>
              <w:ind w:left="0" w:right="0" w:firstLine="0"/>
            </w:pPr>
          </w:p>
        </w:tc>
      </w:tr>
      <w:tr w:rsidR="006C3532">
        <w:trPr>
          <w:trHeight w:val="875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239" w:line="259" w:lineRule="auto"/>
              <w:ind w:left="477" w:right="0" w:firstLine="0"/>
              <w:jc w:val="left"/>
            </w:pPr>
            <w:r>
              <w:rPr>
                <w:sz w:val="17"/>
              </w:rPr>
              <w:t>počet vedúcich zamestnancov</w:t>
            </w:r>
          </w:p>
          <w:p w:rsidR="006C3532" w:rsidRDefault="005432C6">
            <w:pPr>
              <w:spacing w:after="18" w:line="259" w:lineRule="auto"/>
              <w:ind w:left="428" w:right="0" w:firstLine="0"/>
              <w:jc w:val="left"/>
            </w:pPr>
            <w:r>
              <w:t xml:space="preserve"> </w:t>
            </w:r>
          </w:p>
          <w:p w:rsidR="006C3532" w:rsidRDefault="005432C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Údaje o neobmedzenom ručení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BF3D86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6C3532">
            <w:pPr>
              <w:spacing w:after="71" w:line="259" w:lineRule="auto"/>
              <w:ind w:left="0" w:right="0" w:firstLine="0"/>
            </w:pPr>
          </w:p>
          <w:p w:rsidR="006C3532" w:rsidRDefault="005432C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</w:tbl>
    <w:p w:rsidR="006C3532" w:rsidRDefault="005432C6">
      <w:pPr>
        <w:ind w:left="462" w:right="0"/>
      </w:pPr>
      <w:r>
        <w:t xml:space="preserve">Spoločnosť nie je neobmedzene ručiacim spoločníkom v iných spoločnostiach podľa § 56 ods. 5 Obchodného zákonníka. </w:t>
      </w:r>
    </w:p>
    <w:p w:rsidR="006C3532" w:rsidRDefault="005432C6">
      <w:pPr>
        <w:spacing w:after="19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-5" w:right="401"/>
      </w:pPr>
      <w:r>
        <w:t xml:space="preserve">Právny dôvod na zostavenie účtovnej závierky </w:t>
      </w:r>
    </w:p>
    <w:p w:rsidR="006C3532" w:rsidRDefault="005432C6">
      <w:pPr>
        <w:ind w:left="10" w:right="0"/>
      </w:pPr>
      <w:r>
        <w:t xml:space="preserve"> </w:t>
      </w:r>
      <w:r>
        <w:tab/>
        <w:t>Účtovná závierka Spoločnosti k 31. decembru 201</w:t>
      </w:r>
      <w:r w:rsidR="00BF3D86">
        <w:t>8</w:t>
      </w:r>
      <w:r>
        <w:t xml:space="preserve"> je zostavená ako riadna účtovná závierka p</w:t>
      </w:r>
      <w:r>
        <w:t xml:space="preserve">odľa § 17 ods. 6 zákona NR SR č. 431/2002 Z. z. o účtovníctve za účtovné obdobie od </w:t>
      </w:r>
      <w:r w:rsidR="00BF3D86">
        <w:t>30</w:t>
      </w:r>
      <w:r>
        <w:t>.</w:t>
      </w:r>
      <w:r w:rsidR="00BF3D86">
        <w:t>10.</w:t>
      </w:r>
      <w:r>
        <w:t xml:space="preserve"> 201</w:t>
      </w:r>
      <w:r w:rsidR="00BF3D86">
        <w:t>8</w:t>
      </w:r>
      <w:r>
        <w:t xml:space="preserve"> do 31. </w:t>
      </w:r>
      <w:r w:rsidR="00BF3D86">
        <w:t>12.</w:t>
      </w:r>
      <w:r>
        <w:t>201</w:t>
      </w:r>
      <w:r w:rsidR="00BF3D86">
        <w:t>8</w:t>
      </w:r>
      <w:r>
        <w:t xml:space="preserve">. </w:t>
      </w:r>
    </w:p>
    <w:p w:rsidR="006C3532" w:rsidRDefault="005432C6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6C3532" w:rsidRDefault="006C3532">
      <w:pPr>
        <w:spacing w:after="109" w:line="259" w:lineRule="auto"/>
        <w:ind w:left="0" w:right="0" w:firstLine="0"/>
        <w:jc w:val="left"/>
      </w:pPr>
    </w:p>
    <w:p w:rsidR="006C3532" w:rsidRDefault="005432C6">
      <w:pPr>
        <w:spacing w:after="39" w:line="262" w:lineRule="auto"/>
        <w:ind w:left="-5" w:right="401"/>
        <w:jc w:val="left"/>
      </w:pPr>
      <w:r>
        <w:rPr>
          <w:b/>
        </w:rPr>
        <w:t xml:space="preserve">INFORMÁCIE O KONSOLIDOVANOM CELKU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tabs>
          <w:tab w:val="center" w:pos="2936"/>
        </w:tabs>
        <w:spacing w:after="102"/>
        <w:ind w:left="0" w:right="0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Spoločnosť sa nezahŕňa do konsolidovanej účtovnej závierky.  </w:t>
      </w:r>
    </w:p>
    <w:p w:rsidR="006C3532" w:rsidRDefault="005432C6">
      <w:pPr>
        <w:spacing w:after="13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6C3532" w:rsidRDefault="005432C6">
      <w:pPr>
        <w:spacing w:after="41" w:line="259" w:lineRule="auto"/>
        <w:ind w:left="10" w:right="5"/>
        <w:jc w:val="center"/>
      </w:pPr>
      <w:r>
        <w:rPr>
          <w:b/>
        </w:rPr>
        <w:t xml:space="preserve">ČL.II.  INFORMÁCIE O PRIJATÝCH POSTUPOCH </w:t>
      </w:r>
    </w:p>
    <w:p w:rsidR="006C3532" w:rsidRDefault="005432C6">
      <w:pPr>
        <w:spacing w:after="18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>1.</w:t>
      </w:r>
      <w:r>
        <w:t xml:space="preserve">Východiská pre zostavenie účtovnej závierky </w:t>
      </w:r>
    </w:p>
    <w:p w:rsidR="006C3532" w:rsidRDefault="005432C6">
      <w:pPr>
        <w:ind w:left="355" w:right="0"/>
      </w:pPr>
      <w:r>
        <w:t>Účtovná závierka bola zostavená za predpokladu nepretržitého trvania Spoločnosti (</w:t>
      </w:r>
      <w:proofErr w:type="spellStart"/>
      <w:r>
        <w:t>goingconcern</w:t>
      </w:r>
      <w:proofErr w:type="spellEnd"/>
      <w:r>
        <w:t xml:space="preserve">). </w:t>
      </w:r>
    </w:p>
    <w:p w:rsidR="006C3532" w:rsidRDefault="005432C6">
      <w:pPr>
        <w:spacing w:after="16" w:line="259" w:lineRule="auto"/>
        <w:ind w:left="452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Účtovné metódy a všeobecné účtovné zásady boli účtovnou jednotkou konzistentne aplikované. </w:t>
      </w:r>
    </w:p>
    <w:p w:rsidR="006C3532" w:rsidRDefault="005432C6">
      <w:pPr>
        <w:spacing w:after="20" w:line="259" w:lineRule="auto"/>
        <w:ind w:left="0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>2.Dlhodobý nehmot</w:t>
      </w:r>
      <w:r>
        <w:t xml:space="preserve">ný majetok a dlhodobý hmotný majetok </w:t>
      </w:r>
    </w:p>
    <w:p w:rsidR="006C3532" w:rsidRDefault="005432C6">
      <w:pPr>
        <w:ind w:left="355" w:right="0"/>
      </w:pPr>
      <w:r>
        <w:t xml:space="preserve">Dlhodobý majetok nakupovaný sa oceňuje obstarávacou cenou, ktorá zahŕňa cenu obstarania a náklady súvisiace s obstaraním (clo, prepravu, montáž, poistné a pod.).  </w:t>
      </w:r>
    </w:p>
    <w:p w:rsidR="006C3532" w:rsidRDefault="005432C6">
      <w:pPr>
        <w:spacing w:after="18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>Súčasťou obstarávacej ceny dlhodobého hmotného majet</w:t>
      </w:r>
      <w:r>
        <w:t xml:space="preserve">ku </w:t>
      </w:r>
      <w:r>
        <w:t xml:space="preserve">nie sú úroky z cudzích zdrojov ani realizované kurzové rozdiely, ktoré vznikli do momentu uvedenia dlhodobého majetku do používania. </w:t>
      </w:r>
    </w:p>
    <w:p w:rsidR="006C3532" w:rsidRDefault="005432C6">
      <w:pPr>
        <w:spacing w:after="17" w:line="259" w:lineRule="auto"/>
        <w:ind w:left="428" w:right="0" w:firstLine="0"/>
        <w:jc w:val="left"/>
      </w:pPr>
      <w:r>
        <w:t xml:space="preserve"> </w:t>
      </w:r>
    </w:p>
    <w:p w:rsidR="006C3532" w:rsidRDefault="006C3532">
      <w:pPr>
        <w:spacing w:after="0" w:line="259" w:lineRule="auto"/>
        <w:ind w:left="428" w:right="0" w:firstLine="0"/>
        <w:jc w:val="left"/>
      </w:pPr>
    </w:p>
    <w:p w:rsidR="006C3532" w:rsidRDefault="006C3532">
      <w:pPr>
        <w:spacing w:after="0" w:line="259" w:lineRule="auto"/>
        <w:ind w:left="471" w:right="0" w:firstLine="0"/>
        <w:jc w:val="left"/>
      </w:pPr>
    </w:p>
    <w:p w:rsidR="006C3532" w:rsidRDefault="005432C6">
      <w:pPr>
        <w:ind w:left="355" w:right="0"/>
      </w:pPr>
      <w:r>
        <w:lastRenderedPageBreak/>
        <w:t>Odpisy dlhodobého nehmotného majetku sú stanovené vychádzajúc z predpokladanej doby jeho používania a predpokladaného priebehu jeho opotrebenia. Odpisovať sa začína prvým dňom mesiaca nasledujúceho po uvedení dl</w:t>
      </w:r>
      <w:r>
        <w:t>hodobého majetku do používania. Drobný dlhodobý nehmotný majetok, ktorého obstarávacia cena (resp. vlastné náklady) je 2 400 EUR a nižšia, sa odpisuje jednorazovo pri uvedení do používania. Predpokladaná doba používania, metóda odpisovania a odpisová sadzb</w:t>
      </w:r>
      <w:r>
        <w:t xml:space="preserve">a sú uvedené v nasledujúcej tabuľke: </w:t>
      </w:r>
    </w:p>
    <w:p w:rsidR="006C3532" w:rsidRDefault="005432C6">
      <w:pPr>
        <w:spacing w:after="0" w:line="259" w:lineRule="auto"/>
        <w:ind w:left="428" w:right="0" w:firstLine="0"/>
        <w:jc w:val="left"/>
      </w:pPr>
      <w:r>
        <w:t xml:space="preserve"> </w:t>
      </w:r>
    </w:p>
    <w:tbl>
      <w:tblPr>
        <w:tblStyle w:val="TableGrid"/>
        <w:tblW w:w="8526" w:type="dxa"/>
        <w:tblInd w:w="845" w:type="dxa"/>
        <w:tblCellMar>
          <w:top w:w="2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452"/>
        <w:gridCol w:w="1875"/>
        <w:gridCol w:w="1199"/>
      </w:tblGrid>
      <w:tr w:rsidR="006C3532">
        <w:trPr>
          <w:trHeight w:val="224"/>
        </w:trPr>
        <w:tc>
          <w:tcPr>
            <w:tcW w:w="545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tabs>
                <w:tab w:val="center" w:pos="3972"/>
              </w:tabs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>
              <w:tab/>
              <w:t xml:space="preserve">Predpokladaná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70" w:right="0" w:firstLine="0"/>
              <w:jc w:val="left"/>
            </w:pPr>
            <w:r>
              <w:t xml:space="preserve">Metóda </w:t>
            </w: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0" w:firstLine="0"/>
            </w:pPr>
            <w:r>
              <w:t xml:space="preserve">Ročná odpisová </w:t>
            </w:r>
          </w:p>
        </w:tc>
      </w:tr>
      <w:tr w:rsidR="006C3532">
        <w:trPr>
          <w:trHeight w:val="637"/>
        </w:trPr>
        <w:tc>
          <w:tcPr>
            <w:tcW w:w="545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tabs>
                <w:tab w:val="center" w:pos="2977"/>
                <w:tab w:val="center" w:pos="3974"/>
              </w:tabs>
              <w:spacing w:after="20" w:line="259" w:lineRule="auto"/>
              <w:ind w:left="0" w:righ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doba </w:t>
            </w:r>
          </w:p>
          <w:p w:rsidR="006C3532" w:rsidRDefault="005432C6">
            <w:pPr>
              <w:spacing w:after="0" w:line="259" w:lineRule="auto"/>
              <w:ind w:left="3534" w:right="993" w:firstLine="0"/>
              <w:jc w:val="center"/>
            </w:pPr>
            <w:r>
              <w:t xml:space="preserve">používania v rokoch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0" w:right="0" w:firstLine="0"/>
              <w:jc w:val="left"/>
            </w:pPr>
            <w:r>
              <w:t xml:space="preserve">odpisovania </w:t>
            </w: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45" w:firstLine="0"/>
              <w:jc w:val="center"/>
            </w:pPr>
            <w:r>
              <w:t xml:space="preserve">sadzba v % </w:t>
            </w:r>
          </w:p>
        </w:tc>
      </w:tr>
    </w:tbl>
    <w:p w:rsidR="006C3532" w:rsidRDefault="005432C6">
      <w:pPr>
        <w:spacing w:after="8" w:line="259" w:lineRule="auto"/>
        <w:ind w:left="45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700650" cy="6096"/>
                <wp:effectExtent l="0" t="0" r="0" b="0"/>
                <wp:docPr id="11575" name="Group 115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00650" cy="6096"/>
                          <a:chOff x="0" y="0"/>
                          <a:chExt cx="5700650" cy="6096"/>
                        </a:xfrm>
                      </wpg:grpSpPr>
                      <wps:wsp>
                        <wps:cNvPr id="14702" name="Shape 14702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3" name="Shape 14703"/>
                        <wps:cNvSpPr/>
                        <wps:spPr>
                          <a:xfrm>
                            <a:off x="18900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4" name="Shape 14704"/>
                        <wps:cNvSpPr/>
                        <wps:spPr>
                          <a:xfrm>
                            <a:off x="1896186" y="0"/>
                            <a:ext cx="26517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176" h="9144">
                                <a:moveTo>
                                  <a:pt x="0" y="0"/>
                                </a:moveTo>
                                <a:lnTo>
                                  <a:pt x="265176" y="0"/>
                                </a:lnTo>
                                <a:lnTo>
                                  <a:pt x="26517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5" name="Shape 14705"/>
                        <wps:cNvSpPr/>
                        <wps:spPr>
                          <a:xfrm>
                            <a:off x="216136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6" name="Shape 14706"/>
                        <wps:cNvSpPr/>
                        <wps:spPr>
                          <a:xfrm>
                            <a:off x="2167458" y="0"/>
                            <a:ext cx="9832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3285" h="9144">
                                <a:moveTo>
                                  <a:pt x="0" y="0"/>
                                </a:moveTo>
                                <a:lnTo>
                                  <a:pt x="983285" y="0"/>
                                </a:lnTo>
                                <a:lnTo>
                                  <a:pt x="9832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7" name="Shape 14707"/>
                        <wps:cNvSpPr/>
                        <wps:spPr>
                          <a:xfrm>
                            <a:off x="31506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8" name="Shape 14708"/>
                        <wps:cNvSpPr/>
                        <wps:spPr>
                          <a:xfrm>
                            <a:off x="3156788" y="0"/>
                            <a:ext cx="1356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9144">
                                <a:moveTo>
                                  <a:pt x="0" y="0"/>
                                </a:moveTo>
                                <a:lnTo>
                                  <a:pt x="135636" y="0"/>
                                </a:lnTo>
                                <a:lnTo>
                                  <a:pt x="1356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9" name="Shape 14709"/>
                        <wps:cNvSpPr/>
                        <wps:spPr>
                          <a:xfrm>
                            <a:off x="32924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0" name="Shape 14710"/>
                        <wps:cNvSpPr/>
                        <wps:spPr>
                          <a:xfrm>
                            <a:off x="3298520" y="0"/>
                            <a:ext cx="11628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2812" h="9144">
                                <a:moveTo>
                                  <a:pt x="0" y="0"/>
                                </a:moveTo>
                                <a:lnTo>
                                  <a:pt x="1162812" y="0"/>
                                </a:lnTo>
                                <a:lnTo>
                                  <a:pt x="11628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1" name="Shape 14711"/>
                        <wps:cNvSpPr/>
                        <wps:spPr>
                          <a:xfrm>
                            <a:off x="446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2" name="Shape 14712"/>
                        <wps:cNvSpPr/>
                        <wps:spPr>
                          <a:xfrm>
                            <a:off x="4467428" y="0"/>
                            <a:ext cx="1356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9144">
                                <a:moveTo>
                                  <a:pt x="0" y="0"/>
                                </a:moveTo>
                                <a:lnTo>
                                  <a:pt x="135636" y="0"/>
                                </a:lnTo>
                                <a:lnTo>
                                  <a:pt x="1356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3" name="Shape 14713"/>
                        <wps:cNvSpPr/>
                        <wps:spPr>
                          <a:xfrm>
                            <a:off x="460306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4" name="Shape 14714"/>
                        <wps:cNvSpPr/>
                        <wps:spPr>
                          <a:xfrm>
                            <a:off x="4609160" y="0"/>
                            <a:ext cx="109148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1489" h="9144">
                                <a:moveTo>
                                  <a:pt x="0" y="0"/>
                                </a:moveTo>
                                <a:lnTo>
                                  <a:pt x="1091489" y="0"/>
                                </a:lnTo>
                                <a:lnTo>
                                  <a:pt x="109148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575" style="width:448.87pt;height:0.47998pt;mso-position-horizontal-relative:char;mso-position-vertical-relative:line" coordsize="57006,60">
                <v:shape id="Shape 14715" style="position:absolute;width:18900;height:91;left:0;top:0;" coordsize="1890014,9144" path="m0,0l1890014,0l1890014,9144l0,9144l0,0">
                  <v:stroke weight="0pt" endcap="flat" joinstyle="miter" miterlimit="10" on="false" color="#000000" opacity="0"/>
                  <v:fill on="true" color="#000000"/>
                </v:shape>
                <v:shape id="Shape 14716" style="position:absolute;width:91;height:91;left:1890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17" style="position:absolute;width:2651;height:91;left:18961;top:0;" coordsize="265176,9144" path="m0,0l265176,0l265176,9144l0,9144l0,0">
                  <v:stroke weight="0pt" endcap="flat" joinstyle="miter" miterlimit="10" on="false" color="#000000" opacity="0"/>
                  <v:fill on="true" color="#000000"/>
                </v:shape>
                <v:shape id="Shape 14718" style="position:absolute;width:91;height:91;left:21613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19" style="position:absolute;width:9832;height:91;left:21674;top:0;" coordsize="983285,9144" path="m0,0l983285,0l983285,9144l0,9144l0,0">
                  <v:stroke weight="0pt" endcap="flat" joinstyle="miter" miterlimit="10" on="false" color="#000000" opacity="0"/>
                  <v:fill on="true" color="#000000"/>
                </v:shape>
                <v:shape id="Shape 14720" style="position:absolute;width:91;height:91;left:31506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21" style="position:absolute;width:1356;height:91;left:31567;top:0;" coordsize="135636,9144" path="m0,0l135636,0l135636,9144l0,9144l0,0">
                  <v:stroke weight="0pt" endcap="flat" joinstyle="miter" miterlimit="10" on="false" color="#000000" opacity="0"/>
                  <v:fill on="true" color="#000000"/>
                </v:shape>
                <v:shape id="Shape 14722" style="position:absolute;width:91;height:91;left:3292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23" style="position:absolute;width:11628;height:91;left:32985;top:0;" coordsize="1162812,9144" path="m0,0l1162812,0l1162812,9144l0,9144l0,0">
                  <v:stroke weight="0pt" endcap="flat" joinstyle="miter" miterlimit="10" on="false" color="#000000" opacity="0"/>
                  <v:fill on="true" color="#000000"/>
                </v:shape>
                <v:shape id="Shape 14724" style="position:absolute;width:91;height:91;left:44613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25" style="position:absolute;width:1356;height:91;left:44674;top:0;" coordsize="135636,9144" path="m0,0l135636,0l135636,9144l0,9144l0,0">
                  <v:stroke weight="0pt" endcap="flat" joinstyle="miter" miterlimit="10" on="false" color="#000000" opacity="0"/>
                  <v:fill on="true" color="#000000"/>
                </v:shape>
                <v:shape id="Shape 14726" style="position:absolute;width:91;height:91;left:4603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27" style="position:absolute;width:10914;height:91;left:46091;top:0;" coordsize="1091489,9144" path="m0,0l1091489,0l1091489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8523" w:type="dxa"/>
        <w:tblInd w:w="42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394"/>
        <w:gridCol w:w="2475"/>
        <w:gridCol w:w="1875"/>
        <w:gridCol w:w="779"/>
      </w:tblGrid>
      <w:tr w:rsidR="006C3532">
        <w:trPr>
          <w:trHeight w:val="224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18" w:right="0" w:firstLine="0"/>
              <w:jc w:val="left"/>
            </w:pPr>
            <w:r>
              <w:t xml:space="preserve">Aktivované náklady na vývoj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950" w:right="0" w:firstLine="0"/>
              <w:jc w:val="left"/>
            </w:pPr>
            <w:r>
              <w:t xml:space="preserve">5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111" w:firstLine="0"/>
              <w:jc w:val="right"/>
            </w:pPr>
            <w:r>
              <w:t xml:space="preserve">20 </w:t>
            </w:r>
          </w:p>
        </w:tc>
      </w:tr>
      <w:tr w:rsidR="006C3532">
        <w:trPr>
          <w:trHeight w:val="250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18" w:right="0" w:firstLine="0"/>
              <w:jc w:val="left"/>
            </w:pPr>
            <w:r>
              <w:t xml:space="preserve">Softvér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950" w:right="0" w:firstLine="0"/>
              <w:jc w:val="left"/>
            </w:pPr>
            <w:r>
              <w:t xml:space="preserve">4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111" w:firstLine="0"/>
              <w:jc w:val="right"/>
            </w:pPr>
            <w:r>
              <w:t xml:space="preserve">25 </w:t>
            </w:r>
          </w:p>
        </w:tc>
      </w:tr>
      <w:tr w:rsidR="006C3532">
        <w:trPr>
          <w:trHeight w:val="247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97" w:right="0" w:firstLine="0"/>
              <w:jc w:val="left"/>
            </w:pPr>
            <w:r>
              <w:t xml:space="preserve">Oceniteľné práva (licencia)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950" w:right="0" w:firstLine="0"/>
              <w:jc w:val="left"/>
            </w:pPr>
            <w:r>
              <w:t xml:space="preserve">8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44" w:firstLine="0"/>
              <w:jc w:val="right"/>
            </w:pPr>
            <w:r>
              <w:t xml:space="preserve">12,5 </w:t>
            </w:r>
          </w:p>
        </w:tc>
      </w:tr>
      <w:tr w:rsidR="006C3532">
        <w:trPr>
          <w:trHeight w:val="637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190" w:line="259" w:lineRule="auto"/>
              <w:ind w:left="497" w:right="0" w:firstLine="0"/>
              <w:jc w:val="left"/>
            </w:pPr>
            <w:r>
              <w:t xml:space="preserve">Drobný dlhodobý nehmotný majetok </w:t>
            </w:r>
          </w:p>
          <w:p w:rsidR="006C3532" w:rsidRDefault="005432C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794" w:right="0" w:firstLine="0"/>
              <w:jc w:val="left"/>
            </w:pPr>
            <w:r>
              <w:t xml:space="preserve">rôzna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247" w:right="552" w:hanging="247"/>
              <w:jc w:val="left"/>
            </w:pPr>
            <w:r>
              <w:t xml:space="preserve">jednorazový odpis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65" w:firstLine="0"/>
              <w:jc w:val="right"/>
            </w:pPr>
            <w:r>
              <w:t xml:space="preserve">100 </w:t>
            </w:r>
          </w:p>
        </w:tc>
      </w:tr>
    </w:tbl>
    <w:p w:rsidR="006C3532" w:rsidRDefault="005432C6">
      <w:pPr>
        <w:ind w:left="355" w:right="0"/>
      </w:pPr>
      <w: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</w:t>
      </w:r>
      <w:r>
        <w:t xml:space="preserve"> hmotný majetok, ktorého obstarávacia cena (resp. vlastné náklady) je 1 700 EUR a nižšia, sa odpisuje jednorazovo pri uvedení do používania. Pozemky sa neodpisujú. Predpokladaná doba používania, metóda odpisovania a odpisová sadzba sú uvedené v nasledujúce</w:t>
      </w:r>
      <w:r>
        <w:t xml:space="preserve">j tabuľke: </w:t>
      </w:r>
    </w:p>
    <w:p w:rsidR="006C3532" w:rsidRDefault="005432C6">
      <w:pPr>
        <w:tabs>
          <w:tab w:val="center" w:pos="845"/>
          <w:tab w:val="center" w:pos="4746"/>
          <w:tab w:val="center" w:pos="6731"/>
          <w:tab w:val="center" w:pos="8573"/>
        </w:tabs>
        <w:spacing w:after="4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Predpokladaná </w:t>
      </w:r>
      <w:r>
        <w:tab/>
        <w:t xml:space="preserve">Metóda </w:t>
      </w:r>
      <w:r>
        <w:tab/>
        <w:t xml:space="preserve">Ročná odpisová </w:t>
      </w:r>
    </w:p>
    <w:p w:rsidR="006C3532" w:rsidRDefault="005432C6">
      <w:pPr>
        <w:tabs>
          <w:tab w:val="center" w:pos="845"/>
          <w:tab w:val="center" w:pos="4746"/>
          <w:tab w:val="center" w:pos="6732"/>
          <w:tab w:val="center" w:pos="8574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doba používania v </w:t>
      </w:r>
      <w:r>
        <w:tab/>
        <w:t xml:space="preserve">odpisovania </w:t>
      </w:r>
      <w:r>
        <w:tab/>
        <w:t xml:space="preserve">sadzba v % </w:t>
      </w:r>
    </w:p>
    <w:p w:rsidR="006C3532" w:rsidRDefault="005432C6">
      <w:pPr>
        <w:spacing w:after="0" w:line="259" w:lineRule="auto"/>
        <w:ind w:left="108" w:right="503"/>
        <w:jc w:val="center"/>
      </w:pPr>
      <w:r>
        <w:t xml:space="preserve">rokoch </w:t>
      </w:r>
    </w:p>
    <w:p w:rsidR="006C3532" w:rsidRDefault="005432C6">
      <w:pPr>
        <w:spacing w:after="8" w:line="259" w:lineRule="auto"/>
        <w:ind w:left="45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81778" cy="6096"/>
                <wp:effectExtent l="0" t="0" r="0" b="0"/>
                <wp:docPr id="11576" name="Group 115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1778" cy="6096"/>
                          <a:chOff x="0" y="0"/>
                          <a:chExt cx="5581778" cy="6096"/>
                        </a:xfrm>
                      </wpg:grpSpPr>
                      <wps:wsp>
                        <wps:cNvPr id="14728" name="Shape 14728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9" name="Shape 14729"/>
                        <wps:cNvSpPr/>
                        <wps:spPr>
                          <a:xfrm>
                            <a:off x="18900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0" name="Shape 14730"/>
                        <wps:cNvSpPr/>
                        <wps:spPr>
                          <a:xfrm>
                            <a:off x="1896186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1" name="Shape 14731"/>
                        <wps:cNvSpPr/>
                        <wps:spPr>
                          <a:xfrm>
                            <a:off x="1980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2" name="Shape 14732"/>
                        <wps:cNvSpPr/>
                        <wps:spPr>
                          <a:xfrm>
                            <a:off x="1986102" y="0"/>
                            <a:ext cx="12545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4557" h="9144">
                                <a:moveTo>
                                  <a:pt x="0" y="0"/>
                                </a:moveTo>
                                <a:lnTo>
                                  <a:pt x="1254557" y="0"/>
                                </a:lnTo>
                                <a:lnTo>
                                  <a:pt x="12545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3" name="Shape 14733"/>
                        <wps:cNvSpPr/>
                        <wps:spPr>
                          <a:xfrm>
                            <a:off x="32406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4" name="Shape 14734"/>
                        <wps:cNvSpPr/>
                        <wps:spPr>
                          <a:xfrm>
                            <a:off x="3246704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5" name="Shape 14735"/>
                        <wps:cNvSpPr/>
                        <wps:spPr>
                          <a:xfrm>
                            <a:off x="33305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6" name="Shape 14736"/>
                        <wps:cNvSpPr/>
                        <wps:spPr>
                          <a:xfrm>
                            <a:off x="3336620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7" name="Shape 14737"/>
                        <wps:cNvSpPr/>
                        <wps:spPr>
                          <a:xfrm>
                            <a:off x="44110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8" name="Shape 14738"/>
                        <wps:cNvSpPr/>
                        <wps:spPr>
                          <a:xfrm>
                            <a:off x="4417136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9" name="Shape 14739"/>
                        <wps:cNvSpPr/>
                        <wps:spPr>
                          <a:xfrm>
                            <a:off x="450095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0" name="Shape 14740"/>
                        <wps:cNvSpPr/>
                        <wps:spPr>
                          <a:xfrm>
                            <a:off x="4507053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576" style="width:439.51pt;height:0.480011pt;mso-position-horizontal-relative:char;mso-position-vertical-relative:line" coordsize="55817,60">
                <v:shape id="Shape 14741" style="position:absolute;width:18900;height:91;left:0;top:0;" coordsize="1890014,9144" path="m0,0l1890014,0l1890014,9144l0,9144l0,0">
                  <v:stroke weight="0pt" endcap="flat" joinstyle="miter" miterlimit="10" on="false" color="#000000" opacity="0"/>
                  <v:fill on="true" color="#000000"/>
                </v:shape>
                <v:shape id="Shape 14742" style="position:absolute;width:91;height:91;left:1890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43" style="position:absolute;width:838;height:91;left:18961;top:0;" coordsize="83820,9144" path="m0,0l83820,0l83820,9144l0,9144l0,0">
                  <v:stroke weight="0pt" endcap="flat" joinstyle="miter" miterlimit="10" on="false" color="#000000" opacity="0"/>
                  <v:fill on="true" color="#000000"/>
                </v:shape>
                <v:shape id="Shape 14744" style="position:absolute;width:91;height:91;left:1980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45" style="position:absolute;width:12545;height:91;left:19861;top:0;" coordsize="1254557,9144" path="m0,0l1254557,0l1254557,9144l0,9144l0,0">
                  <v:stroke weight="0pt" endcap="flat" joinstyle="miter" miterlimit="10" on="false" color="#000000" opacity="0"/>
                  <v:fill on="true" color="#000000"/>
                </v:shape>
                <v:shape id="Shape 14746" style="position:absolute;width:91;height:91;left:32406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47" style="position:absolute;width:838;height:91;left:32467;top:0;" coordsize="83820,9144" path="m0,0l83820,0l83820,9144l0,9144l0,0">
                  <v:stroke weight="0pt" endcap="flat" joinstyle="miter" miterlimit="10" on="false" color="#000000" opacity="0"/>
                  <v:fill on="true" color="#000000"/>
                </v:shape>
                <v:shape id="Shape 14748" style="position:absolute;width:91;height:91;left:3330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49" style="position:absolute;width:10744;height:91;left:33366;top:0;" coordsize="1074420,9144" path="m0,0l1074420,0l1074420,9144l0,9144l0,0">
                  <v:stroke weight="0pt" endcap="flat" joinstyle="miter" miterlimit="10" on="false" color="#000000" opacity="0"/>
                  <v:fill on="true" color="#000000"/>
                </v:shape>
                <v:shape id="Shape 14750" style="position:absolute;width:91;height:91;left:441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51" style="position:absolute;width:838;height:91;left:44171;top:0;" coordsize="83820,9144" path="m0,0l83820,0l83820,9144l0,9144l0,0">
                  <v:stroke weight="0pt" endcap="flat" joinstyle="miter" miterlimit="10" on="false" color="#000000" opacity="0"/>
                  <v:fill on="true" color="#000000"/>
                </v:shape>
                <v:shape id="Shape 14752" style="position:absolute;width:91;height:91;left:4500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753" style="position:absolute;width:10747;height:91;left:45070;top:0;" coordsize="1074725,9144" path="m0,0l1074725,0l107472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8946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086"/>
        <w:gridCol w:w="2201"/>
        <w:gridCol w:w="1709"/>
        <w:gridCol w:w="950"/>
      </w:tblGrid>
      <w:tr w:rsidR="006C3532">
        <w:trPr>
          <w:trHeight w:val="224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845" w:right="0" w:firstLine="0"/>
              <w:jc w:val="left"/>
            </w:pPr>
            <w:r>
              <w:t xml:space="preserve">Stavby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569" w:right="0" w:firstLine="0"/>
              <w:jc w:val="left"/>
            </w:pPr>
            <w:r>
              <w:t xml:space="preserve">30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206" w:right="0" w:firstLine="0"/>
              <w:jc w:val="center"/>
            </w:pPr>
            <w:r>
              <w:t xml:space="preserve">3 </w:t>
            </w:r>
          </w:p>
        </w:tc>
      </w:tr>
      <w:tr w:rsidR="006C3532">
        <w:trPr>
          <w:trHeight w:val="250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845" w:right="0" w:firstLine="0"/>
              <w:jc w:val="left"/>
            </w:pPr>
            <w:r>
              <w:t xml:space="preserve">Stroje, prístroje a zariadenia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398" w:right="0" w:firstLine="0"/>
              <w:jc w:val="left"/>
            </w:pPr>
            <w:r>
              <w:t xml:space="preserve">4 až 12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44" w:firstLine="0"/>
              <w:jc w:val="right"/>
            </w:pPr>
            <w:r>
              <w:t xml:space="preserve">8,3 až 25 </w:t>
            </w:r>
          </w:p>
        </w:tc>
      </w:tr>
      <w:tr w:rsidR="006C3532">
        <w:trPr>
          <w:trHeight w:val="250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845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44" w:right="0" w:firstLine="0"/>
              <w:jc w:val="left"/>
            </w:pPr>
            <w:r>
              <w:t xml:space="preserve">4 až 6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15AC1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  <w:r w:rsidR="00DB1501">
              <w:t>lineárna</w:t>
            </w:r>
            <w:r w:rsidR="005432C6">
              <w:t xml:space="preserve">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0" w:right="65" w:firstLine="0"/>
              <w:jc w:val="right"/>
            </w:pPr>
            <w:r>
              <w:t xml:space="preserve">16 až 25 </w:t>
            </w:r>
          </w:p>
        </w:tc>
      </w:tr>
      <w:tr w:rsidR="006C3532">
        <w:trPr>
          <w:trHeight w:val="1052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190" w:line="259" w:lineRule="auto"/>
              <w:ind w:left="97" w:right="0" w:firstLine="0"/>
              <w:jc w:val="center"/>
            </w:pPr>
            <w:r>
              <w:t xml:space="preserve">Drobný dlhodobý hmotný majetok </w:t>
            </w:r>
          </w:p>
          <w:p w:rsidR="006C3532" w:rsidRDefault="005432C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6C3532" w:rsidRDefault="005432C6">
            <w:pPr>
              <w:spacing w:after="16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6C3532" w:rsidRDefault="005432C6">
            <w:pPr>
              <w:spacing w:after="0" w:line="259" w:lineRule="auto"/>
              <w:ind w:left="360" w:right="0" w:firstLine="0"/>
              <w:jc w:val="left"/>
            </w:pPr>
            <w:r>
              <w:rPr>
                <w:b/>
              </w:rPr>
              <w:t xml:space="preserve">3.Cenné papiere a podiely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458" w:right="0" w:firstLine="0"/>
              <w:jc w:val="left"/>
            </w:pPr>
            <w:r>
              <w:t xml:space="preserve">rôzna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247" w:right="386" w:hanging="247"/>
              <w:jc w:val="left"/>
            </w:pPr>
            <w:r>
              <w:t xml:space="preserve">jednorazový odpis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:rsidR="006C3532" w:rsidRDefault="005432C6">
            <w:pPr>
              <w:spacing w:after="0" w:line="259" w:lineRule="auto"/>
              <w:ind w:left="206" w:right="0" w:firstLine="0"/>
              <w:jc w:val="center"/>
            </w:pPr>
            <w:r>
              <w:t xml:space="preserve">100 </w:t>
            </w:r>
          </w:p>
        </w:tc>
      </w:tr>
    </w:tbl>
    <w:p w:rsidR="006C3532" w:rsidRDefault="005432C6">
      <w:pPr>
        <w:ind w:left="355" w:right="0"/>
      </w:pPr>
      <w:r>
        <w:t xml:space="preserve">Cenné papiere a podiely sa oceňujú obstarávacími cenami vrátane nákladov súvisiacich s </w:t>
      </w:r>
      <w:r>
        <w:t xml:space="preserve">obstaraním. Od obstarávacej ceny je odpočítané zníženie hodnoty cenných papierov a podielov.  </w:t>
      </w:r>
    </w:p>
    <w:p w:rsidR="006C3532" w:rsidRDefault="005432C6">
      <w:pPr>
        <w:spacing w:after="11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4.Zásoby  </w:t>
      </w:r>
    </w:p>
    <w:p w:rsidR="006C3532" w:rsidRDefault="005432C6">
      <w:pPr>
        <w:ind w:left="355" w:right="0"/>
      </w:pPr>
      <w:r>
        <w:t>Zásoby sa oceňujú nižšou z nasledujúcich hodnôt: obstarávacou cenou (nakupované zásoby) alebo vlastnými nákladmi (zásoby vytvorené vlastnou činnosťo</w:t>
      </w:r>
      <w:r>
        <w:t xml:space="preserve">u) alebo čistou realizačnou hodnotou. </w:t>
      </w:r>
    </w:p>
    <w:p w:rsidR="006C3532" w:rsidRDefault="005432C6">
      <w:pPr>
        <w:ind w:left="355" w:right="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</w:t>
      </w:r>
      <w:r>
        <w:t xml:space="preserve">ritmetickým priemerom z obstarávacích cien. </w:t>
      </w:r>
    </w:p>
    <w:p w:rsidR="006C3532" w:rsidRDefault="006C3532">
      <w:pPr>
        <w:spacing w:after="16" w:line="259" w:lineRule="auto"/>
        <w:ind w:left="428" w:right="0" w:firstLine="0"/>
        <w:jc w:val="left"/>
      </w:pPr>
    </w:p>
    <w:p w:rsidR="006C3532" w:rsidRDefault="005432C6">
      <w:pPr>
        <w:ind w:left="355" w:right="0"/>
      </w:pPr>
      <w:r>
        <w:t xml:space="preserve">Zníženie hodnoty zásob sa upravuje vytvorením opravnej položky. </w:t>
      </w:r>
    </w:p>
    <w:p w:rsidR="00515AC1" w:rsidRDefault="00515AC1">
      <w:pPr>
        <w:pStyle w:val="Nadpis1"/>
        <w:numPr>
          <w:ilvl w:val="0"/>
          <w:numId w:val="0"/>
        </w:numPr>
        <w:ind w:left="370" w:right="401"/>
      </w:pP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5.Pohľadávky </w:t>
      </w:r>
    </w:p>
    <w:p w:rsidR="006C3532" w:rsidRDefault="005432C6">
      <w:pPr>
        <w:ind w:left="355" w:right="0"/>
      </w:pPr>
      <w:r>
        <w:t>Pohľadávky pri</w:t>
      </w:r>
      <w:r>
        <w:t xml:space="preserve">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</w:t>
      </w:r>
      <w:r>
        <w:t xml:space="preserve">y. </w:t>
      </w:r>
    </w:p>
    <w:p w:rsidR="006C3532" w:rsidRDefault="005432C6">
      <w:pPr>
        <w:spacing w:after="19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10" w:line="262" w:lineRule="auto"/>
        <w:ind w:left="370" w:right="401"/>
        <w:jc w:val="left"/>
      </w:pPr>
      <w:r>
        <w:rPr>
          <w:b/>
        </w:rPr>
        <w:t xml:space="preserve">6.Peňažné prostriedky a ceniny </w:t>
      </w:r>
    </w:p>
    <w:p w:rsidR="006C3532" w:rsidRDefault="005432C6">
      <w:pPr>
        <w:ind w:left="355" w:right="0"/>
      </w:pPr>
      <w:r>
        <w:t xml:space="preserve">Peňažné prostriedky a ceniny sa oceňujú ich menovitou hodnotou. Zníženie ich hodnoty sa vyjadruje opravnou položkou. </w:t>
      </w:r>
    </w:p>
    <w:p w:rsidR="006C3532" w:rsidRDefault="005432C6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20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7.Náklady budúcich období a príjmy budúcich období </w:t>
      </w:r>
    </w:p>
    <w:p w:rsidR="006C3532" w:rsidRDefault="005432C6">
      <w:pPr>
        <w:ind w:left="355" w:right="0"/>
      </w:pPr>
      <w:r>
        <w:t>Náklady budúcich období a príjmy budúcich ob</w:t>
      </w:r>
      <w:r>
        <w:t xml:space="preserve">dobí sa vykazujú vo výške, ktorá je potrebná na dodržanie zásady vecnej a časovej súvislosti s účtovným obdobím. </w:t>
      </w:r>
    </w:p>
    <w:p w:rsidR="006C3532" w:rsidRDefault="005432C6">
      <w:pPr>
        <w:spacing w:after="0" w:line="259" w:lineRule="auto"/>
        <w:ind w:left="428" w:right="0" w:firstLine="0"/>
        <w:jc w:val="left"/>
      </w:pPr>
      <w:r>
        <w:lastRenderedPageBreak/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8.Rezervy </w:t>
      </w:r>
    </w:p>
    <w:p w:rsidR="006C3532" w:rsidRDefault="005432C6">
      <w:pPr>
        <w:ind w:left="355" w:right="0"/>
      </w:pPr>
      <w:r>
        <w:t xml:space="preserve">Rezervy sú záväzky s </w:t>
      </w:r>
      <w:r>
        <w:t xml:space="preserve">neurčitým časovým vymedzením alebo výškou; tvoria sa na krytie známych rizík alebo strát z podnikania. Oceňujú sa v očakávanej výške záväzku. </w:t>
      </w:r>
    </w:p>
    <w:p w:rsidR="006C3532" w:rsidRDefault="005432C6">
      <w:pPr>
        <w:spacing w:after="11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9.Záväzky </w:t>
      </w:r>
    </w:p>
    <w:p w:rsidR="006C3532" w:rsidRDefault="005432C6">
      <w:pPr>
        <w:ind w:left="355" w:right="0"/>
      </w:pPr>
      <w:r>
        <w:t>Záväzky pri ich vzniku sa oceňujú menovitou hodnotou. Záväzky pri ich prevzatí sa oceňujú obstarávac</w:t>
      </w:r>
      <w:r>
        <w:t xml:space="preserve">ou cenou. Ak sa pri inventarizácii zistí, že suma záväzkov je iná ako ich výška v účtovníctve, uvedú sa záväzky v účtovníctve a v účtovnej závierke v tomto zistenom ocenení. </w:t>
      </w:r>
      <w:r>
        <w:rPr>
          <w:sz w:val="24"/>
        </w:rPr>
        <w:t xml:space="preserve"> </w:t>
      </w:r>
    </w:p>
    <w:p w:rsidR="006C3532" w:rsidRDefault="005432C6">
      <w:pPr>
        <w:spacing w:after="15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10.Odložené dane </w:t>
      </w:r>
    </w:p>
    <w:p w:rsidR="00515AC1" w:rsidRDefault="005432C6">
      <w:pPr>
        <w:ind w:left="1065" w:right="0" w:hanging="720"/>
      </w:pPr>
      <w:r>
        <w:t xml:space="preserve">Odložené dane (odložená daňová pohľadávka a odložený daňový </w:t>
      </w:r>
      <w:r>
        <w:t>záväzok) sa vzťahujú na:  dočasné rozdiely medzi účtovnou</w:t>
      </w:r>
    </w:p>
    <w:p w:rsidR="00515AC1" w:rsidRDefault="005432C6" w:rsidP="00515AC1">
      <w:pPr>
        <w:ind w:left="1065" w:right="0" w:hanging="720"/>
      </w:pPr>
      <w:r>
        <w:t xml:space="preserve">hodnotou majetku a účtovnou hodnotou záväzkov vykázanou v súvahe a ich daňovou základňou, </w:t>
      </w:r>
      <w:r>
        <w:t>možnosť umorovať daňovú stratu</w:t>
      </w:r>
    </w:p>
    <w:p w:rsidR="00515AC1" w:rsidRDefault="00515AC1" w:rsidP="00515AC1">
      <w:pPr>
        <w:ind w:left="1065" w:right="0" w:hanging="720"/>
      </w:pPr>
      <w:r>
        <w:t>v budúcnosti, ktorou sa rozumie možnosť odpočítať daňovú stratu od základu dane v budúcnosti, možnosť previesť nevyužité daňové</w:t>
      </w:r>
    </w:p>
    <w:p w:rsidR="00515AC1" w:rsidRDefault="00515AC1" w:rsidP="00515AC1">
      <w:pPr>
        <w:ind w:left="1065" w:right="0" w:hanging="720"/>
      </w:pPr>
      <w:r>
        <w:t xml:space="preserve">odpočty a iné daňové nároky do budúcich období. </w:t>
      </w:r>
    </w:p>
    <w:p w:rsidR="00515AC1" w:rsidRDefault="00515AC1" w:rsidP="00515AC1">
      <w:pPr>
        <w:spacing w:after="20" w:line="259" w:lineRule="auto"/>
        <w:ind w:left="428" w:right="0" w:firstLine="0"/>
        <w:jc w:val="left"/>
      </w:pPr>
      <w:r>
        <w:t xml:space="preserve"> </w:t>
      </w:r>
    </w:p>
    <w:p w:rsidR="00515AC1" w:rsidRDefault="00515AC1">
      <w:pPr>
        <w:pStyle w:val="Nadpis1"/>
        <w:numPr>
          <w:ilvl w:val="0"/>
          <w:numId w:val="0"/>
        </w:numPr>
        <w:ind w:left="370" w:right="401"/>
      </w:pP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>1</w:t>
      </w:r>
      <w:r>
        <w:t xml:space="preserve">1.Výdavky budúcich období a výnosy budúcich období </w:t>
      </w:r>
    </w:p>
    <w:p w:rsidR="006C3532" w:rsidRDefault="005432C6">
      <w:pPr>
        <w:ind w:left="355" w:right="0"/>
      </w:pPr>
      <w:r>
        <w:t>Výdavky budúcich období a výnosy budúcich období sa vykazujú vo výške, ktorá je potrebná na dodržani</w:t>
      </w:r>
      <w:r>
        <w:t xml:space="preserve">e zásady vecnej a časovej súvislosti s účtovným obdobím. </w:t>
      </w:r>
    </w:p>
    <w:p w:rsidR="006C3532" w:rsidRDefault="005432C6">
      <w:pPr>
        <w:spacing w:after="0" w:line="259" w:lineRule="auto"/>
        <w:ind w:left="428" w:right="0" w:firstLine="0"/>
        <w:jc w:val="left"/>
      </w:pPr>
      <w:r>
        <w:rPr>
          <w:sz w:val="16"/>
        </w:rP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12.Cudzia mena </w:t>
      </w:r>
    </w:p>
    <w:p w:rsidR="006C3532" w:rsidRDefault="005432C6">
      <w:pPr>
        <w:ind w:left="355" w:right="0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</w:t>
      </w:r>
      <w:r>
        <w:t xml:space="preserve"> účtovného prípadu.  </w:t>
      </w:r>
    </w:p>
    <w:p w:rsidR="006C3532" w:rsidRDefault="005432C6">
      <w:pPr>
        <w:spacing w:after="4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</w:t>
      </w:r>
      <w:r>
        <w:t xml:space="preserve">nou bankou alebo Národnou bankou Slovenska v deň, ku ktorému sa zostavuje účtovná závierka, a účtujú sa s vplyvom na výsledok hospodárenia. 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Prijaté a poskytnuté preddavky v cudzej mene prostredníctvom účtu vedeného v tejto cudzej mene sa prepočítavajú </w:t>
      </w:r>
      <w:r>
        <w:t xml:space="preserve">na menu euro referenčným výmenným kurzom určeným a vyhláseným Európskou centrálnou bankou alebo Národnou bankou Slovenska v deň predchádzajúci dňu uskutočnenia účtovného prípadu.  </w:t>
      </w:r>
    </w:p>
    <w:p w:rsidR="006C3532" w:rsidRDefault="005432C6">
      <w:pPr>
        <w:spacing w:after="15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Prijaté a poskytnuté preddavky v cudzej mene na účet zriadený v eurách a </w:t>
      </w:r>
      <w:r>
        <w:t xml:space="preserve">z účtu zriadeného v eurách sa prepočítavajú na menu euro kurzom, za ktorý boli tieto hodnoty nakúpené alebo predané.  </w:t>
      </w:r>
    </w:p>
    <w:p w:rsidR="006C3532" w:rsidRDefault="005432C6">
      <w:pPr>
        <w:spacing w:after="14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Prijaté a poskytnuté preddavky sa ku dňu, ku ktorému sa zostavuje účtovná závierka, na menu euro už neprepočítavajú.  </w:t>
      </w:r>
    </w:p>
    <w:p w:rsidR="006C3532" w:rsidRDefault="005432C6">
      <w:pPr>
        <w:spacing w:after="7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ind w:left="370" w:right="401"/>
      </w:pPr>
      <w:r>
        <w:t xml:space="preserve">13.Výnosy </w:t>
      </w:r>
    </w:p>
    <w:p w:rsidR="006C3532" w:rsidRDefault="005432C6">
      <w:pPr>
        <w:ind w:left="355" w:right="0"/>
      </w:pPr>
      <w:r>
        <w:t>Trž</w:t>
      </w:r>
      <w:r>
        <w:t xml:space="preserve">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6C3532" w:rsidRDefault="005432C6">
      <w:pPr>
        <w:spacing w:after="17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10" w:line="262" w:lineRule="auto"/>
        <w:ind w:left="370" w:right="401"/>
        <w:jc w:val="left"/>
      </w:pPr>
      <w:r>
        <w:rPr>
          <w:b/>
        </w:rPr>
        <w:t>14.</w:t>
      </w:r>
      <w:r>
        <w:rPr>
          <w:b/>
        </w:rPr>
        <w:t xml:space="preserve">Opravy významných chýb minulých období </w:t>
      </w:r>
    </w:p>
    <w:p w:rsidR="006C3532" w:rsidRDefault="005432C6">
      <w:pPr>
        <w:spacing w:after="10" w:line="262" w:lineRule="auto"/>
        <w:ind w:left="370" w:right="401"/>
        <w:jc w:val="left"/>
      </w:pPr>
      <w:r>
        <w:rPr>
          <w:b/>
        </w:rPr>
        <w:t xml:space="preserve">ČL.III.  INFORMÁCIE, KTORÉ VYSVETĽUJÚ A DOPĽŇAJÚ SÚVAHU A VÝKAZ ZISKOV A STRÁT </w:t>
      </w:r>
    </w:p>
    <w:p w:rsidR="006C3532" w:rsidRDefault="005432C6">
      <w:pPr>
        <w:spacing w:after="23" w:line="259" w:lineRule="auto"/>
        <w:ind w:left="0" w:right="0" w:firstLine="0"/>
        <w:jc w:val="left"/>
      </w:pPr>
      <w:r>
        <w:rPr>
          <w:sz w:val="16"/>
        </w:rPr>
        <w:t xml:space="preserve"> </w:t>
      </w:r>
    </w:p>
    <w:p w:rsidR="006C3532" w:rsidRDefault="005432C6">
      <w:pPr>
        <w:pStyle w:val="Nadpis1"/>
        <w:ind w:left="345" w:right="401" w:hanging="360"/>
      </w:pPr>
      <w:r>
        <w:t xml:space="preserve">Záväzky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Štruktúra záväzkov (okrem bankových úverov) podľa zostatkovej doby splatnosti je uvedená v nasledujúcom prehľade: </w:t>
      </w:r>
    </w:p>
    <w:p w:rsidR="006C3532" w:rsidRDefault="005432C6">
      <w:pPr>
        <w:spacing w:after="20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tabs>
          <w:tab w:val="center" w:pos="6510"/>
          <w:tab w:val="center" w:pos="8421"/>
        </w:tabs>
        <w:spacing w:after="22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9"/>
        </w:rPr>
        <w:t>31. 12. 201</w:t>
      </w:r>
      <w:r w:rsidR="00DB1501">
        <w:rPr>
          <w:sz w:val="19"/>
        </w:rPr>
        <w:t>8</w:t>
      </w:r>
      <w:r>
        <w:rPr>
          <w:sz w:val="19"/>
        </w:rPr>
        <w:tab/>
      </w:r>
    </w:p>
    <w:p w:rsidR="006C3532" w:rsidRDefault="005432C6">
      <w:pPr>
        <w:spacing w:after="310" w:line="259" w:lineRule="auto"/>
        <w:ind w:left="429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11429" cy="10007"/>
                <wp:effectExtent l="0" t="0" r="0" b="0"/>
                <wp:docPr id="10952" name="Group 109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1429" cy="10007"/>
                          <a:chOff x="0" y="0"/>
                          <a:chExt cx="5611429" cy="10007"/>
                        </a:xfrm>
                      </wpg:grpSpPr>
                      <wps:wsp>
                        <wps:cNvPr id="1399" name="Shape 1399"/>
                        <wps:cNvSpPr/>
                        <wps:spPr>
                          <a:xfrm>
                            <a:off x="5046" y="4937"/>
                            <a:ext cx="5601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1403">
                                <a:moveTo>
                                  <a:pt x="0" y="0"/>
                                </a:moveTo>
                                <a:lnTo>
                                  <a:pt x="5601403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4" name="Shape 14754"/>
                        <wps:cNvSpPr/>
                        <wps:spPr>
                          <a:xfrm>
                            <a:off x="0" y="0"/>
                            <a:ext cx="5611429" cy="10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1429" h="10007">
                                <a:moveTo>
                                  <a:pt x="0" y="0"/>
                                </a:moveTo>
                                <a:lnTo>
                                  <a:pt x="5611429" y="0"/>
                                </a:lnTo>
                                <a:lnTo>
                                  <a:pt x="5611429" y="10007"/>
                                </a:lnTo>
                                <a:lnTo>
                                  <a:pt x="0" y="100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952" style="width:441.845pt;height:0.787979pt;mso-position-horizontal-relative:char;mso-position-vertical-relative:line" coordsize="56114,100">
                <v:shape id="Shape 1399" style="position:absolute;width:56014;height:0;left:50;top:49;" coordsize="5601403,0" path="m0,0l5601403,0">
                  <v:stroke weight="0.787991pt" endcap="square" joinstyle="round" on="true" color="#000000"/>
                  <v:fill on="false" color="#000000" opacity="0"/>
                </v:shape>
                <v:shape id="Shape 14755" style="position:absolute;width:56114;height:100;left:0;top:0;" coordsize="5611429,10007" path="m0,0l5611429,0l5611429,10007l0,1000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p w:rsidR="00515AC1" w:rsidRDefault="005432C6">
      <w:pPr>
        <w:spacing w:after="8" w:line="271" w:lineRule="auto"/>
        <w:ind w:left="471" w:right="632"/>
        <w:jc w:val="left"/>
        <w:rPr>
          <w:sz w:val="19"/>
        </w:rPr>
      </w:pPr>
      <w:r>
        <w:rPr>
          <w:sz w:val="19"/>
        </w:rPr>
        <w:t xml:space="preserve">Záväzky so zostatkovou dobou splatnosti jeden rok až </w:t>
      </w:r>
      <w:r>
        <w:rPr>
          <w:sz w:val="19"/>
        </w:rPr>
        <w:tab/>
      </w:r>
    </w:p>
    <w:p w:rsidR="006C3532" w:rsidRDefault="00515AC1">
      <w:pPr>
        <w:spacing w:after="8" w:line="271" w:lineRule="auto"/>
        <w:ind w:left="471" w:right="632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3589020</wp:posOffset>
                </wp:positionH>
                <wp:positionV relativeFrom="paragraph">
                  <wp:posOffset>137160</wp:posOffset>
                </wp:positionV>
                <wp:extent cx="2283460" cy="338455"/>
                <wp:effectExtent l="19050" t="0" r="0" b="23495"/>
                <wp:wrapSquare wrapText="bothSides"/>
                <wp:docPr id="10953" name="Group 109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83460" cy="338455"/>
                          <a:chOff x="0" y="0"/>
                          <a:chExt cx="2285187" cy="338912"/>
                        </a:xfrm>
                      </wpg:grpSpPr>
                      <wps:wsp>
                        <wps:cNvPr id="1394" name="Rectangle 1394"/>
                        <wps:cNvSpPr/>
                        <wps:spPr>
                          <a:xfrm>
                            <a:off x="991083" y="0"/>
                            <a:ext cx="80985" cy="1777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C3532" w:rsidRDefault="005432C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5" name="Rectangle 1395"/>
                        <wps:cNvSpPr/>
                        <wps:spPr>
                          <a:xfrm>
                            <a:off x="2204202" y="0"/>
                            <a:ext cx="80985" cy="1777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C3532" w:rsidRDefault="006C3532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7" name="Rectangle 1397"/>
                        <wps:cNvSpPr/>
                        <wps:spPr>
                          <a:xfrm>
                            <a:off x="991083" y="161120"/>
                            <a:ext cx="80985" cy="1777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C3532" w:rsidRDefault="005432C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8" name="Rectangle 1398"/>
                        <wps:cNvSpPr/>
                        <wps:spPr>
                          <a:xfrm>
                            <a:off x="2204202" y="161120"/>
                            <a:ext cx="80985" cy="1777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C3532" w:rsidRDefault="006C3532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1" name="Shape 1401"/>
                        <wps:cNvSpPr/>
                        <wps:spPr>
                          <a:xfrm>
                            <a:off x="4979" y="142954"/>
                            <a:ext cx="10718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24">
                                <a:moveTo>
                                  <a:pt x="0" y="0"/>
                                </a:moveTo>
                                <a:lnTo>
                                  <a:pt x="1071824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6" name="Shape 14756"/>
                        <wps:cNvSpPr/>
                        <wps:spPr>
                          <a:xfrm>
                            <a:off x="0" y="137951"/>
                            <a:ext cx="1081915" cy="10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1915" h="10008">
                                <a:moveTo>
                                  <a:pt x="0" y="0"/>
                                </a:moveTo>
                                <a:lnTo>
                                  <a:pt x="1081915" y="0"/>
                                </a:lnTo>
                                <a:lnTo>
                                  <a:pt x="1081915" y="10008"/>
                                </a:lnTo>
                                <a:lnTo>
                                  <a:pt x="0" y="100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5" name="Shape 1405"/>
                        <wps:cNvSpPr/>
                        <wps:spPr>
                          <a:xfrm>
                            <a:off x="15475" y="304075"/>
                            <a:ext cx="105123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235">
                                <a:moveTo>
                                  <a:pt x="0" y="0"/>
                                </a:moveTo>
                                <a:lnTo>
                                  <a:pt x="1051235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8" name="Shape 14758"/>
                        <wps:cNvSpPr/>
                        <wps:spPr>
                          <a:xfrm>
                            <a:off x="10361" y="299071"/>
                            <a:ext cx="1061395" cy="10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1395" h="10007">
                                <a:moveTo>
                                  <a:pt x="0" y="0"/>
                                </a:moveTo>
                                <a:lnTo>
                                  <a:pt x="1061395" y="0"/>
                                </a:lnTo>
                                <a:lnTo>
                                  <a:pt x="1061395" y="10007"/>
                                </a:lnTo>
                                <a:lnTo>
                                  <a:pt x="0" y="100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" name="Shape 1407"/>
                        <wps:cNvSpPr/>
                        <wps:spPr>
                          <a:xfrm>
                            <a:off x="15475" y="324090"/>
                            <a:ext cx="105123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235">
                                <a:moveTo>
                                  <a:pt x="0" y="0"/>
                                </a:moveTo>
                                <a:lnTo>
                                  <a:pt x="1051235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9" name="Shape 14759"/>
                        <wps:cNvSpPr/>
                        <wps:spPr>
                          <a:xfrm>
                            <a:off x="10361" y="319086"/>
                            <a:ext cx="1061395" cy="10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1395" h="10008">
                                <a:moveTo>
                                  <a:pt x="0" y="0"/>
                                </a:moveTo>
                                <a:lnTo>
                                  <a:pt x="1061395" y="0"/>
                                </a:lnTo>
                                <a:lnTo>
                                  <a:pt x="1061395" y="10008"/>
                                </a:lnTo>
                                <a:lnTo>
                                  <a:pt x="0" y="100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0953" o:spid="_x0000_s1026" style="position:absolute;left:0;text-align:left;margin-left:282.6pt;margin-top:10.8pt;width:179.8pt;height:26.65pt;z-index:251658240;mso-width-relative:margin;mso-height-relative:margin" coordsize="22851,3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">
                <v:rect id="Rectangle 1394" o:spid="_x0000_s1027" style="position:absolute;left:9910;width:810;height:17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1hxxAAAAN0AAAAPAAAAZHJzL2Rvd25yZXYueG1sRE9La8JA&#10;EL4L/odlBG+6qYq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OW/WHHEAAAA3QAAAA8A&#10;AAAAAAAAAAAAAAAABwIAAGRycy9kb3ducmV2LnhtbFBLBQYAAAAAAwADALcAAAD4AgAAAAA=&#10;" filled="f" stroked="f">
                  <v:textbox inset="0,0,0,0">
                    <w:txbxContent>
                      <w:p w:rsidR="006C3532" w:rsidRDefault="005432C6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9"/>
                          </w:rPr>
                          <w:t>0</w:t>
                        </w:r>
                      </w:p>
                    </w:txbxContent>
                  </v:textbox>
                </v:rect>
                <v:rect id="Rectangle 1395" o:spid="_x0000_s1028" style="position:absolute;left:22042;width:809;height:17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8/3q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Irz/erEAAAA3QAAAA8A&#10;AAAAAAAAAAAAAAAABwIAAGRycy9kb3ducmV2LnhtbFBLBQYAAAAAAwADALcAAAD4AgAAAAA=&#10;" filled="f" stroked="f">
                  <v:textbox inset="0,0,0,0">
                    <w:txbxContent>
                      <w:p w:rsidR="006C3532" w:rsidRDefault="006C3532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rect id="Rectangle 1397" o:spid="_x0000_s1029" style="position:absolute;left:9910;top:1611;width:810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" filled="f" stroked="f">
                  <v:textbox inset="0,0,0,0">
                    <w:txbxContent>
                      <w:p w:rsidR="006C3532" w:rsidRDefault="005432C6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9"/>
                          </w:rPr>
                          <w:t>0</w:t>
                        </w:r>
                      </w:p>
                    </w:txbxContent>
                  </v:textbox>
                </v:rect>
                <v:rect id="Rectangle 1398" o:spid="_x0000_s1030" style="position:absolute;left:22042;top:1611;width:809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" filled="f" stroked="f">
                  <v:textbox inset="0,0,0,0">
                    <w:txbxContent>
                      <w:p w:rsidR="006C3532" w:rsidRDefault="006C3532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shape id="Shape 1401" o:spid="_x0000_s1031" style="position:absolute;left:49;top:1429;width:10719;height:0;visibility:visible;mso-wrap-style:square;v-text-anchor:top" coordsize="10718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" path="m,l1071824,e" filled="f" strokeweight=".27797mm">
                  <v:stroke endcap="square"/>
                  <v:path arrowok="t" textboxrect="0,0,1071824,0"/>
                </v:shape>
                <v:shape id="Shape 14756" o:spid="_x0000_s1032" style="position:absolute;top:1379;width:10819;height:100;visibility:visible;mso-wrap-style:square;v-text-anchor:top" coordsize="1081915,10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" path="m,l1081915,r,10008l,10008,,e" fillcolor="black" stroked="f" strokeweight="0">
                  <v:stroke endcap="square"/>
                  <v:path arrowok="t" textboxrect="0,0,1081915,10008"/>
                </v:shape>
                <v:shape id="Shape 1405" o:spid="_x0000_s1033" style="position:absolute;left:154;top:3040;width:10513;height:0;visibility:visible;mso-wrap-style:square;v-text-anchor:top" coordsize="105123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" path="m,l1051235,e" filled="f" strokeweight=".27797mm">
                  <v:stroke endcap="square"/>
                  <v:path arrowok="t" textboxrect="0,0,1051235,0"/>
                </v:shape>
                <v:shape id="Shape 14758" o:spid="_x0000_s1034" style="position:absolute;left:103;top:2990;width:10614;height:100;visibility:visible;mso-wrap-style:square;v-text-anchor:top" coordsize="1061395,10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" path="m,l1061395,r,10007l,10007,,e" fillcolor="black" stroked="f" strokeweight="0">
                  <v:stroke endcap="square"/>
                  <v:path arrowok="t" textboxrect="0,0,1061395,10007"/>
                </v:shape>
                <v:shape id="Shape 1407" o:spid="_x0000_s1035" style="position:absolute;left:154;top:3240;width:10513;height:0;visibility:visible;mso-wrap-style:square;v-text-anchor:top" coordsize="105123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" path="m,l1051235,e" filled="f" strokeweight=".27797mm">
                  <v:stroke endcap="square"/>
                  <v:path arrowok="t" textboxrect="0,0,1051235,0"/>
                </v:shape>
                <v:shape id="Shape 14759" o:spid="_x0000_s1036" style="position:absolute;left:103;top:3190;width:10614;height:100;visibility:visible;mso-wrap-style:square;v-text-anchor:top" coordsize="1061395,10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" path="m,l1061395,r,10008l,10008,,e" fillcolor="black" stroked="f" strokeweight="0">
                  <v:stroke endcap="square"/>
                  <v:path arrowok="t" textboxrect="0,0,1061395,10008"/>
                </v:shape>
                <w10:wrap type="square"/>
              </v:group>
            </w:pict>
          </mc:Fallback>
        </mc:AlternateContent>
      </w:r>
      <w:r w:rsidR="005432C6">
        <w:rPr>
          <w:sz w:val="19"/>
        </w:rPr>
        <w:t>päť rokov</w:t>
      </w:r>
    </w:p>
    <w:p w:rsidR="006C3532" w:rsidRDefault="005432C6">
      <w:pPr>
        <w:spacing w:after="8" w:line="271" w:lineRule="auto"/>
        <w:ind w:left="471" w:right="632"/>
        <w:jc w:val="left"/>
      </w:pPr>
      <w:r>
        <w:rPr>
          <w:sz w:val="19"/>
        </w:rPr>
        <w:t>Záväzky so zostatkovou dobou splatnosti nad päť rokov</w:t>
      </w:r>
    </w:p>
    <w:p w:rsidR="006C3532" w:rsidRDefault="005432C6">
      <w:pPr>
        <w:spacing w:after="871" w:line="259" w:lineRule="auto"/>
        <w:ind w:left="476" w:right="632" w:firstLine="0"/>
        <w:jc w:val="left"/>
      </w:pPr>
      <w:r>
        <w:rPr>
          <w:b/>
          <w:sz w:val="19"/>
        </w:rPr>
        <w:t>Dlhodobé záväzky spolu</w:t>
      </w:r>
      <w:bookmarkStart w:id="0" w:name="_GoBack"/>
      <w:bookmarkEnd w:id="0"/>
    </w:p>
    <w:p w:rsidR="006C3532" w:rsidRDefault="005432C6">
      <w:pPr>
        <w:spacing w:after="0" w:line="259" w:lineRule="auto"/>
        <w:ind w:left="0" w:right="582" w:firstLine="0"/>
        <w:jc w:val="right"/>
      </w:pPr>
      <w:r>
        <w:rPr>
          <w:sz w:val="20"/>
        </w:rPr>
        <w:lastRenderedPageBreak/>
        <w:t xml:space="preserve"> </w:t>
      </w:r>
    </w:p>
    <w:p w:rsidR="006C3532" w:rsidRDefault="005432C6">
      <w:pPr>
        <w:ind w:left="355" w:right="0"/>
      </w:pPr>
      <w:r>
        <w:t xml:space="preserve">Spoločnosť nemá záväzky z finančného prenájmu. </w:t>
      </w:r>
    </w:p>
    <w:p w:rsidR="006C3532" w:rsidRDefault="005432C6">
      <w:pPr>
        <w:spacing w:after="141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39" w:line="262" w:lineRule="auto"/>
        <w:ind w:left="-5" w:right="401"/>
        <w:jc w:val="left"/>
      </w:pPr>
      <w:r>
        <w:rPr>
          <w:b/>
        </w:rPr>
        <w:t xml:space="preserve">INFORMÁCIE O ÚDAJOCH NA PODSÚVAHOVÝCH  ÚČTOCH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numPr>
          <w:ilvl w:val="0"/>
          <w:numId w:val="1"/>
        </w:numPr>
        <w:spacing w:after="10" w:line="262" w:lineRule="auto"/>
        <w:ind w:right="401" w:hanging="360"/>
        <w:jc w:val="left"/>
      </w:pPr>
      <w:r>
        <w:rPr>
          <w:b/>
        </w:rPr>
        <w:t xml:space="preserve">Najatý majetok </w:t>
      </w:r>
    </w:p>
    <w:p w:rsidR="006C3532" w:rsidRDefault="005432C6">
      <w:pPr>
        <w:spacing w:after="18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Spoločnosť nemá najatý majetok. </w:t>
      </w:r>
    </w:p>
    <w:p w:rsidR="006C3532" w:rsidRDefault="005432C6">
      <w:pPr>
        <w:spacing w:after="17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numPr>
          <w:ilvl w:val="0"/>
          <w:numId w:val="1"/>
        </w:numPr>
        <w:spacing w:after="10" w:line="262" w:lineRule="auto"/>
        <w:ind w:right="401" w:hanging="360"/>
        <w:jc w:val="left"/>
      </w:pPr>
      <w:r>
        <w:rPr>
          <w:b/>
        </w:rPr>
        <w:t xml:space="preserve">Prenajatý majetok </w:t>
      </w:r>
    </w:p>
    <w:p w:rsidR="006C3532" w:rsidRDefault="005432C6">
      <w:pPr>
        <w:spacing w:after="19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>Spoločnosť</w:t>
      </w:r>
      <w:r w:rsidR="00EF58BB">
        <w:t xml:space="preserve"> </w:t>
      </w:r>
      <w:r>
        <w:t xml:space="preserve">nemá majetok na prenájom. </w:t>
      </w:r>
    </w:p>
    <w:p w:rsidR="006C3532" w:rsidRDefault="005432C6">
      <w:pPr>
        <w:spacing w:after="13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39" w:line="262" w:lineRule="auto"/>
        <w:ind w:left="-5" w:right="401"/>
        <w:jc w:val="left"/>
      </w:pPr>
      <w:r>
        <w:rPr>
          <w:b/>
        </w:rPr>
        <w:t xml:space="preserve">INFORMÁCIE O INÝCH AKTÍVACH A INÝCH PASÍVACH </w:t>
      </w:r>
    </w:p>
    <w:p w:rsidR="006C3532" w:rsidRDefault="005432C6">
      <w:pPr>
        <w:spacing w:after="20" w:line="259" w:lineRule="auto"/>
        <w:ind w:left="0" w:right="0" w:firstLine="0"/>
        <w:jc w:val="left"/>
      </w:pPr>
      <w:r>
        <w:t xml:space="preserve"> </w:t>
      </w:r>
    </w:p>
    <w:p w:rsidR="006C3532" w:rsidRDefault="005432C6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Podmienené záväzky </w:t>
      </w:r>
    </w:p>
    <w:p w:rsidR="006C3532" w:rsidRDefault="005432C6">
      <w:pPr>
        <w:spacing w:after="15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Spoločnosť </w:t>
      </w:r>
      <w:r>
        <w:t xml:space="preserve">nemá  podmienené záväzky, ktoré sa nesledujú v bežnom účtovníctve a neuvádzajú sa v súvahe. </w:t>
      </w:r>
    </w:p>
    <w:p w:rsidR="006C3532" w:rsidRDefault="005432C6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18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Ostatné finančné povinnosti </w:t>
      </w:r>
    </w:p>
    <w:p w:rsidR="006C3532" w:rsidRDefault="005432C6">
      <w:pPr>
        <w:spacing w:after="16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ind w:left="355" w:right="0"/>
      </w:pPr>
      <w:r>
        <w:t xml:space="preserve">Spoločnosť nemá ostatné finančné povinnosti, ktoré sa nesledujú v bežnom účtovníctve a neuvádzajú v súvahe . </w:t>
      </w:r>
    </w:p>
    <w:p w:rsidR="006C3532" w:rsidRDefault="005432C6">
      <w:pPr>
        <w:spacing w:after="20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Podmienený majetok </w:t>
      </w:r>
    </w:p>
    <w:p w:rsidR="006C3532" w:rsidRDefault="005432C6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6C3532" w:rsidRDefault="005432C6">
      <w:pPr>
        <w:ind w:left="355" w:right="0"/>
      </w:pPr>
      <w:r>
        <w:t xml:space="preserve">Spoločnosť neeviduje podmienený majetok. </w:t>
      </w:r>
    </w:p>
    <w:p w:rsidR="006C3532" w:rsidRDefault="005432C6">
      <w:pPr>
        <w:spacing w:after="138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38" w:line="262" w:lineRule="auto"/>
        <w:ind w:left="-5" w:right="401"/>
        <w:jc w:val="left"/>
      </w:pPr>
      <w:r>
        <w:rPr>
          <w:b/>
        </w:rPr>
        <w:t xml:space="preserve">INFORMÁCIE O PRÍJMOCH A </w:t>
      </w:r>
      <w:r>
        <w:rPr>
          <w:b/>
        </w:rPr>
        <w:t xml:space="preserve">VÝHODÁCH ČLENOV ŠTATUTÁRNYCH ORGÁNOV, DOZORNÝCH ORGÁNOV A INÝCH ORGÁNOV ÚČTOVNEJ JEDNOTKY </w:t>
      </w:r>
    </w:p>
    <w:p w:rsidR="006C3532" w:rsidRDefault="005432C6">
      <w:pPr>
        <w:spacing w:after="125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pStyle w:val="Nadpis1"/>
        <w:numPr>
          <w:ilvl w:val="0"/>
          <w:numId w:val="0"/>
        </w:numPr>
        <w:spacing w:after="39"/>
        <w:ind w:left="-5" w:right="401"/>
      </w:pPr>
      <w:r>
        <w:t xml:space="preserve">INFORMÁCIE O EKONOMICKÝCH VZŤAHOCH ÚČTOVNEJ JEDNOTKY A SPRIAZNENÝCH OSÔB </w:t>
      </w:r>
    </w:p>
    <w:p w:rsidR="006C3532" w:rsidRDefault="005432C6">
      <w:pPr>
        <w:spacing w:after="15" w:line="259" w:lineRule="auto"/>
        <w:ind w:left="428" w:right="0" w:firstLine="0"/>
        <w:jc w:val="left"/>
      </w:pPr>
      <w:r>
        <w:t xml:space="preserve"> </w:t>
      </w:r>
    </w:p>
    <w:p w:rsidR="006C3532" w:rsidRDefault="005432C6">
      <w:pPr>
        <w:spacing w:after="128"/>
        <w:ind w:left="355" w:right="2673"/>
      </w:pPr>
      <w:r>
        <w:t xml:space="preserve">Spoločnosť </w:t>
      </w:r>
      <w:r>
        <w:t xml:space="preserve">neuskutočnila v priebehu účtovného obdobia transakcie so spriaznenými osobami  </w:t>
      </w:r>
    </w:p>
    <w:p w:rsidR="006C3532" w:rsidRDefault="005432C6">
      <w:pPr>
        <w:pStyle w:val="Nadpis1"/>
        <w:numPr>
          <w:ilvl w:val="0"/>
          <w:numId w:val="0"/>
        </w:numPr>
        <w:spacing w:after="68"/>
        <w:ind w:left="-5" w:right="401"/>
      </w:pPr>
      <w:r>
        <w:t xml:space="preserve">INFORMÁCIE O SKUTOČNOSTIACH, KTORÉ NASTALI PO DNI, KU KTORÉMU SA ZOSTAVUJE ÚČTOVNÁ ZÁVIERKA, DO DŇA ZOSTAVENIA ÚČTOVNEJ ZÁVIERKY </w:t>
      </w:r>
    </w:p>
    <w:p w:rsidR="006C3532" w:rsidRDefault="005432C6">
      <w:pPr>
        <w:ind w:left="355" w:right="0"/>
      </w:pPr>
      <w:r>
        <w:t>Po 31. decembri 201</w:t>
      </w:r>
      <w:r w:rsidR="00DB1501">
        <w:t>8</w:t>
      </w:r>
      <w:r>
        <w:t xml:space="preserve"> nenastali udalosti majúce</w:t>
      </w:r>
      <w:r>
        <w:t xml:space="preserve"> významný vplyv na verné zobrazenie skutočností, ktoré sú predmetom účtovníctva. </w:t>
      </w:r>
    </w:p>
    <w:sectPr w:rsidR="006C3532">
      <w:headerReference w:type="even" r:id="rId7"/>
      <w:headerReference w:type="default" r:id="rId8"/>
      <w:headerReference w:type="first" r:id="rId9"/>
      <w:pgSz w:w="11906" w:h="16838"/>
      <w:pgMar w:top="1988" w:right="1015" w:bottom="1175" w:left="994" w:header="67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32C6" w:rsidRDefault="005432C6">
      <w:pPr>
        <w:spacing w:after="0" w:line="240" w:lineRule="auto"/>
      </w:pPr>
      <w:r>
        <w:separator/>
      </w:r>
    </w:p>
  </w:endnote>
  <w:endnote w:type="continuationSeparator" w:id="0">
    <w:p w:rsidR="005432C6" w:rsidRDefault="00543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32C6" w:rsidRDefault="005432C6">
      <w:pPr>
        <w:spacing w:after="0" w:line="240" w:lineRule="auto"/>
      </w:pPr>
      <w:r>
        <w:separator/>
      </w:r>
    </w:p>
  </w:footnote>
  <w:footnote w:type="continuationSeparator" w:id="0">
    <w:p w:rsidR="005432C6" w:rsidRDefault="00543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bottom w:w="0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6C3532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 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8  </w:t>
          </w:r>
        </w:p>
      </w:tc>
    </w:tr>
  </w:tbl>
  <w:p w:rsidR="006C3532" w:rsidRDefault="005432C6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bottom w:w="0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6C3532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2</w:t>
          </w:r>
          <w:r w:rsidR="005432C6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0</w:t>
          </w:r>
          <w:r w:rsidR="005432C6">
            <w:rPr>
              <w:sz w:val="20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>4</w:t>
          </w:r>
          <w:r w:rsidR="005432C6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7</w:t>
          </w:r>
          <w:r w:rsidR="005432C6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2</w:t>
          </w:r>
          <w:r w:rsidR="005432C6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4</w:t>
          </w:r>
          <w:r w:rsidR="005432C6">
            <w:rPr>
              <w:sz w:val="20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1</w:t>
          </w:r>
          <w:r w:rsidR="005432C6">
            <w:rPr>
              <w:sz w:val="20"/>
            </w:rPr>
            <w:t xml:space="preserve"> 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E33602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8</w:t>
          </w:r>
          <w:r w:rsidR="005432C6">
            <w:rPr>
              <w:sz w:val="20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 </w:t>
          </w:r>
          <w:r w:rsidR="00713EE5">
            <w:rPr>
              <w:sz w:val="20"/>
            </w:rPr>
            <w:t>6</w:t>
          </w:r>
          <w:r>
            <w:rPr>
              <w:sz w:val="20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713EE5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7</w:t>
          </w:r>
          <w:r w:rsidR="005432C6">
            <w:rPr>
              <w:sz w:val="20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713EE5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>4</w:t>
          </w:r>
          <w:r w:rsidR="005432C6">
            <w:rPr>
              <w:sz w:val="20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713EE5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7</w:t>
          </w:r>
          <w:r w:rsidR="005432C6">
            <w:rPr>
              <w:sz w:val="20"/>
            </w:rPr>
            <w:t xml:space="preserve">  </w:t>
          </w:r>
        </w:p>
      </w:tc>
    </w:tr>
  </w:tbl>
  <w:p w:rsidR="006C3532" w:rsidRDefault="005432C6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bottom w:w="0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6C3532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 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C3532" w:rsidRDefault="005432C6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8  </w:t>
          </w:r>
        </w:p>
      </w:tc>
    </w:tr>
  </w:tbl>
  <w:p w:rsidR="006C3532" w:rsidRDefault="005432C6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806BD9"/>
    <w:multiLevelType w:val="hybridMultilevel"/>
    <w:tmpl w:val="52D41A84"/>
    <w:lvl w:ilvl="0" w:tplc="B7606C7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B3021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F5CA4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642A9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1F2D4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6BE18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484CF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7C0D8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03AF9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887626D"/>
    <w:multiLevelType w:val="hybridMultilevel"/>
    <w:tmpl w:val="6A2CA032"/>
    <w:lvl w:ilvl="0" w:tplc="0BB442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C3C88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C5A37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3DA6A0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AFE880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E82512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FBC4D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FA8F3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F72E2D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253EC0"/>
    <w:multiLevelType w:val="hybridMultilevel"/>
    <w:tmpl w:val="449692BE"/>
    <w:lvl w:ilvl="0" w:tplc="28FEFD26">
      <w:start w:val="4"/>
      <w:numFmt w:val="bullet"/>
      <w:lvlText w:val="–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" w15:restartNumberingAfterBreak="0">
    <w:nsid w:val="65D43DA6"/>
    <w:multiLevelType w:val="hybridMultilevel"/>
    <w:tmpl w:val="8384E22E"/>
    <w:lvl w:ilvl="0" w:tplc="A2FAEF28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81611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DA1A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226F64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B8E2D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9EC9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8CA82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D4E9C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3F47E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532"/>
    <w:rsid w:val="00515AC1"/>
    <w:rsid w:val="005432C6"/>
    <w:rsid w:val="006C3532"/>
    <w:rsid w:val="00713EE5"/>
    <w:rsid w:val="00880CEC"/>
    <w:rsid w:val="00BF3D86"/>
    <w:rsid w:val="00C60EA3"/>
    <w:rsid w:val="00DB1501"/>
    <w:rsid w:val="00E33602"/>
    <w:rsid w:val="00EF58BB"/>
    <w:rsid w:val="00FD6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8BCE86"/>
  <w15:docId w15:val="{DDB5CF34-A7FF-4326-BE12-75276B3A7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9" w:lineRule="auto"/>
      <w:ind w:left="438" w:right="1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3"/>
      </w:numPr>
      <w:spacing w:after="10" w:line="262" w:lineRule="auto"/>
      <w:ind w:left="10" w:right="6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C60E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0EA3"/>
    <w:rPr>
      <w:rFonts w:ascii="Times New Roman" w:eastAsia="Times New Roman" w:hAnsi="Times New Roman" w:cs="Times New Roman"/>
      <w:color w:val="000000"/>
      <w:sz w:val="18"/>
    </w:rPr>
  </w:style>
  <w:style w:type="paragraph" w:styleId="Odsekzoznamu">
    <w:name w:val="List Paragraph"/>
    <w:basedOn w:val="Normlny"/>
    <w:uiPriority w:val="34"/>
    <w:qFormat/>
    <w:rsid w:val="00BF3D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4</Pages>
  <Words>1408</Words>
  <Characters>8028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Terézia Pšenáková</cp:lastModifiedBy>
  <cp:revision>5</cp:revision>
  <dcterms:created xsi:type="dcterms:W3CDTF">2019-03-26T18:55:00Z</dcterms:created>
  <dcterms:modified xsi:type="dcterms:W3CDTF">2019-03-29T09:04:00Z</dcterms:modified>
</cp:coreProperties>
</file>