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2260" w:rsidRDefault="00F22260" w:rsidP="00F22260">
      <w:pPr>
        <w:jc w:val="center"/>
        <w:rPr>
          <w:b/>
          <w:sz w:val="48"/>
          <w:szCs w:val="48"/>
        </w:rPr>
      </w:pPr>
    </w:p>
    <w:p w:rsidR="0080706F" w:rsidRPr="00D346B1" w:rsidRDefault="0080706F" w:rsidP="0080706F">
      <w:pPr>
        <w:jc w:val="center"/>
        <w:rPr>
          <w:b/>
        </w:rPr>
      </w:pPr>
      <w:r w:rsidRPr="00D346B1">
        <w:rPr>
          <w:b/>
        </w:rPr>
        <w:t>Poznámky k účtovnej závierke</w:t>
      </w:r>
      <w:r>
        <w:rPr>
          <w:b/>
        </w:rPr>
        <w:t xml:space="preserve"> podnikateľov v podvojnom účtovníctve</w:t>
      </w:r>
      <w:r w:rsidRPr="00D346B1">
        <w:rPr>
          <w:b/>
        </w:rPr>
        <w:t xml:space="preserve"> zostavenej</w:t>
      </w:r>
      <w:r>
        <w:rPr>
          <w:b/>
        </w:rPr>
        <w:t xml:space="preserve"> k 31.12.201</w:t>
      </w:r>
      <w:r w:rsidR="00BD6FD2">
        <w:rPr>
          <w:b/>
        </w:rPr>
        <w:t>8</w:t>
      </w:r>
      <w:r w:rsidRPr="00D346B1">
        <w:rPr>
          <w:b/>
        </w:rPr>
        <w:t xml:space="preserve"> a schválenej dňa </w:t>
      </w:r>
      <w:r w:rsidR="002C3BDE">
        <w:rPr>
          <w:b/>
        </w:rPr>
        <w:t>3</w:t>
      </w:r>
      <w:r w:rsidR="00BD6FD2">
        <w:rPr>
          <w:b/>
        </w:rPr>
        <w:t>1</w:t>
      </w:r>
      <w:r w:rsidR="002C3BDE">
        <w:rPr>
          <w:b/>
        </w:rPr>
        <w:t>.</w:t>
      </w:r>
      <w:r w:rsidR="00BD6FD2">
        <w:rPr>
          <w:b/>
        </w:rPr>
        <w:t>3</w:t>
      </w:r>
      <w:r w:rsidR="002C3BDE">
        <w:rPr>
          <w:b/>
        </w:rPr>
        <w:t>.201</w:t>
      </w:r>
      <w:r w:rsidR="00BD6FD2">
        <w:rPr>
          <w:b/>
        </w:rPr>
        <w:t>9</w:t>
      </w:r>
    </w:p>
    <w:p w:rsidR="0080706F" w:rsidRPr="000823AF" w:rsidRDefault="0080706F" w:rsidP="0080706F">
      <w:pPr>
        <w:jc w:val="both"/>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Default="0080706F" w:rsidP="00F22260">
      <w:pPr>
        <w:jc w:val="center"/>
        <w:rPr>
          <w:b/>
          <w:sz w:val="48"/>
          <w:szCs w:val="48"/>
        </w:rPr>
      </w:pPr>
    </w:p>
    <w:p w:rsidR="0080706F" w:rsidRPr="000823AF" w:rsidRDefault="0080706F" w:rsidP="0080706F">
      <w:pPr>
        <w:pStyle w:val="Nadpis1"/>
        <w:tabs>
          <w:tab w:val="num" w:pos="360"/>
          <w:tab w:val="num" w:pos="2062"/>
        </w:tabs>
        <w:spacing w:after="60"/>
        <w:ind w:left="360" w:hanging="360"/>
      </w:pPr>
      <w:bookmarkStart w:id="0" w:name="_Toc530739894"/>
      <w:r w:rsidRPr="000823AF">
        <w:t>VŠEOBECNÉ INFORMÁCIE</w:t>
      </w:r>
      <w:bookmarkEnd w:id="0"/>
    </w:p>
    <w:p w:rsidR="0080706F" w:rsidRPr="000823AF" w:rsidRDefault="0080706F" w:rsidP="0080706F">
      <w:pPr>
        <w:pStyle w:val="Zkladntext"/>
        <w:rPr>
          <w:sz w:val="24"/>
          <w:szCs w:val="24"/>
        </w:rPr>
      </w:pPr>
    </w:p>
    <w:p w:rsidR="0080706F" w:rsidRPr="000823AF"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Obchodné meno a sídlo spoločnosti:</w:t>
      </w:r>
    </w:p>
    <w:p w:rsidR="0080706F" w:rsidRPr="000823AF" w:rsidRDefault="0080706F" w:rsidP="0080706F"/>
    <w:p w:rsidR="0080706F" w:rsidRPr="000823AF" w:rsidRDefault="002C3BDE" w:rsidP="0080706F">
      <w:pPr>
        <w:pStyle w:val="Zkladntext"/>
        <w:rPr>
          <w:sz w:val="24"/>
          <w:szCs w:val="24"/>
        </w:rPr>
      </w:pPr>
      <w:r>
        <w:rPr>
          <w:sz w:val="24"/>
          <w:szCs w:val="24"/>
        </w:rPr>
        <w:lastRenderedPageBreak/>
        <w:t>DALP</w:t>
      </w:r>
      <w:r w:rsidR="0080706F" w:rsidRPr="000823AF">
        <w:rPr>
          <w:sz w:val="24"/>
          <w:szCs w:val="24"/>
        </w:rPr>
        <w:t xml:space="preserve"> s.r.o.</w:t>
      </w:r>
      <w:r>
        <w:rPr>
          <w:sz w:val="24"/>
          <w:szCs w:val="24"/>
        </w:rPr>
        <w:t xml:space="preserve"> – v likvidácii</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903 01 Senec</w:t>
      </w:r>
    </w:p>
    <w:p w:rsidR="0080706F" w:rsidRPr="000823AF" w:rsidRDefault="0080706F" w:rsidP="0080706F">
      <w:pPr>
        <w:pStyle w:val="Nadpis2"/>
        <w:ind w:firstLine="426"/>
        <w:rPr>
          <w:rFonts w:ascii="Times New Roman" w:hAnsi="Times New Roman"/>
          <w:sz w:val="24"/>
          <w:szCs w:val="24"/>
        </w:rPr>
      </w:pPr>
      <w:bookmarkStart w:id="1" w:name="_Toc530739896"/>
      <w:r w:rsidRPr="000823AF">
        <w:rPr>
          <w:rFonts w:ascii="Times New Roman" w:hAnsi="Times New Roman"/>
          <w:sz w:val="24"/>
          <w:szCs w:val="24"/>
        </w:rPr>
        <w:t>Hlavnými činnosťami Spoločnosti sú:</w:t>
      </w:r>
      <w:bookmarkEnd w:id="1"/>
    </w:p>
    <w:p w:rsidR="0080706F" w:rsidRPr="000823AF" w:rsidRDefault="0080706F" w:rsidP="002C3BDE">
      <w:pPr>
        <w:pStyle w:val="Zkladntext"/>
        <w:tabs>
          <w:tab w:val="left" w:pos="7905"/>
        </w:tabs>
        <w:jc w:val="left"/>
        <w:rPr>
          <w:sz w:val="24"/>
          <w:szCs w:val="24"/>
        </w:rPr>
      </w:pPr>
      <w:r>
        <w:rPr>
          <w:sz w:val="24"/>
          <w:szCs w:val="24"/>
        </w:rPr>
        <w:t xml:space="preserve">- </w:t>
      </w:r>
      <w:r w:rsidR="002C3BDE">
        <w:rPr>
          <w:rStyle w:val="ra"/>
          <w:sz w:val="24"/>
          <w:szCs w:val="24"/>
        </w:rPr>
        <w:t>zásielkový predaj cez internet – spoločnosť svoju činnosť nevykonáva, je v likvidácii</w:t>
      </w:r>
      <w:r w:rsidRPr="000823AF">
        <w:rPr>
          <w:sz w:val="24"/>
          <w:szCs w:val="24"/>
        </w:rPr>
        <w:tab/>
      </w:r>
    </w:p>
    <w:p w:rsidR="0080706F" w:rsidRPr="000823AF" w:rsidRDefault="0080706F" w:rsidP="0080706F">
      <w:pPr>
        <w:pStyle w:val="Zkladntext"/>
        <w:ind w:left="0"/>
        <w:rPr>
          <w:sz w:val="24"/>
          <w:szCs w:val="24"/>
        </w:rPr>
      </w:pPr>
    </w:p>
    <w:p w:rsidR="0080706F" w:rsidRPr="000823AF"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Dátum schválenia účtovnej závierky za predchádzajúce účtovné obdobie</w:t>
      </w:r>
    </w:p>
    <w:p w:rsidR="0080706F" w:rsidRPr="000823AF" w:rsidRDefault="0080706F" w:rsidP="0080706F">
      <w:pPr>
        <w:pStyle w:val="Zkladntext"/>
        <w:ind w:hanging="426"/>
        <w:rPr>
          <w:sz w:val="24"/>
          <w:szCs w:val="24"/>
        </w:rPr>
      </w:pPr>
      <w:r w:rsidRPr="000823AF">
        <w:rPr>
          <w:sz w:val="24"/>
          <w:szCs w:val="24"/>
        </w:rPr>
        <w:tab/>
      </w:r>
      <w:r>
        <w:rPr>
          <w:sz w:val="24"/>
          <w:szCs w:val="24"/>
        </w:rPr>
        <w:t>-</w:t>
      </w:r>
    </w:p>
    <w:p w:rsidR="0080706F" w:rsidRPr="000823AF" w:rsidRDefault="0080706F" w:rsidP="0080706F">
      <w:pPr>
        <w:pStyle w:val="Zkladntext"/>
        <w:ind w:hanging="426"/>
        <w:rPr>
          <w:sz w:val="24"/>
          <w:szCs w:val="24"/>
        </w:rPr>
      </w:pPr>
    </w:p>
    <w:p w:rsidR="0080706F" w:rsidRPr="000823AF"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Právny dôvod na zostavenie účtovnej závierky</w:t>
      </w:r>
    </w:p>
    <w:p w:rsidR="0080706F" w:rsidRPr="000823AF" w:rsidRDefault="0080706F" w:rsidP="0080706F">
      <w:pPr>
        <w:pStyle w:val="Zkladntext"/>
        <w:ind w:hanging="426"/>
        <w:rPr>
          <w:sz w:val="24"/>
          <w:szCs w:val="24"/>
        </w:rPr>
      </w:pPr>
      <w:r w:rsidRPr="000823AF">
        <w:rPr>
          <w:sz w:val="24"/>
          <w:szCs w:val="24"/>
        </w:rPr>
        <w:tab/>
        <w:t>Účtovná závierka Spoločnosti k 31. decembru 201</w:t>
      </w:r>
      <w:r w:rsidR="00BD6FD2">
        <w:rPr>
          <w:sz w:val="24"/>
          <w:szCs w:val="24"/>
        </w:rPr>
        <w:t>8</w:t>
      </w:r>
      <w:r w:rsidRPr="000823AF">
        <w:rPr>
          <w:sz w:val="24"/>
          <w:szCs w:val="24"/>
        </w:rPr>
        <w:t xml:space="preserve"> je zostavená ako riadna účtovná závierka podľa § 17 ods. 6 zákona NR SR č. 431/2002 Z. z. o účtovníctve (ďalej „zákon o účtovníctve“) za účtovné obdobie od 1. januára 201</w:t>
      </w:r>
      <w:r w:rsidR="00BD6FD2">
        <w:rPr>
          <w:sz w:val="24"/>
          <w:szCs w:val="24"/>
        </w:rPr>
        <w:t>8</w:t>
      </w:r>
      <w:r w:rsidRPr="000823AF">
        <w:rPr>
          <w:sz w:val="24"/>
          <w:szCs w:val="24"/>
        </w:rPr>
        <w:t xml:space="preserve"> do 31. decembra 201</w:t>
      </w:r>
      <w:r w:rsidR="00BD6FD2">
        <w:rPr>
          <w:sz w:val="24"/>
          <w:szCs w:val="24"/>
        </w:rPr>
        <w:t>8</w:t>
      </w:r>
      <w:r>
        <w:rPr>
          <w:sz w:val="24"/>
          <w:szCs w:val="24"/>
        </w:rPr>
        <w:t>.</w:t>
      </w:r>
    </w:p>
    <w:p w:rsidR="0080706F" w:rsidRPr="000823AF" w:rsidRDefault="0080706F" w:rsidP="0080706F">
      <w:pPr>
        <w:pStyle w:val="Zkladntext"/>
        <w:ind w:hanging="426"/>
        <w:rPr>
          <w:sz w:val="24"/>
          <w:szCs w:val="24"/>
        </w:rPr>
      </w:pPr>
    </w:p>
    <w:p w:rsidR="0080706F" w:rsidRDefault="0080706F" w:rsidP="0080706F">
      <w:pPr>
        <w:pStyle w:val="Zkladntext"/>
        <w:ind w:hanging="426"/>
        <w:rPr>
          <w:sz w:val="24"/>
          <w:szCs w:val="24"/>
        </w:rPr>
      </w:pPr>
      <w:r w:rsidRPr="000823AF">
        <w:rPr>
          <w:sz w:val="24"/>
          <w:szCs w:val="24"/>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rsidR="0080706F" w:rsidRPr="000823AF" w:rsidRDefault="0080706F" w:rsidP="0080706F">
      <w:pPr>
        <w:pStyle w:val="Zkladntext"/>
        <w:ind w:hanging="426"/>
        <w:rPr>
          <w:sz w:val="24"/>
          <w:szCs w:val="24"/>
        </w:rPr>
      </w:pPr>
    </w:p>
    <w:p w:rsidR="0080706F" w:rsidRPr="000823AF"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 xml:space="preserve">Priemerný prepočítaný počet zamestnancov </w:t>
      </w:r>
    </w:p>
    <w:p w:rsidR="0080706F" w:rsidRDefault="0080706F" w:rsidP="0080706F">
      <w:pPr>
        <w:pStyle w:val="Zkladntext"/>
        <w:rPr>
          <w:sz w:val="24"/>
          <w:szCs w:val="24"/>
        </w:rPr>
      </w:pPr>
      <w:r w:rsidRPr="000823AF">
        <w:rPr>
          <w:sz w:val="24"/>
          <w:szCs w:val="24"/>
        </w:rPr>
        <w:t>Priemerný prepočítaný počet zamestnancov Spoločnosti v účtovnom období 201</w:t>
      </w:r>
      <w:r w:rsidR="00BD6FD2">
        <w:rPr>
          <w:sz w:val="24"/>
          <w:szCs w:val="24"/>
        </w:rPr>
        <w:t>8</w:t>
      </w:r>
      <w:r w:rsidRPr="000823AF">
        <w:rPr>
          <w:sz w:val="24"/>
          <w:szCs w:val="24"/>
        </w:rPr>
        <w:t xml:space="preserve"> bol </w:t>
      </w:r>
      <w:r w:rsidR="002C3BDE">
        <w:rPr>
          <w:sz w:val="24"/>
          <w:szCs w:val="24"/>
        </w:rPr>
        <w:t>0</w:t>
      </w:r>
      <w:r w:rsidRPr="000823AF">
        <w:rPr>
          <w:sz w:val="24"/>
          <w:szCs w:val="24"/>
        </w:rPr>
        <w:t xml:space="preserve"> </w:t>
      </w:r>
    </w:p>
    <w:p w:rsidR="0080706F" w:rsidRPr="000823AF" w:rsidRDefault="0080706F" w:rsidP="0080706F">
      <w:pPr>
        <w:pStyle w:val="Zkladntext"/>
        <w:rPr>
          <w:sz w:val="24"/>
          <w:szCs w:val="24"/>
        </w:rPr>
      </w:pPr>
    </w:p>
    <w:p w:rsidR="0080706F" w:rsidRPr="000823AF" w:rsidRDefault="0080706F" w:rsidP="0080706F">
      <w:pPr>
        <w:pStyle w:val="Nadpis1"/>
        <w:tabs>
          <w:tab w:val="num" w:pos="360"/>
          <w:tab w:val="num" w:pos="2062"/>
        </w:tabs>
        <w:ind w:left="360" w:hanging="360"/>
      </w:pPr>
      <w:bookmarkStart w:id="2" w:name="_Toc530739897"/>
      <w:r w:rsidRPr="000823AF">
        <w:t>Informácie o orgánoch účtovnej jednotky</w:t>
      </w:r>
      <w:bookmarkEnd w:id="2"/>
    </w:p>
    <w:p w:rsidR="0080706F" w:rsidRPr="000823AF" w:rsidRDefault="0080706F" w:rsidP="0080706F"/>
    <w:p w:rsidR="0080706F" w:rsidRPr="000823AF" w:rsidRDefault="002C3BDE" w:rsidP="0080706F">
      <w:pPr>
        <w:pStyle w:val="Zkladntext"/>
        <w:rPr>
          <w:sz w:val="24"/>
          <w:szCs w:val="24"/>
        </w:rPr>
      </w:pPr>
      <w:r>
        <w:rPr>
          <w:sz w:val="24"/>
          <w:szCs w:val="24"/>
        </w:rPr>
        <w:t>Likvidátor</w:t>
      </w:r>
      <w:r w:rsidR="0080706F">
        <w:rPr>
          <w:sz w:val="24"/>
          <w:szCs w:val="24"/>
        </w:rPr>
        <w:tab/>
        <w:t xml:space="preserve">            </w:t>
      </w:r>
      <w:r w:rsidR="0080706F" w:rsidRPr="000823AF">
        <w:rPr>
          <w:sz w:val="24"/>
          <w:szCs w:val="24"/>
        </w:rPr>
        <w:t xml:space="preserve">Ing. </w:t>
      </w:r>
      <w:r w:rsidR="0080706F">
        <w:rPr>
          <w:sz w:val="24"/>
          <w:szCs w:val="24"/>
        </w:rPr>
        <w:t>Lucia Pauflerová</w:t>
      </w:r>
    </w:p>
    <w:p w:rsidR="0080706F" w:rsidRPr="000823AF" w:rsidRDefault="0080706F" w:rsidP="0080706F">
      <w:pPr>
        <w:pStyle w:val="Zkladntext"/>
        <w:rPr>
          <w:sz w:val="24"/>
          <w:szCs w:val="24"/>
        </w:rPr>
      </w:pPr>
      <w:r>
        <w:rPr>
          <w:sz w:val="24"/>
          <w:szCs w:val="24"/>
        </w:rPr>
        <w:tab/>
      </w:r>
      <w:r>
        <w:rPr>
          <w:sz w:val="24"/>
          <w:szCs w:val="24"/>
        </w:rPr>
        <w:tab/>
      </w:r>
      <w:r>
        <w:rPr>
          <w:sz w:val="24"/>
          <w:szCs w:val="24"/>
        </w:rPr>
        <w:tab/>
      </w:r>
      <w:bookmarkStart w:id="3" w:name="_Toc530739898"/>
    </w:p>
    <w:bookmarkEnd w:id="3"/>
    <w:p w:rsidR="0080706F" w:rsidRPr="000823AF" w:rsidRDefault="0080706F" w:rsidP="0080706F"/>
    <w:p w:rsidR="0080706F" w:rsidRPr="000823AF" w:rsidRDefault="0080706F" w:rsidP="0080706F">
      <w:pPr>
        <w:pStyle w:val="Nadpis1"/>
        <w:tabs>
          <w:tab w:val="num" w:pos="360"/>
          <w:tab w:val="num" w:pos="2062"/>
        </w:tabs>
        <w:ind w:left="360" w:hanging="360"/>
      </w:pPr>
      <w:bookmarkStart w:id="4" w:name="_Toc530739899"/>
      <w:r w:rsidRPr="000823AF">
        <w:t>I</w:t>
      </w:r>
      <w:r>
        <w:t>NFORMÁCIE O</w:t>
      </w:r>
      <w:r w:rsidRPr="000823AF">
        <w:t xml:space="preserve"> PRIJATÝCH POSTUPOCH </w:t>
      </w:r>
      <w:bookmarkEnd w:id="4"/>
    </w:p>
    <w:p w:rsidR="0080706F" w:rsidRPr="000823AF" w:rsidRDefault="0080706F" w:rsidP="0080706F">
      <w:pPr>
        <w:pStyle w:val="Zkladntext"/>
        <w:ind w:left="786"/>
        <w:rPr>
          <w:sz w:val="24"/>
          <w:szCs w:val="24"/>
        </w:rPr>
      </w:pPr>
    </w:p>
    <w:p w:rsidR="0080706F" w:rsidRPr="000823AF" w:rsidRDefault="0080706F" w:rsidP="0080706F">
      <w:pPr>
        <w:pStyle w:val="Pismenka"/>
        <w:numPr>
          <w:ilvl w:val="0"/>
          <w:numId w:val="10"/>
        </w:numPr>
        <w:rPr>
          <w:sz w:val="24"/>
          <w:szCs w:val="24"/>
        </w:rPr>
      </w:pPr>
      <w:r w:rsidRPr="000823AF">
        <w:rPr>
          <w:sz w:val="24"/>
          <w:szCs w:val="24"/>
        </w:rPr>
        <w:t>Východiská pre zostavenie účtovnej závierky</w:t>
      </w:r>
    </w:p>
    <w:p w:rsidR="0080706F" w:rsidRPr="000823AF" w:rsidRDefault="0080706F" w:rsidP="0080706F">
      <w:pPr>
        <w:pStyle w:val="Zkladntext"/>
        <w:ind w:left="450"/>
        <w:rPr>
          <w:sz w:val="24"/>
          <w:szCs w:val="24"/>
        </w:rPr>
      </w:pPr>
      <w:r w:rsidRPr="000823AF">
        <w:rPr>
          <w:sz w:val="24"/>
          <w:szCs w:val="24"/>
        </w:rPr>
        <w:t xml:space="preserve">Účtovná závierka bola zostavená za predpokladu, že Spoločnosť bude </w:t>
      </w:r>
      <w:r w:rsidR="002C3BDE">
        <w:rPr>
          <w:sz w:val="24"/>
          <w:szCs w:val="24"/>
        </w:rPr>
        <w:t>v roku 201</w:t>
      </w:r>
      <w:r w:rsidR="00BD6FD2">
        <w:rPr>
          <w:sz w:val="24"/>
          <w:szCs w:val="24"/>
        </w:rPr>
        <w:t>9</w:t>
      </w:r>
      <w:r w:rsidR="002C3BDE">
        <w:rPr>
          <w:sz w:val="24"/>
          <w:szCs w:val="24"/>
        </w:rPr>
        <w:t xml:space="preserve"> vymazaná z obchodného registra</w:t>
      </w:r>
    </w:p>
    <w:p w:rsidR="0080706F" w:rsidRPr="000823AF" w:rsidRDefault="0080706F" w:rsidP="0080706F">
      <w:pPr>
        <w:pStyle w:val="Zkladntext"/>
        <w:ind w:left="450"/>
        <w:rPr>
          <w:sz w:val="24"/>
          <w:szCs w:val="24"/>
        </w:rPr>
      </w:pPr>
    </w:p>
    <w:p w:rsidR="0080706F" w:rsidRPr="000823AF" w:rsidRDefault="0080706F" w:rsidP="0080706F">
      <w:pPr>
        <w:pStyle w:val="Zkladntext"/>
        <w:rPr>
          <w:sz w:val="24"/>
          <w:szCs w:val="24"/>
        </w:rPr>
      </w:pPr>
    </w:p>
    <w:p w:rsidR="0080706F" w:rsidRPr="000823AF" w:rsidRDefault="0080706F" w:rsidP="0080706F">
      <w:pPr>
        <w:pStyle w:val="Zkladntext"/>
        <w:rPr>
          <w:color w:val="0070C0"/>
          <w:sz w:val="24"/>
          <w:szCs w:val="24"/>
        </w:rPr>
      </w:pPr>
      <w:r w:rsidRPr="000823AF">
        <w:rPr>
          <w:sz w:val="24"/>
          <w:szCs w:val="24"/>
        </w:rPr>
        <w:t>Účtovné metódy a všeobecné účtovné zásady boli účtovnou jednotkou konzistentne aplikované</w:t>
      </w:r>
      <w:r>
        <w:rPr>
          <w:sz w:val="24"/>
          <w:szCs w:val="24"/>
        </w:rPr>
        <w:t>.</w:t>
      </w:r>
    </w:p>
    <w:p w:rsidR="0080706F" w:rsidRPr="000823AF" w:rsidRDefault="0080706F" w:rsidP="0080706F">
      <w:pPr>
        <w:pStyle w:val="Zkladntext"/>
        <w:ind w:left="0"/>
        <w:rPr>
          <w:sz w:val="24"/>
          <w:szCs w:val="24"/>
        </w:rPr>
      </w:pPr>
    </w:p>
    <w:p w:rsidR="0080706F" w:rsidRDefault="0080706F" w:rsidP="0080706F">
      <w:pPr>
        <w:pStyle w:val="Pismenka"/>
        <w:numPr>
          <w:ilvl w:val="0"/>
          <w:numId w:val="10"/>
        </w:numPr>
        <w:rPr>
          <w:sz w:val="24"/>
          <w:szCs w:val="24"/>
        </w:rPr>
      </w:pPr>
      <w:r w:rsidRPr="000823AF">
        <w:rPr>
          <w:sz w:val="24"/>
          <w:szCs w:val="24"/>
        </w:rPr>
        <w:t>Informácie o charaktere a účele transakcií, ktoré sa neuvádzajú v</w:t>
      </w:r>
      <w:r>
        <w:rPr>
          <w:sz w:val="24"/>
          <w:szCs w:val="24"/>
        </w:rPr>
        <w:t> </w:t>
      </w:r>
      <w:r w:rsidRPr="000823AF">
        <w:rPr>
          <w:sz w:val="24"/>
          <w:szCs w:val="24"/>
        </w:rPr>
        <w:t>súvahe</w:t>
      </w:r>
    </w:p>
    <w:p w:rsidR="0080706F" w:rsidRDefault="0080706F" w:rsidP="0080706F">
      <w:pPr>
        <w:pStyle w:val="Pismenka"/>
        <w:tabs>
          <w:tab w:val="clear" w:pos="360"/>
        </w:tabs>
        <w:ind w:left="720" w:firstLine="0"/>
        <w:rPr>
          <w:sz w:val="24"/>
          <w:szCs w:val="24"/>
        </w:rPr>
      </w:pPr>
    </w:p>
    <w:p w:rsidR="0080706F" w:rsidRPr="002F038A" w:rsidRDefault="002C3BDE" w:rsidP="0080706F">
      <w:pPr>
        <w:pStyle w:val="Pismenka"/>
        <w:tabs>
          <w:tab w:val="clear" w:pos="360"/>
        </w:tabs>
        <w:rPr>
          <w:b w:val="0"/>
          <w:sz w:val="24"/>
          <w:szCs w:val="24"/>
        </w:rPr>
      </w:pPr>
      <w:r>
        <w:rPr>
          <w:b w:val="0"/>
          <w:sz w:val="24"/>
          <w:szCs w:val="24"/>
        </w:rPr>
        <w:t>-</w:t>
      </w:r>
    </w:p>
    <w:p w:rsidR="0080706F" w:rsidRPr="003873A6" w:rsidRDefault="0080706F" w:rsidP="0080706F">
      <w:pPr>
        <w:pStyle w:val="Pismenka"/>
        <w:tabs>
          <w:tab w:val="clear" w:pos="360"/>
        </w:tabs>
        <w:ind w:left="426" w:firstLine="0"/>
        <w:rPr>
          <w:b w:val="0"/>
          <w:sz w:val="24"/>
          <w:szCs w:val="24"/>
        </w:rPr>
      </w:pPr>
    </w:p>
    <w:p w:rsidR="0080706F" w:rsidRPr="000823AF" w:rsidRDefault="0080706F" w:rsidP="0080706F">
      <w:pPr>
        <w:pStyle w:val="Pismenka"/>
        <w:numPr>
          <w:ilvl w:val="0"/>
          <w:numId w:val="10"/>
        </w:numPr>
        <w:rPr>
          <w:sz w:val="24"/>
          <w:szCs w:val="24"/>
        </w:rPr>
      </w:pPr>
      <w:r w:rsidRPr="000823AF">
        <w:rPr>
          <w:sz w:val="24"/>
          <w:szCs w:val="24"/>
        </w:rPr>
        <w:t>Použitie odhadov a úsudkov</w:t>
      </w:r>
    </w:p>
    <w:p w:rsidR="0080706F" w:rsidRPr="000823AF" w:rsidRDefault="0080706F" w:rsidP="0080706F">
      <w:pPr>
        <w:pStyle w:val="Zkladntext"/>
        <w:ind w:left="450"/>
        <w:rPr>
          <w:sz w:val="24"/>
          <w:szCs w:val="24"/>
        </w:rPr>
      </w:pPr>
      <w:r w:rsidRPr="000823AF">
        <w:rPr>
          <w:sz w:val="24"/>
          <w:szCs w:val="24"/>
        </w:rPr>
        <w:t xml:space="preserve">Zostavenie účtovnej závierky si vyžaduje, aby manažment Spoločnosti urobil úsudky, odhady a predpoklady, ktoré ovplyvňujú aplikáciu účtovných metód a účtovných zásad </w:t>
      </w:r>
      <w:r w:rsidRPr="000823AF">
        <w:rPr>
          <w:sz w:val="24"/>
          <w:szCs w:val="24"/>
        </w:rPr>
        <w:lastRenderedPageBreak/>
        <w:t>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80706F" w:rsidRPr="000823AF" w:rsidRDefault="0080706F" w:rsidP="0080706F">
      <w:pPr>
        <w:pStyle w:val="Zkladntext"/>
        <w:ind w:left="450"/>
        <w:rPr>
          <w:sz w:val="24"/>
          <w:szCs w:val="24"/>
        </w:rPr>
      </w:pPr>
    </w:p>
    <w:p w:rsidR="0080706F" w:rsidRDefault="0080706F" w:rsidP="0080706F">
      <w:pPr>
        <w:pStyle w:val="Zkladntext"/>
        <w:ind w:left="450"/>
        <w:rPr>
          <w:sz w:val="24"/>
          <w:szCs w:val="24"/>
        </w:rPr>
      </w:pPr>
      <w:r w:rsidRPr="000823AF">
        <w:rPr>
          <w:sz w:val="24"/>
          <w:szCs w:val="24"/>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rsidR="0080706F" w:rsidRPr="00CB58F3" w:rsidRDefault="0080706F" w:rsidP="0080706F">
      <w:pPr>
        <w:pStyle w:val="Zkladntext"/>
        <w:ind w:left="450"/>
        <w:rPr>
          <w:sz w:val="24"/>
          <w:szCs w:val="24"/>
        </w:rPr>
      </w:pPr>
    </w:p>
    <w:p w:rsidR="0080706F" w:rsidRPr="00583E8C" w:rsidRDefault="0080706F" w:rsidP="0080706F">
      <w:r>
        <w:rPr>
          <w:b/>
          <w:i/>
        </w:rPr>
        <w:t xml:space="preserve">       </w:t>
      </w:r>
      <w:r w:rsidRPr="000823AF">
        <w:rPr>
          <w:b/>
          <w:i/>
        </w:rPr>
        <w:t>Úsudky</w:t>
      </w:r>
    </w:p>
    <w:p w:rsidR="0080706F" w:rsidRPr="000823AF" w:rsidRDefault="0080706F" w:rsidP="0080706F">
      <w:pPr>
        <w:ind w:left="426"/>
      </w:pPr>
      <w:r>
        <w:t>Spoločnosť nemá náplň.</w:t>
      </w:r>
    </w:p>
    <w:p w:rsidR="0080706F" w:rsidRPr="000823AF" w:rsidRDefault="0080706F" w:rsidP="0080706F">
      <w:pPr>
        <w:pStyle w:val="Zkladntext"/>
        <w:ind w:left="450"/>
        <w:rPr>
          <w:sz w:val="24"/>
          <w:szCs w:val="24"/>
        </w:rPr>
      </w:pPr>
    </w:p>
    <w:p w:rsidR="0080706F" w:rsidRPr="000823AF" w:rsidRDefault="0080706F" w:rsidP="0080706F">
      <w:pPr>
        <w:pStyle w:val="Zkladntext"/>
        <w:rPr>
          <w:b/>
          <w:i/>
          <w:sz w:val="24"/>
          <w:szCs w:val="24"/>
        </w:rPr>
      </w:pPr>
      <w:r w:rsidRPr="000823AF">
        <w:rPr>
          <w:b/>
          <w:i/>
          <w:sz w:val="24"/>
          <w:szCs w:val="24"/>
        </w:rPr>
        <w:t>Neistoty v odhadoch a predpokladoch</w:t>
      </w:r>
    </w:p>
    <w:p w:rsidR="0080706F" w:rsidRDefault="0080706F" w:rsidP="0080706F">
      <w:pPr>
        <w:pStyle w:val="AccountingPolicy"/>
        <w:spacing w:line="240" w:lineRule="auto"/>
        <w:ind w:left="426"/>
        <w:jc w:val="both"/>
        <w:rPr>
          <w:rFonts w:ascii="Times New Roman" w:hAnsi="Times New Roman" w:cs="Times New Roman"/>
          <w:color w:val="auto"/>
          <w:sz w:val="24"/>
          <w:szCs w:val="24"/>
          <w:lang w:val="sk-SK" w:eastAsia="en-US"/>
        </w:rPr>
      </w:pPr>
      <w:r w:rsidRPr="000823AF">
        <w:rPr>
          <w:rFonts w:ascii="Times New Roman" w:hAnsi="Times New Roman" w:cs="Times New Roman"/>
          <w:color w:val="auto"/>
          <w:sz w:val="24"/>
          <w:szCs w:val="24"/>
          <w:lang w:val="sk-SK" w:eastAsia="en-US"/>
        </w:rPr>
        <w:t>Informácie o tých  neistotách v predpokladoch a odhadoch, pri ktorých existuje signifikantné riziko, že by mohli viesť k významnej úprave v nasledujúcom účtovnom období sú bližšie opísané v nasledujúcich bodoch poznámok:</w:t>
      </w:r>
    </w:p>
    <w:p w:rsidR="0080706F" w:rsidRDefault="0080706F" w:rsidP="0080706F">
      <w:pPr>
        <w:pStyle w:val="AccountingPolicy"/>
        <w:spacing w:line="240" w:lineRule="auto"/>
        <w:ind w:left="426"/>
        <w:jc w:val="both"/>
        <w:rPr>
          <w:rFonts w:ascii="Times New Roman" w:hAnsi="Times New Roman" w:cs="Times New Roman"/>
          <w:color w:val="auto"/>
          <w:sz w:val="24"/>
          <w:szCs w:val="24"/>
          <w:lang w:val="sk-SK" w:eastAsia="en-US"/>
        </w:rPr>
      </w:pPr>
    </w:p>
    <w:p w:rsidR="0080706F" w:rsidRPr="002D3F66" w:rsidRDefault="0080706F" w:rsidP="0080706F">
      <w:pPr>
        <w:pStyle w:val="Zoznamsodrkami"/>
        <w:numPr>
          <w:ilvl w:val="0"/>
          <w:numId w:val="7"/>
        </w:numPr>
        <w:tabs>
          <w:tab w:val="num" w:pos="993"/>
        </w:tabs>
        <w:ind w:left="851" w:hanging="425"/>
        <w:rPr>
          <w:sz w:val="24"/>
          <w:szCs w:val="24"/>
          <w:lang w:val="sk-SK"/>
        </w:rPr>
      </w:pPr>
      <w:r w:rsidRPr="002D3F66">
        <w:rPr>
          <w:sz w:val="24"/>
          <w:szCs w:val="24"/>
          <w:lang w:val="sk-SK"/>
        </w:rPr>
        <w:t>bod 4) - dlhodobý nehmotný majetok a dlhodobý hmotný majetok – určenie predpokladanej doby používania a predpokladaného priebehu opotrebenia</w:t>
      </w:r>
    </w:p>
    <w:p w:rsidR="0080706F" w:rsidRPr="002D3F66" w:rsidRDefault="0080706F" w:rsidP="0080706F">
      <w:pPr>
        <w:pStyle w:val="Zoznamsodrkami"/>
        <w:numPr>
          <w:ilvl w:val="0"/>
          <w:numId w:val="7"/>
        </w:numPr>
        <w:tabs>
          <w:tab w:val="num" w:pos="993"/>
        </w:tabs>
        <w:ind w:left="851" w:hanging="425"/>
        <w:rPr>
          <w:sz w:val="24"/>
          <w:szCs w:val="24"/>
          <w:lang w:val="sk-SK"/>
        </w:rPr>
      </w:pPr>
      <w:r w:rsidRPr="002D3F66">
        <w:rPr>
          <w:sz w:val="24"/>
          <w:szCs w:val="24"/>
          <w:lang w:val="sk-SK"/>
        </w:rPr>
        <w:t>bod 15) – test na zníženie hodnoty dlhodobého nehmotného, hmotného, finančného majetku – kľúčové predpoklady týkajúce sa odhadu zníženia budúcich ekonomických úžitkov</w:t>
      </w:r>
    </w:p>
    <w:p w:rsidR="0080706F" w:rsidRPr="002D3F66" w:rsidRDefault="0080706F" w:rsidP="0080706F">
      <w:pPr>
        <w:pStyle w:val="Zoznamsodrkami"/>
        <w:numPr>
          <w:ilvl w:val="0"/>
          <w:numId w:val="7"/>
        </w:numPr>
        <w:tabs>
          <w:tab w:val="num" w:pos="993"/>
        </w:tabs>
        <w:ind w:left="851" w:hanging="425"/>
        <w:rPr>
          <w:sz w:val="24"/>
          <w:szCs w:val="24"/>
          <w:lang w:val="sk-SK"/>
        </w:rPr>
      </w:pPr>
      <w:r w:rsidRPr="002D3F66">
        <w:rPr>
          <w:sz w:val="24"/>
          <w:szCs w:val="24"/>
          <w:lang w:val="sk-SK"/>
        </w:rPr>
        <w:t>bod 15) – opravné položky k majetku (dlhodobý majetok, zásoby, pohľadávky) – kľúčové predpoklady týkajúce sa odhadu zníženia budúcich ekonomických úžitkov</w:t>
      </w:r>
    </w:p>
    <w:p w:rsidR="0080706F" w:rsidRPr="002D3F66" w:rsidRDefault="0080706F" w:rsidP="0080706F">
      <w:pPr>
        <w:pStyle w:val="Zoznamsodrkami"/>
        <w:numPr>
          <w:ilvl w:val="0"/>
          <w:numId w:val="7"/>
        </w:numPr>
        <w:tabs>
          <w:tab w:val="num" w:pos="993"/>
        </w:tabs>
        <w:ind w:left="851" w:hanging="425"/>
        <w:rPr>
          <w:sz w:val="24"/>
          <w:szCs w:val="24"/>
          <w:lang w:val="sk-SK"/>
        </w:rPr>
      </w:pPr>
      <w:r w:rsidRPr="002D3F66">
        <w:rPr>
          <w:sz w:val="24"/>
          <w:szCs w:val="24"/>
          <w:lang w:val="sk-SK"/>
        </w:rPr>
        <w:t>bod 18) – rezerva na zamestnanecké požitky – kľúčové aktuárske predpoklady</w:t>
      </w:r>
    </w:p>
    <w:p w:rsidR="0080706F" w:rsidRPr="002D3F66" w:rsidRDefault="0080706F" w:rsidP="0080706F">
      <w:pPr>
        <w:pStyle w:val="Zoznamsodrkami"/>
        <w:numPr>
          <w:ilvl w:val="0"/>
          <w:numId w:val="7"/>
        </w:numPr>
        <w:tabs>
          <w:tab w:val="num" w:pos="993"/>
        </w:tabs>
        <w:ind w:left="851" w:hanging="425"/>
        <w:rPr>
          <w:sz w:val="24"/>
          <w:szCs w:val="24"/>
          <w:lang w:val="sk-SK"/>
        </w:rPr>
      </w:pPr>
      <w:r w:rsidRPr="002D3F66">
        <w:rPr>
          <w:sz w:val="24"/>
          <w:szCs w:val="24"/>
          <w:lang w:val="sk-SK"/>
        </w:rPr>
        <w:t>bod 21) – štátne dotácie – vykázanie dotácií vzhľadom na splnenie podmienok súvisiacich s dotáciou a na poskytnutie dotácie</w:t>
      </w:r>
    </w:p>
    <w:p w:rsidR="0080706F" w:rsidRPr="002D3F66" w:rsidRDefault="0080706F" w:rsidP="0080706F">
      <w:pPr>
        <w:pStyle w:val="Zoznamsodrkami"/>
        <w:numPr>
          <w:ilvl w:val="0"/>
          <w:numId w:val="0"/>
        </w:numPr>
        <w:rPr>
          <w:sz w:val="24"/>
          <w:szCs w:val="24"/>
        </w:rPr>
      </w:pPr>
    </w:p>
    <w:p w:rsidR="0080706F" w:rsidRPr="000823AF" w:rsidRDefault="0080706F" w:rsidP="0080706F">
      <w:pPr>
        <w:pStyle w:val="Pismenka"/>
        <w:numPr>
          <w:ilvl w:val="0"/>
          <w:numId w:val="10"/>
        </w:numPr>
        <w:rPr>
          <w:sz w:val="24"/>
          <w:szCs w:val="24"/>
        </w:rPr>
      </w:pPr>
      <w:r w:rsidRPr="000823AF">
        <w:rPr>
          <w:sz w:val="24"/>
          <w:szCs w:val="24"/>
        </w:rPr>
        <w:t>Dlhodobý nehmotný majetok a dlhodobý hmotný majetok</w:t>
      </w:r>
    </w:p>
    <w:p w:rsidR="0080706F" w:rsidRPr="000823AF" w:rsidRDefault="0080706F" w:rsidP="0080706F">
      <w:pPr>
        <w:pStyle w:val="Zkladntext"/>
        <w:rPr>
          <w:sz w:val="24"/>
          <w:szCs w:val="24"/>
        </w:rPr>
      </w:pPr>
      <w:r w:rsidRPr="000823AF">
        <w:rPr>
          <w:sz w:val="24"/>
          <w:szCs w:val="24"/>
        </w:rPr>
        <w:t xml:space="preserve">Dlhodobý majetok nakupovaný sa oceňuje obstarávacou cenou, ktorá zahŕňa cenu obstarania a náklady súvisiace s obstaraním (clo, prepravu, montáž, poistné a pod.), zníženú o dobropisy, skontá, rabaty, zľavy z ceny, bonusy a pod.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Súčasťou obstarávacej ceny dlhodobého majetku </w:t>
      </w:r>
      <w:r w:rsidRPr="00CB58F3">
        <w:rPr>
          <w:sz w:val="24"/>
          <w:szCs w:val="24"/>
          <w:u w:val="single"/>
        </w:rPr>
        <w:t>nie sú</w:t>
      </w:r>
      <w:r w:rsidRPr="000823AF">
        <w:rPr>
          <w:color w:val="0070C0"/>
          <w:sz w:val="24"/>
          <w:szCs w:val="24"/>
        </w:rPr>
        <w:t xml:space="preserve"> </w:t>
      </w:r>
      <w:r w:rsidRPr="000823AF">
        <w:rPr>
          <w:sz w:val="24"/>
          <w:szCs w:val="24"/>
        </w:rPr>
        <w:t xml:space="preserve">úroky z úverov, ktoré vznikli do momentu uvedenia dlhodobého majetku do používania.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Dlhodobý majetok vytvorený vlastnou činnosťou sa oceňuje vlastnými nákladmi. Vlastnými nákladmi sú všetky priame náklady vynaložené na výrobu alebo inú činnosť a nepriame náklady, ktoré sa vzťahujú na výrobu alebo inú činnosť.</w:t>
      </w:r>
    </w:p>
    <w:p w:rsidR="0080706F" w:rsidRPr="000823AF" w:rsidRDefault="0080706F" w:rsidP="0080706F">
      <w:pPr>
        <w:pStyle w:val="Zkladntext"/>
        <w:rPr>
          <w:sz w:val="24"/>
          <w:szCs w:val="24"/>
        </w:rPr>
      </w:pPr>
      <w:r w:rsidRPr="000823AF">
        <w:rPr>
          <w:sz w:val="24"/>
          <w:szCs w:val="24"/>
        </w:rPr>
        <w:tab/>
      </w:r>
    </w:p>
    <w:p w:rsidR="0080706F" w:rsidRPr="000823AF" w:rsidRDefault="0080706F" w:rsidP="0080706F">
      <w:pPr>
        <w:pStyle w:val="Zkladntext"/>
        <w:rPr>
          <w:sz w:val="24"/>
          <w:szCs w:val="24"/>
        </w:rPr>
      </w:pPr>
      <w:r w:rsidRPr="000823AF">
        <w:rPr>
          <w:sz w:val="24"/>
          <w:szCs w:val="24"/>
        </w:rPr>
        <w:t>Náklady na výskum sa neaktivujú a účtujú sa do nákladov v účtovných obdobiach, v ktorých vznikli. Dlhodobý nehmotný majetok vytvorený vývojom alebo v priebehu jeho vývoja sa aktivuje, ak je možné preukázať:</w:t>
      </w:r>
    </w:p>
    <w:p w:rsidR="0080706F" w:rsidRPr="000823AF" w:rsidRDefault="0080706F" w:rsidP="0080706F">
      <w:pPr>
        <w:pStyle w:val="Zkladntext"/>
        <w:rPr>
          <w:sz w:val="24"/>
          <w:szCs w:val="24"/>
        </w:rPr>
      </w:pPr>
    </w:p>
    <w:p w:rsidR="0080706F" w:rsidRPr="000823AF" w:rsidRDefault="0080706F" w:rsidP="0080706F">
      <w:pPr>
        <w:pStyle w:val="Zkladntext"/>
        <w:numPr>
          <w:ilvl w:val="0"/>
          <w:numId w:val="16"/>
        </w:numPr>
        <w:rPr>
          <w:sz w:val="24"/>
          <w:szCs w:val="24"/>
        </w:rPr>
      </w:pPr>
      <w:r w:rsidRPr="000823AF">
        <w:rPr>
          <w:sz w:val="24"/>
          <w:szCs w:val="24"/>
        </w:rPr>
        <w:t>možnosť jeho technického dokončenia tak, že ho bude možné použiť alebo predať,</w:t>
      </w:r>
    </w:p>
    <w:p w:rsidR="0080706F" w:rsidRPr="000823AF" w:rsidRDefault="0080706F" w:rsidP="0080706F">
      <w:pPr>
        <w:pStyle w:val="Zkladntext"/>
        <w:numPr>
          <w:ilvl w:val="0"/>
          <w:numId w:val="16"/>
        </w:numPr>
        <w:rPr>
          <w:sz w:val="24"/>
          <w:szCs w:val="24"/>
        </w:rPr>
      </w:pPr>
      <w:r w:rsidRPr="000823AF">
        <w:rPr>
          <w:sz w:val="24"/>
          <w:szCs w:val="24"/>
        </w:rPr>
        <w:lastRenderedPageBreak/>
        <w:t>zámer jeho dokončenia, používania alebo predaja,</w:t>
      </w:r>
    </w:p>
    <w:p w:rsidR="0080706F" w:rsidRPr="000823AF" w:rsidRDefault="0080706F" w:rsidP="0080706F">
      <w:pPr>
        <w:pStyle w:val="Zkladntext"/>
        <w:numPr>
          <w:ilvl w:val="0"/>
          <w:numId w:val="16"/>
        </w:numPr>
        <w:rPr>
          <w:sz w:val="24"/>
          <w:szCs w:val="24"/>
        </w:rPr>
      </w:pPr>
      <w:r w:rsidRPr="000823AF">
        <w:rPr>
          <w:sz w:val="24"/>
          <w:szCs w:val="24"/>
        </w:rPr>
        <w:t>schopnosť účtovnej jednotky jeho používania a predaja,</w:t>
      </w:r>
    </w:p>
    <w:p w:rsidR="0080706F" w:rsidRPr="000823AF" w:rsidRDefault="0080706F" w:rsidP="0080706F">
      <w:pPr>
        <w:pStyle w:val="Zkladntext"/>
        <w:numPr>
          <w:ilvl w:val="0"/>
          <w:numId w:val="16"/>
        </w:numPr>
        <w:rPr>
          <w:sz w:val="24"/>
          <w:szCs w:val="24"/>
        </w:rPr>
      </w:pPr>
      <w:r w:rsidRPr="000823AF">
        <w:rPr>
          <w:sz w:val="24"/>
          <w:szCs w:val="24"/>
        </w:rPr>
        <w:t>spôsob vytvárania budúcich ekonomických úžitkov a existenciu trhu pre výstupy dlhodobého nehmotného majetku alebo pre dlhodobý nehmotný majetok sám o sebe, alebo, ak bude používaný vo vnútri účtovnej jednotky jeho použiteľnosť,</w:t>
      </w:r>
    </w:p>
    <w:p w:rsidR="0080706F" w:rsidRPr="000823AF" w:rsidRDefault="0080706F" w:rsidP="0080706F">
      <w:pPr>
        <w:pStyle w:val="Zkladntext"/>
        <w:numPr>
          <w:ilvl w:val="0"/>
          <w:numId w:val="16"/>
        </w:numPr>
        <w:rPr>
          <w:sz w:val="24"/>
          <w:szCs w:val="24"/>
        </w:rPr>
      </w:pPr>
      <w:r w:rsidRPr="000823AF">
        <w:rPr>
          <w:sz w:val="24"/>
          <w:szCs w:val="24"/>
        </w:rPr>
        <w:t>dostupnosť zodpovedajúcich technických zdrojov, finančných zdrojov a ostatných zdrojov pre dokončenie jeho vývoja, použitie alebo predaj,</w:t>
      </w:r>
    </w:p>
    <w:p w:rsidR="0080706F" w:rsidRPr="000823AF" w:rsidRDefault="0080706F" w:rsidP="0080706F">
      <w:pPr>
        <w:pStyle w:val="Zkladntext"/>
        <w:numPr>
          <w:ilvl w:val="0"/>
          <w:numId w:val="16"/>
        </w:numPr>
        <w:rPr>
          <w:sz w:val="24"/>
          <w:szCs w:val="24"/>
        </w:rPr>
      </w:pPr>
      <w:r w:rsidRPr="000823AF">
        <w:rPr>
          <w:sz w:val="24"/>
          <w:szCs w:val="24"/>
        </w:rPr>
        <w:t xml:space="preserve">spoľahlivé ocenenie nákladov súvisiacich s jeho obstaraním v priebehu vývoja. </w:t>
      </w:r>
    </w:p>
    <w:p w:rsidR="0080706F" w:rsidRPr="000823AF" w:rsidRDefault="0080706F" w:rsidP="0080706F">
      <w:pPr>
        <w:pStyle w:val="Zkladntext"/>
        <w:ind w:left="0"/>
        <w:rPr>
          <w:sz w:val="24"/>
          <w:szCs w:val="24"/>
        </w:rPr>
      </w:pPr>
    </w:p>
    <w:p w:rsidR="0080706F" w:rsidRPr="000823AF" w:rsidRDefault="0080706F" w:rsidP="0080706F">
      <w:pPr>
        <w:pStyle w:val="Zkladntext"/>
        <w:rPr>
          <w:sz w:val="24"/>
          <w:szCs w:val="24"/>
        </w:rPr>
      </w:pPr>
      <w:r w:rsidRPr="000823AF">
        <w:rPr>
          <w:sz w:val="24"/>
          <w:szCs w:val="24"/>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Odpisy dlhodobého nehmotného majetku sú stanovené vychádzajúc z predpokladanej doby jeho používania a predpokladaného priebehu jeho opotrebenia. </w:t>
      </w:r>
    </w:p>
    <w:p w:rsidR="0080706F" w:rsidRPr="000823AF" w:rsidRDefault="0080706F" w:rsidP="0080706F">
      <w:pPr>
        <w:pStyle w:val="Zkladntext"/>
        <w:rPr>
          <w:sz w:val="24"/>
          <w:szCs w:val="24"/>
        </w:rPr>
      </w:pPr>
    </w:p>
    <w:p w:rsidR="0080706F" w:rsidRPr="001463C8" w:rsidRDefault="0080706F" w:rsidP="0080706F">
      <w:pPr>
        <w:pStyle w:val="Zkladntext"/>
        <w:rPr>
          <w:sz w:val="24"/>
          <w:szCs w:val="24"/>
        </w:rPr>
      </w:pPr>
      <w:r w:rsidRPr="001463C8">
        <w:rPr>
          <w:sz w:val="24"/>
          <w:szCs w:val="24"/>
        </w:rPr>
        <w:t>Odpisovať sa začína prvým dňom mesiaca, v ktorom sa dlhodobý majetok uviedol do používania. Drobný dlhodobý nehmotný majetok, ktorého obstarávacia cena (resp. vlastné náklady) je 2 400 EUR a nižšia, sa odpisuje jednorazovo pri uvedení do používania.</w:t>
      </w:r>
    </w:p>
    <w:p w:rsidR="0080706F" w:rsidRDefault="0080706F" w:rsidP="0080706F">
      <w:pPr>
        <w:pStyle w:val="Zkladntext"/>
        <w:ind w:left="0"/>
        <w:rPr>
          <w:sz w:val="24"/>
          <w:szCs w:val="24"/>
        </w:rPr>
      </w:pPr>
    </w:p>
    <w:p w:rsidR="0080706F" w:rsidRPr="000823AF" w:rsidRDefault="0080706F" w:rsidP="0080706F">
      <w:pPr>
        <w:pStyle w:val="Zkladntext"/>
        <w:rPr>
          <w:sz w:val="24"/>
          <w:szCs w:val="24"/>
        </w:rPr>
      </w:pPr>
      <w:r w:rsidRPr="000823AF">
        <w:rPr>
          <w:sz w:val="24"/>
          <w:szCs w:val="24"/>
        </w:rPr>
        <w:t xml:space="preserve">Predpokladaná doba používania, metóda odpisovania a odpisová sadzba </w:t>
      </w:r>
      <w:r>
        <w:rPr>
          <w:sz w:val="24"/>
          <w:szCs w:val="24"/>
        </w:rPr>
        <w:t xml:space="preserve">nehmotného majetku </w:t>
      </w:r>
      <w:r w:rsidRPr="000823AF">
        <w:rPr>
          <w:sz w:val="24"/>
          <w:szCs w:val="24"/>
        </w:rPr>
        <w:t>sú uvedené v nasledujúcej tabuľke:</w:t>
      </w:r>
    </w:p>
    <w:p w:rsidR="0080706F" w:rsidRPr="000823AF" w:rsidRDefault="0080706F" w:rsidP="0080706F">
      <w:pPr>
        <w:pStyle w:val="Zkladntext"/>
        <w:rPr>
          <w:sz w:val="24"/>
          <w:szCs w:val="24"/>
        </w:rPr>
      </w:pPr>
    </w:p>
    <w:bookmarkStart w:id="5" w:name="_MON_1508924653"/>
    <w:bookmarkEnd w:id="5"/>
    <w:p w:rsidR="0080706F" w:rsidRPr="000823AF" w:rsidRDefault="0080706F" w:rsidP="0080706F">
      <w:pPr>
        <w:pStyle w:val="Zkladntext"/>
        <w:rPr>
          <w:sz w:val="24"/>
          <w:szCs w:val="24"/>
        </w:rPr>
      </w:pPr>
      <w:r w:rsidRPr="000823AF">
        <w:rPr>
          <w:sz w:val="24"/>
          <w:szCs w:val="24"/>
        </w:rPr>
        <w:object w:dxaOrig="8912" w:dyaOrig="2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pt;height:110.25pt" o:ole="">
            <v:imagedata r:id="rId9" o:title=""/>
          </v:shape>
          <o:OLEObject Type="Embed" ProgID="Excel.Sheet.12" ShapeID="_x0000_i1025" DrawAspect="Content" ObjectID="_1615543685" r:id="rId10"/>
        </w:object>
      </w:r>
      <w:r w:rsidRPr="000823AF">
        <w:rPr>
          <w:sz w:val="24"/>
          <w:szCs w:val="24"/>
        </w:rPr>
        <w:t xml:space="preserve">Metódy odpisovania, doby použiteľnosti a zostatkové hodnoty sa prehodnocujú ku dňu, ku ktorému sa zostavuje účtovná závierka, a ak je to potrebné, urobia sa úpravy. </w:t>
      </w:r>
    </w:p>
    <w:p w:rsidR="0080706F" w:rsidRPr="000823AF" w:rsidRDefault="0080706F" w:rsidP="0080706F">
      <w:pPr>
        <w:pStyle w:val="Zkladntext"/>
        <w:rPr>
          <w:sz w:val="24"/>
          <w:szCs w:val="24"/>
        </w:rPr>
      </w:pPr>
    </w:p>
    <w:p w:rsidR="0080706F" w:rsidRDefault="0080706F" w:rsidP="0080706F">
      <w:pPr>
        <w:pStyle w:val="Zkladntext"/>
        <w:rPr>
          <w:sz w:val="24"/>
          <w:szCs w:val="24"/>
        </w:rPr>
      </w:pPr>
      <w:r w:rsidRPr="000823AF">
        <w:rPr>
          <w:sz w:val="24"/>
          <w:szCs w:val="24"/>
        </w:rPr>
        <w:t>Odpisy dlhodobého hmotného majetku sú stanovené vychádzajúc z predpokladanej doby jeho používania a predpokladaného priebehu jeho opotrebenia.</w:t>
      </w:r>
    </w:p>
    <w:p w:rsidR="0080706F" w:rsidRPr="00A246F0" w:rsidRDefault="0080706F" w:rsidP="0080706F">
      <w:pPr>
        <w:pStyle w:val="Zkladntext"/>
        <w:rPr>
          <w:sz w:val="24"/>
          <w:szCs w:val="24"/>
        </w:rPr>
      </w:pPr>
      <w:r w:rsidRPr="00A246F0">
        <w:rPr>
          <w:sz w:val="24"/>
          <w:szCs w:val="24"/>
        </w:rPr>
        <w:t>Odpisovať sa začína prvým dňom mesiaca, v ktorom sa dlhodobý majetok uviedol do používania. Drobný dlhodobý hmotný majetok, ktorého obstarávacia cena (resp. vlastné náklady) je 1 700 EUR a nižšia sa odpisuje jednorazovo pri uvedení do používania, pri vozidlách sa odpisuje postupne  počas predpokladanej doby používania</w:t>
      </w:r>
    </w:p>
    <w:p w:rsidR="0080706F" w:rsidRPr="000823AF" w:rsidRDefault="0080706F" w:rsidP="0080706F">
      <w:pPr>
        <w:pStyle w:val="Zkladntext"/>
        <w:rPr>
          <w:color w:val="00B0F0"/>
          <w:sz w:val="24"/>
          <w:szCs w:val="24"/>
        </w:rPr>
      </w:pPr>
    </w:p>
    <w:p w:rsidR="0080706F" w:rsidRPr="000823AF" w:rsidRDefault="0080706F" w:rsidP="0080706F">
      <w:pPr>
        <w:pStyle w:val="Zkladntext"/>
        <w:rPr>
          <w:sz w:val="24"/>
          <w:szCs w:val="24"/>
        </w:rPr>
      </w:pPr>
      <w:r w:rsidRPr="000823AF">
        <w:rPr>
          <w:sz w:val="24"/>
          <w:szCs w:val="24"/>
        </w:rPr>
        <w:t xml:space="preserve">Pozemky sa neodpisujú.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Predpokladaná doba používania, metóda odpisovania a odpisová sadzba</w:t>
      </w:r>
      <w:r>
        <w:rPr>
          <w:sz w:val="24"/>
          <w:szCs w:val="24"/>
        </w:rPr>
        <w:t xml:space="preserve"> hmotného dlhodobého majetku</w:t>
      </w:r>
      <w:r w:rsidRPr="000823AF">
        <w:rPr>
          <w:sz w:val="24"/>
          <w:szCs w:val="24"/>
        </w:rPr>
        <w:t xml:space="preserve"> sú uvedené v nasledujúcej tabuľke:</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p>
    <w:bookmarkStart w:id="6" w:name="_MON_1500299770"/>
    <w:bookmarkEnd w:id="6"/>
    <w:p w:rsidR="0080706F" w:rsidRPr="000823AF" w:rsidRDefault="0080706F" w:rsidP="0080706F">
      <w:pPr>
        <w:pStyle w:val="Zkladntext"/>
        <w:rPr>
          <w:sz w:val="24"/>
          <w:szCs w:val="24"/>
        </w:rPr>
      </w:pPr>
      <w:r w:rsidRPr="000823AF">
        <w:rPr>
          <w:sz w:val="24"/>
          <w:szCs w:val="24"/>
        </w:rPr>
        <w:object w:dxaOrig="8264" w:dyaOrig="2691">
          <v:shape id="_x0000_i1026" type="#_x0000_t75" style="width:412.5pt;height:135pt" o:ole="">
            <v:imagedata r:id="rId11" o:title=""/>
          </v:shape>
          <o:OLEObject Type="Embed" ProgID="Excel.Sheet.12" ShapeID="_x0000_i1026" DrawAspect="Content" ObjectID="_1615543686" r:id="rId12"/>
        </w:object>
      </w:r>
    </w:p>
    <w:p w:rsidR="0080706F" w:rsidRPr="000823AF" w:rsidRDefault="0080706F" w:rsidP="0080706F">
      <w:pPr>
        <w:pStyle w:val="Zkladntext"/>
        <w:rPr>
          <w:sz w:val="24"/>
          <w:szCs w:val="24"/>
        </w:rPr>
      </w:pPr>
      <w:r w:rsidRPr="000823AF">
        <w:rPr>
          <w:sz w:val="24"/>
          <w:szCs w:val="24"/>
        </w:rPr>
        <w:t xml:space="preserve">Metódy odpisovania, doby použiteľnosti a zostatkové hodnoty sa prehodnocujú ku dňu, ku ktorému sa zostavuje účtovná závierka, a ak je to potrebné, urobia sa úpravy. </w:t>
      </w:r>
    </w:p>
    <w:p w:rsidR="0080706F" w:rsidRPr="000823AF" w:rsidRDefault="0080706F" w:rsidP="0080706F">
      <w:pPr>
        <w:pStyle w:val="Zkladntext"/>
        <w:rPr>
          <w:sz w:val="24"/>
          <w:szCs w:val="24"/>
        </w:rPr>
      </w:pPr>
    </w:p>
    <w:p w:rsidR="0080706F" w:rsidRPr="000823AF" w:rsidRDefault="0080706F" w:rsidP="0080706F">
      <w:pPr>
        <w:pStyle w:val="Zkladntext"/>
        <w:rPr>
          <w:i/>
          <w:sz w:val="24"/>
          <w:szCs w:val="24"/>
        </w:rPr>
      </w:pPr>
      <w:r w:rsidRPr="000823AF">
        <w:rPr>
          <w:b/>
          <w:i/>
          <w:sz w:val="24"/>
          <w:szCs w:val="24"/>
        </w:rPr>
        <w:t>Posúdenie zníženia hodnoty majetku</w:t>
      </w:r>
    </w:p>
    <w:p w:rsidR="0080706F" w:rsidRPr="000823AF" w:rsidRDefault="0080706F" w:rsidP="0080706F">
      <w:pPr>
        <w:pStyle w:val="Zkladntext"/>
        <w:rPr>
          <w:i/>
          <w:sz w:val="24"/>
          <w:szCs w:val="24"/>
        </w:rPr>
      </w:pPr>
    </w:p>
    <w:p w:rsidR="0080706F" w:rsidRPr="000823AF" w:rsidRDefault="0080706F" w:rsidP="0080706F">
      <w:pPr>
        <w:pStyle w:val="Zkladntext"/>
        <w:rPr>
          <w:i/>
          <w:sz w:val="24"/>
          <w:szCs w:val="24"/>
        </w:rPr>
      </w:pPr>
      <w:r w:rsidRPr="000823AF">
        <w:rPr>
          <w:sz w:val="24"/>
          <w:szCs w:val="24"/>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80706F" w:rsidRPr="000823AF" w:rsidRDefault="0080706F" w:rsidP="0080706F">
      <w:pPr>
        <w:pStyle w:val="AccountingPolicy"/>
        <w:jc w:val="both"/>
        <w:rPr>
          <w:rFonts w:ascii="Times New Roman" w:hAnsi="Times New Roman" w:cs="Times New Roman"/>
          <w:sz w:val="24"/>
          <w:szCs w:val="24"/>
          <w:lang w:val="sk-SK"/>
        </w:rPr>
      </w:pPr>
    </w:p>
    <w:p w:rsidR="0080706F" w:rsidRPr="000823AF" w:rsidRDefault="0080706F" w:rsidP="0080706F">
      <w:pPr>
        <w:pStyle w:val="Zkladntext"/>
        <w:rPr>
          <w:sz w:val="24"/>
          <w:szCs w:val="24"/>
        </w:rPr>
      </w:pPr>
      <w:r w:rsidRPr="000823AF">
        <w:rPr>
          <w:sz w:val="24"/>
          <w:szCs w:val="24"/>
        </w:rPr>
        <w:t xml:space="preserve">Faktory, ktoré sú považované za dôležité pri  posudzovaní zníženia hodnoty majetku sú: </w:t>
      </w:r>
    </w:p>
    <w:p w:rsidR="0080706F" w:rsidRPr="000823AF" w:rsidRDefault="0080706F" w:rsidP="0080706F">
      <w:pPr>
        <w:pStyle w:val="Zkladntext"/>
        <w:numPr>
          <w:ilvl w:val="0"/>
          <w:numId w:val="12"/>
        </w:numPr>
        <w:tabs>
          <w:tab w:val="clear" w:pos="340"/>
          <w:tab w:val="num" w:pos="766"/>
        </w:tabs>
        <w:ind w:left="766"/>
        <w:rPr>
          <w:sz w:val="24"/>
          <w:szCs w:val="24"/>
        </w:rPr>
      </w:pPr>
      <w:r w:rsidRPr="000823AF">
        <w:rPr>
          <w:sz w:val="24"/>
          <w:szCs w:val="24"/>
        </w:rPr>
        <w:t>technologický pokrok,</w:t>
      </w:r>
    </w:p>
    <w:p w:rsidR="0080706F" w:rsidRPr="000823AF" w:rsidRDefault="0080706F" w:rsidP="0080706F">
      <w:pPr>
        <w:pStyle w:val="Zkladntext"/>
        <w:numPr>
          <w:ilvl w:val="0"/>
          <w:numId w:val="12"/>
        </w:numPr>
        <w:tabs>
          <w:tab w:val="clear" w:pos="340"/>
          <w:tab w:val="num" w:pos="766"/>
        </w:tabs>
        <w:ind w:left="766"/>
        <w:rPr>
          <w:sz w:val="24"/>
          <w:szCs w:val="24"/>
        </w:rPr>
      </w:pPr>
      <w:r w:rsidRPr="000823AF">
        <w:rPr>
          <w:sz w:val="24"/>
          <w:szCs w:val="24"/>
        </w:rPr>
        <w:t>významne nedostatočné prevádzkové výsledky v porovnaní s historickými alebo plánovanými prevádzkovými výsledkami,</w:t>
      </w:r>
    </w:p>
    <w:p w:rsidR="0080706F" w:rsidRPr="000823AF" w:rsidRDefault="0080706F" w:rsidP="0080706F">
      <w:pPr>
        <w:pStyle w:val="Zkladntext"/>
        <w:numPr>
          <w:ilvl w:val="0"/>
          <w:numId w:val="12"/>
        </w:numPr>
        <w:tabs>
          <w:tab w:val="clear" w:pos="340"/>
          <w:tab w:val="num" w:pos="766"/>
        </w:tabs>
        <w:ind w:left="766"/>
        <w:rPr>
          <w:sz w:val="24"/>
          <w:szCs w:val="24"/>
        </w:rPr>
      </w:pPr>
      <w:r w:rsidRPr="000823AF">
        <w:rPr>
          <w:sz w:val="24"/>
          <w:szCs w:val="24"/>
        </w:rPr>
        <w:t>významné zmeny v spôsobe použitia majetku Spoločnosti alebo celkovej zmeny stratégie Spoločnosti,</w:t>
      </w:r>
    </w:p>
    <w:p w:rsidR="0080706F" w:rsidRPr="000823AF" w:rsidRDefault="0080706F" w:rsidP="0080706F">
      <w:pPr>
        <w:pStyle w:val="Zkladntext"/>
        <w:numPr>
          <w:ilvl w:val="0"/>
          <w:numId w:val="12"/>
        </w:numPr>
        <w:tabs>
          <w:tab w:val="clear" w:pos="340"/>
          <w:tab w:val="num" w:pos="766"/>
        </w:tabs>
        <w:ind w:left="766"/>
        <w:rPr>
          <w:sz w:val="24"/>
          <w:szCs w:val="24"/>
        </w:rPr>
      </w:pPr>
      <w:r w:rsidRPr="000823AF">
        <w:rPr>
          <w:sz w:val="24"/>
          <w:szCs w:val="24"/>
        </w:rPr>
        <w:t>zastaralosť produktov.</w:t>
      </w:r>
    </w:p>
    <w:p w:rsidR="0080706F" w:rsidRPr="000823AF" w:rsidRDefault="0080706F" w:rsidP="0080706F">
      <w:pPr>
        <w:pStyle w:val="Zkladntext"/>
        <w:rPr>
          <w:sz w:val="24"/>
          <w:szCs w:val="24"/>
        </w:rPr>
      </w:pPr>
    </w:p>
    <w:p w:rsidR="0080706F" w:rsidRDefault="0080706F" w:rsidP="0080706F">
      <w:pPr>
        <w:pStyle w:val="Zkladntext"/>
        <w:rPr>
          <w:sz w:val="24"/>
          <w:szCs w:val="24"/>
        </w:rPr>
      </w:pPr>
      <w:r w:rsidRPr="000823AF">
        <w:rPr>
          <w:sz w:val="24"/>
          <w:szCs w:val="24"/>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w:t>
      </w:r>
      <w:r>
        <w:rPr>
          <w:sz w:val="24"/>
          <w:szCs w:val="24"/>
        </w:rPr>
        <w:t> </w:t>
      </w:r>
      <w:r w:rsidRPr="000823AF">
        <w:rPr>
          <w:sz w:val="24"/>
          <w:szCs w:val="24"/>
        </w:rPr>
        <w:t>budúcnosti</w:t>
      </w:r>
      <w:r>
        <w:rPr>
          <w:sz w:val="24"/>
          <w:szCs w:val="24"/>
        </w:rPr>
        <w:t>.</w:t>
      </w:r>
      <w:r w:rsidRPr="000823AF">
        <w:rPr>
          <w:sz w:val="24"/>
          <w:szCs w:val="24"/>
        </w:rPr>
        <w:t xml:space="preserve">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Dlhodobý finančný majetok</w:t>
      </w:r>
    </w:p>
    <w:p w:rsidR="0080706F" w:rsidRPr="000823AF" w:rsidRDefault="0080706F" w:rsidP="0080706F">
      <w:pPr>
        <w:pStyle w:val="Pismenka"/>
        <w:tabs>
          <w:tab w:val="clear" w:pos="360"/>
        </w:tabs>
        <w:ind w:left="426" w:firstLine="0"/>
        <w:rPr>
          <w:b w:val="0"/>
          <w:sz w:val="24"/>
          <w:szCs w:val="24"/>
        </w:rPr>
      </w:pPr>
      <w:r w:rsidRPr="000823AF">
        <w:rPr>
          <w:b w:val="0"/>
          <w:sz w:val="24"/>
          <w:szCs w:val="24"/>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rsidR="0080706F" w:rsidRPr="000823AF" w:rsidRDefault="0080706F" w:rsidP="0080706F">
      <w:pPr>
        <w:pStyle w:val="Pismenka"/>
        <w:tabs>
          <w:tab w:val="clear" w:pos="360"/>
        </w:tabs>
        <w:ind w:left="426" w:firstLine="0"/>
        <w:rPr>
          <w:b w:val="0"/>
          <w:sz w:val="24"/>
          <w:szCs w:val="24"/>
        </w:rPr>
      </w:pPr>
    </w:p>
    <w:p w:rsidR="0080706F" w:rsidRDefault="0080706F" w:rsidP="0080706F">
      <w:pPr>
        <w:pStyle w:val="Pismenka"/>
        <w:tabs>
          <w:tab w:val="clear" w:pos="360"/>
        </w:tabs>
        <w:ind w:left="426" w:firstLine="0"/>
        <w:rPr>
          <w:b w:val="0"/>
          <w:sz w:val="24"/>
          <w:szCs w:val="24"/>
        </w:rPr>
      </w:pPr>
      <w:r w:rsidRPr="000823AF">
        <w:rPr>
          <w:b w:val="0"/>
          <w:sz w:val="24"/>
          <w:szCs w:val="24"/>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80706F" w:rsidRPr="00A33E8B" w:rsidRDefault="0080706F" w:rsidP="0080706F">
      <w:pPr>
        <w:pStyle w:val="Pismenka"/>
        <w:tabs>
          <w:tab w:val="clear" w:pos="360"/>
        </w:tabs>
        <w:ind w:left="426" w:firstLine="0"/>
        <w:rPr>
          <w:b w:val="0"/>
          <w:sz w:val="24"/>
          <w:szCs w:val="24"/>
        </w:rPr>
      </w:pPr>
    </w:p>
    <w:p w:rsidR="0080706F" w:rsidRPr="00A33E8B" w:rsidRDefault="0080706F" w:rsidP="0080706F">
      <w:r w:rsidRPr="000823AF">
        <w:t>Ku dňu, ku ktorému sa zostavuje účtovná závierka sa dlhodobý finančný majetok oceňuje takto:</w:t>
      </w:r>
    </w:p>
    <w:p w:rsidR="0080706F" w:rsidRPr="000823AF" w:rsidRDefault="0080706F" w:rsidP="0080706F">
      <w:pPr>
        <w:pStyle w:val="Pismenka"/>
        <w:numPr>
          <w:ilvl w:val="0"/>
          <w:numId w:val="8"/>
        </w:numPr>
        <w:tabs>
          <w:tab w:val="clear" w:pos="340"/>
          <w:tab w:val="num" w:pos="766"/>
        </w:tabs>
        <w:ind w:left="766"/>
        <w:rPr>
          <w:b w:val="0"/>
          <w:sz w:val="24"/>
          <w:szCs w:val="24"/>
        </w:rPr>
      </w:pPr>
      <w:r w:rsidRPr="000823AF">
        <w:rPr>
          <w:b w:val="0"/>
          <w:sz w:val="24"/>
          <w:szCs w:val="24"/>
        </w:rPr>
        <w:lastRenderedPageBreak/>
        <w:t xml:space="preserve">Podielové cenné papiere a podiely v dcérskych, spoločných a pridružených účtovných jednotkách: obstarávacou cenou upravenou o prípadné zníženie ich hodnoty oproti ich oceneniu v účtovníctve. </w:t>
      </w:r>
    </w:p>
    <w:p w:rsidR="0080706F" w:rsidRPr="000823AF" w:rsidRDefault="0080706F" w:rsidP="0080706F">
      <w:pPr>
        <w:pStyle w:val="Pismenka"/>
        <w:tabs>
          <w:tab w:val="clear" w:pos="360"/>
        </w:tabs>
        <w:ind w:left="766" w:firstLine="0"/>
        <w:rPr>
          <w:b w:val="0"/>
          <w:color w:val="0070C0"/>
          <w:sz w:val="24"/>
          <w:szCs w:val="24"/>
        </w:rPr>
      </w:pPr>
    </w:p>
    <w:p w:rsidR="0080706F" w:rsidRPr="000823AF" w:rsidRDefault="0080706F" w:rsidP="0080706F">
      <w:pPr>
        <w:pStyle w:val="Pismenka"/>
        <w:numPr>
          <w:ilvl w:val="0"/>
          <w:numId w:val="10"/>
        </w:numPr>
        <w:rPr>
          <w:sz w:val="24"/>
          <w:szCs w:val="24"/>
        </w:rPr>
      </w:pPr>
      <w:r w:rsidRPr="000823AF">
        <w:rPr>
          <w:sz w:val="24"/>
          <w:szCs w:val="24"/>
        </w:rPr>
        <w:t xml:space="preserve">Zásoby </w:t>
      </w:r>
    </w:p>
    <w:p w:rsidR="0080706F" w:rsidRPr="000823AF" w:rsidRDefault="0080706F" w:rsidP="0080706F">
      <w:pPr>
        <w:pStyle w:val="Zkladntext"/>
        <w:rPr>
          <w:sz w:val="24"/>
          <w:szCs w:val="24"/>
        </w:rPr>
      </w:pPr>
      <w:r w:rsidRPr="000823AF">
        <w:rPr>
          <w:sz w:val="24"/>
          <w:szCs w:val="24"/>
        </w:rPr>
        <w:t>Zásoby sa oceňujú nižšou z nasledujúcich hodnôt: obstarávacou cenou (nakupované zásoby) alebo vlastnými nákladmi (zásoby vytvorené vlastnou činnosťou), alebo čistou realizačnou hodnotou.</w:t>
      </w:r>
    </w:p>
    <w:p w:rsidR="0080706F" w:rsidRPr="000823AF" w:rsidRDefault="0080706F" w:rsidP="0080706F">
      <w:pPr>
        <w:pStyle w:val="Zkladntext"/>
        <w:rPr>
          <w:sz w:val="24"/>
          <w:szCs w:val="24"/>
        </w:rPr>
      </w:pPr>
    </w:p>
    <w:p w:rsidR="0080706F" w:rsidRPr="000823AF" w:rsidRDefault="0080706F" w:rsidP="0080706F">
      <w:pPr>
        <w:pStyle w:val="odstavec"/>
        <w:rPr>
          <w:b/>
          <w:sz w:val="24"/>
          <w:szCs w:val="24"/>
        </w:rPr>
      </w:pPr>
      <w:r w:rsidRPr="000823AF">
        <w:rPr>
          <w:sz w:val="24"/>
          <w:szCs w:val="24"/>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rsidR="0080706F" w:rsidRPr="000823AF" w:rsidRDefault="0080706F" w:rsidP="0080706F">
      <w:pPr>
        <w:pStyle w:val="odstavec"/>
        <w:rPr>
          <w:sz w:val="24"/>
          <w:szCs w:val="24"/>
        </w:rPr>
      </w:pPr>
    </w:p>
    <w:p w:rsidR="0080706F" w:rsidRPr="00CD4BBA" w:rsidRDefault="0080706F" w:rsidP="0080706F">
      <w:pPr>
        <w:pStyle w:val="odstavec"/>
        <w:rPr>
          <w:sz w:val="24"/>
          <w:szCs w:val="24"/>
        </w:rPr>
      </w:pPr>
      <w:r w:rsidRPr="00CD4BBA">
        <w:rPr>
          <w:sz w:val="24"/>
          <w:szCs w:val="24"/>
        </w:rPr>
        <w:t xml:space="preserve">Úbytok zásob sa účtuje v skutočnej obstarávacej cene pričom odchýlky sa rozpúšťajú. </w:t>
      </w:r>
    </w:p>
    <w:p w:rsidR="0080706F" w:rsidRPr="00CD4BBA" w:rsidRDefault="0080706F" w:rsidP="0080706F">
      <w:pPr>
        <w:pStyle w:val="odstavec"/>
        <w:rPr>
          <w:sz w:val="24"/>
          <w:szCs w:val="24"/>
        </w:rPr>
      </w:pPr>
    </w:p>
    <w:p w:rsidR="0080706F" w:rsidRPr="000823AF" w:rsidRDefault="0080706F" w:rsidP="0080706F">
      <w:pPr>
        <w:pStyle w:val="odstavec"/>
        <w:rPr>
          <w:sz w:val="24"/>
          <w:szCs w:val="24"/>
        </w:rPr>
      </w:pPr>
      <w:r w:rsidRPr="000823AF">
        <w:rPr>
          <w:sz w:val="24"/>
          <w:szCs w:val="24"/>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0823AF">
        <w:rPr>
          <w:i/>
          <w:sz w:val="24"/>
          <w:szCs w:val="24"/>
        </w:rPr>
        <w:t>.</w:t>
      </w:r>
      <w:r w:rsidRPr="000823AF">
        <w:rPr>
          <w:sz w:val="24"/>
          <w:szCs w:val="24"/>
        </w:rPr>
        <w:t xml:space="preserve"> Správna réžia a odbytové náklady nie sú súčasťou vlastných nákladov. Súčasťou vlastných nákladov nie sú úroky z úverov. </w:t>
      </w:r>
    </w:p>
    <w:p w:rsidR="0080706F" w:rsidRPr="000823AF" w:rsidRDefault="0080706F" w:rsidP="0080706F">
      <w:pPr>
        <w:pStyle w:val="odstavec"/>
        <w:rPr>
          <w:sz w:val="24"/>
          <w:szCs w:val="24"/>
        </w:rPr>
      </w:pPr>
    </w:p>
    <w:p w:rsidR="0080706F" w:rsidRPr="00CD4BBA" w:rsidRDefault="0080706F" w:rsidP="0080706F">
      <w:pPr>
        <w:pStyle w:val="Zkladntext"/>
        <w:rPr>
          <w:sz w:val="24"/>
          <w:szCs w:val="24"/>
        </w:rPr>
      </w:pPr>
      <w:r w:rsidRPr="00CD4BBA">
        <w:rPr>
          <w:sz w:val="24"/>
          <w:szCs w:val="24"/>
        </w:rPr>
        <w:t xml:space="preserve">Zásoby nadobudnuté zámenou sa oceňujú reálnou hodnotou. Rozdiel medzi reálnou hodnotou nadobudnutých zásob a účtovnou hodnotou odovzdávaných zásob sa účtuje podľa charakteru tohto rozdielu na vecne príslušný nákladový účet, na ktorom sa účtuje úbytok zásob alebo na vecne príslušný výnosový účet, na ktorom sa účtuje dosiahnutie výnosu zo zásob. </w:t>
      </w:r>
    </w:p>
    <w:p w:rsidR="0080706F" w:rsidRPr="00CD4BBA" w:rsidRDefault="0080706F" w:rsidP="0080706F">
      <w:pPr>
        <w:pStyle w:val="Zkladntext"/>
        <w:rPr>
          <w:sz w:val="24"/>
          <w:szCs w:val="24"/>
        </w:rPr>
      </w:pPr>
    </w:p>
    <w:p w:rsidR="0080706F" w:rsidRPr="00CD4BBA" w:rsidRDefault="0080706F" w:rsidP="0080706F">
      <w:pPr>
        <w:pStyle w:val="Zkladntext"/>
        <w:rPr>
          <w:sz w:val="24"/>
          <w:szCs w:val="24"/>
        </w:rPr>
      </w:pPr>
      <w:r w:rsidRPr="00CD4BBA">
        <w:rPr>
          <w:sz w:val="24"/>
          <w:szCs w:val="24"/>
        </w:rPr>
        <w:t xml:space="preserve">Ako nehnuteľnosti na predaj sa účtuje o nehnuteľnosti, ktorá sa obstaráva za účelom ďalšieho predaja. Vynaložené náklady na opravy, technické zhodnotenie a súvisiace náklady spojené s nehnuteľnosťou, ktoré vznikajú z dôvodu uvedenia nehnuteľnosti do stavu spôsobilého na predaj, sú súčasťou ocenenia nehnuteľnosti na predaj jej obstarávacou cenou. Výnos z predaja a odúčtovaná obstarávacia cena nehnuteľnosti ovplyvní výsledok hospodárenia v čase jej predaja.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Čistá realizačná hodnota je predpokladaná predajná cena zásob znížená o predpokladané náklady na ich dokončenie a o predpokladané náklady súvisiace s ich predajom.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Zníženie hodnoty zásob sa zohľadňuje vytvorením opravnej položky.</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Zákazková výroba</w:t>
      </w:r>
    </w:p>
    <w:p w:rsidR="0080706F" w:rsidRPr="000823AF" w:rsidRDefault="0080706F" w:rsidP="0080706F">
      <w:pPr>
        <w:suppressAutoHyphens/>
        <w:autoSpaceDE w:val="0"/>
        <w:autoSpaceDN w:val="0"/>
        <w:adjustRightInd w:val="0"/>
        <w:ind w:left="425"/>
        <w:jc w:val="both"/>
        <w:rPr>
          <w:rFonts w:eastAsia="Calibri"/>
          <w:bCs/>
          <w:iCs/>
        </w:rPr>
      </w:pPr>
      <w:r w:rsidRPr="000823AF">
        <w:rPr>
          <w:rFonts w:eastAsia="Calibri"/>
          <w:bCs/>
          <w:iCs/>
        </w:rPr>
        <w:t>Ak sa výsledok zákazkovej výroby dá spoľahlivo odhadnúť, zmluvné výnosy a zmluvné náklady pripadajúce na účtovné obdobie sa účtujú ako náklady a výnosy metódou stupňa dokončenia (angl. percentage-of-completion method), pričom</w:t>
      </w:r>
      <w:r w:rsidRPr="000823AF">
        <w:rPr>
          <w:bdr w:val="single" w:sz="4" w:space="0" w:color="auto"/>
        </w:rPr>
        <w:t xml:space="preserve"> </w:t>
      </w:r>
      <w:r w:rsidRPr="000823AF">
        <w:rPr>
          <w:rFonts w:eastAsia="Calibri"/>
          <w:bCs/>
          <w:iCs/>
        </w:rPr>
        <w:t>stupeň dokončenia zákazky sa zisťuje kumulatívne na základe aktuálneho rozpočtu zmluvných nákladov a zmluvných výnosov,  ku dňu, ku ktorému sa zost</w:t>
      </w:r>
      <w:r>
        <w:rPr>
          <w:rFonts w:eastAsia="Calibri"/>
          <w:bCs/>
          <w:iCs/>
        </w:rPr>
        <w:t xml:space="preserve">avuje účtovná závierka ako: </w:t>
      </w:r>
    </w:p>
    <w:p w:rsidR="0080706F" w:rsidRPr="000823AF" w:rsidRDefault="0080706F" w:rsidP="0080706F">
      <w:pPr>
        <w:suppressAutoHyphens/>
        <w:autoSpaceDE w:val="0"/>
        <w:autoSpaceDN w:val="0"/>
        <w:adjustRightInd w:val="0"/>
        <w:ind w:left="425"/>
        <w:jc w:val="both"/>
      </w:pPr>
    </w:p>
    <w:p w:rsidR="0080706F" w:rsidRPr="000823AF" w:rsidRDefault="0080706F" w:rsidP="0080706F">
      <w:pPr>
        <w:pStyle w:val="Odsekzoznamu"/>
        <w:numPr>
          <w:ilvl w:val="0"/>
          <w:numId w:val="13"/>
        </w:numPr>
        <w:suppressAutoHyphens/>
        <w:autoSpaceDE w:val="0"/>
        <w:autoSpaceDN w:val="0"/>
        <w:adjustRightInd w:val="0"/>
        <w:jc w:val="both"/>
      </w:pPr>
      <w:r w:rsidRPr="000823AF">
        <w:lastRenderedPageBreak/>
        <w:t>pomer skutočne vynaložených nákladov na zákazkovú výrobu za vykonanú prácu a aktualizovaného rozpočtu celkových nákladov na zákazkovú výrobu,</w:t>
      </w:r>
    </w:p>
    <w:p w:rsidR="0080706F" w:rsidRPr="000823AF" w:rsidRDefault="0080706F" w:rsidP="0080706F">
      <w:pPr>
        <w:pStyle w:val="odstavec"/>
        <w:rPr>
          <w:sz w:val="24"/>
          <w:szCs w:val="24"/>
        </w:rPr>
      </w:pPr>
    </w:p>
    <w:p w:rsidR="0080706F" w:rsidRPr="000823AF" w:rsidRDefault="0080706F" w:rsidP="0080706F">
      <w:pPr>
        <w:suppressAutoHyphens/>
        <w:autoSpaceDE w:val="0"/>
        <w:autoSpaceDN w:val="0"/>
        <w:adjustRightInd w:val="0"/>
        <w:ind w:left="425"/>
        <w:jc w:val="both"/>
      </w:pPr>
      <w:r w:rsidRPr="000823AF">
        <w:t xml:space="preserve">Náklady na zákazku sa vykážu v období, v ktorom vznikli. Náklady vynaložené v bežnom roku a súvisiace s budúcou činnosťou na zákazke sa do výpočtu stupňa dokončenia nezahrnú. </w:t>
      </w:r>
    </w:p>
    <w:p w:rsidR="0080706F" w:rsidRPr="000823AF" w:rsidRDefault="0080706F" w:rsidP="0080706F">
      <w:pPr>
        <w:suppressAutoHyphens/>
        <w:autoSpaceDE w:val="0"/>
        <w:autoSpaceDN w:val="0"/>
        <w:adjustRightInd w:val="0"/>
        <w:ind w:left="425"/>
        <w:jc w:val="both"/>
      </w:pPr>
      <w:r w:rsidRPr="000823AF">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rsidR="0080706F" w:rsidRPr="000823AF" w:rsidRDefault="0080706F" w:rsidP="0080706F">
      <w:pPr>
        <w:suppressAutoHyphens/>
        <w:autoSpaceDE w:val="0"/>
        <w:autoSpaceDN w:val="0"/>
        <w:adjustRightInd w:val="0"/>
        <w:ind w:left="425"/>
        <w:jc w:val="both"/>
      </w:pPr>
    </w:p>
    <w:p w:rsidR="0080706F" w:rsidRPr="000823AF" w:rsidRDefault="0080706F" w:rsidP="0080706F">
      <w:pPr>
        <w:suppressAutoHyphens/>
        <w:autoSpaceDE w:val="0"/>
        <w:autoSpaceDN w:val="0"/>
        <w:adjustRightInd w:val="0"/>
        <w:ind w:left="425"/>
        <w:jc w:val="both"/>
      </w:pPr>
      <w:r w:rsidRPr="000823AF">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rsidR="0080706F" w:rsidRPr="000823AF" w:rsidRDefault="0080706F" w:rsidP="0080706F">
      <w:pPr>
        <w:pStyle w:val="odstavec"/>
        <w:rPr>
          <w:sz w:val="24"/>
          <w:szCs w:val="24"/>
        </w:rPr>
      </w:pPr>
    </w:p>
    <w:p w:rsidR="0080706F" w:rsidRPr="000823AF" w:rsidRDefault="0080706F" w:rsidP="0080706F">
      <w:pPr>
        <w:suppressAutoHyphens/>
        <w:autoSpaceDE w:val="0"/>
        <w:autoSpaceDN w:val="0"/>
        <w:adjustRightInd w:val="0"/>
        <w:ind w:left="425"/>
        <w:jc w:val="both"/>
      </w:pPr>
      <w:r w:rsidRPr="000823AF">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80706F" w:rsidRPr="000823AF" w:rsidRDefault="0080706F" w:rsidP="0080706F">
      <w:pPr>
        <w:pStyle w:val="odstavec"/>
        <w:rPr>
          <w:sz w:val="24"/>
          <w:szCs w:val="24"/>
        </w:rPr>
      </w:pPr>
    </w:p>
    <w:p w:rsidR="0080706F" w:rsidRPr="000823AF" w:rsidRDefault="0080706F" w:rsidP="0080706F">
      <w:pPr>
        <w:suppressAutoHyphens/>
        <w:autoSpaceDE w:val="0"/>
        <w:autoSpaceDN w:val="0"/>
        <w:adjustRightInd w:val="0"/>
        <w:ind w:left="425"/>
        <w:jc w:val="both"/>
      </w:pPr>
      <w:r w:rsidRPr="000823AF">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rsidR="0080706F" w:rsidRPr="000823AF" w:rsidRDefault="0080706F" w:rsidP="0080706F">
      <w:pPr>
        <w:pStyle w:val="odstavec"/>
        <w:rPr>
          <w:sz w:val="24"/>
          <w:szCs w:val="24"/>
        </w:rPr>
      </w:pPr>
    </w:p>
    <w:p w:rsidR="0080706F" w:rsidRPr="000823AF" w:rsidRDefault="0080706F" w:rsidP="0080706F">
      <w:pPr>
        <w:suppressAutoHyphens/>
        <w:autoSpaceDE w:val="0"/>
        <w:autoSpaceDN w:val="0"/>
        <w:adjustRightInd w:val="0"/>
        <w:ind w:left="425"/>
        <w:jc w:val="both"/>
      </w:pPr>
      <w:r w:rsidRPr="000823AF">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rsidR="0080706F" w:rsidRPr="000823AF" w:rsidRDefault="0080706F" w:rsidP="0080706F">
      <w:pPr>
        <w:suppressAutoHyphens/>
        <w:autoSpaceDE w:val="0"/>
        <w:autoSpaceDN w:val="0"/>
        <w:adjustRightInd w:val="0"/>
        <w:ind w:left="425"/>
        <w:jc w:val="both"/>
      </w:pPr>
    </w:p>
    <w:p w:rsidR="0080706F" w:rsidRPr="000823AF" w:rsidRDefault="0080706F" w:rsidP="0080706F">
      <w:pPr>
        <w:suppressAutoHyphens/>
        <w:autoSpaceDE w:val="0"/>
        <w:autoSpaceDN w:val="0"/>
        <w:adjustRightInd w:val="0"/>
        <w:ind w:left="425"/>
        <w:jc w:val="both"/>
      </w:pPr>
      <w:r w:rsidRPr="000823AF">
        <w:t xml:space="preserve">Spájanie zmlúv. Ako jedna zákazková výroba sa účtuje skupina zmlúv s jedným objednávateľom alebo s niekoľkými objednávateľmi, ak sú súčasne splnené tieto podmienky: </w:t>
      </w:r>
    </w:p>
    <w:p w:rsidR="0080706F" w:rsidRPr="000823AF" w:rsidRDefault="0080706F" w:rsidP="0080706F">
      <w:pPr>
        <w:suppressAutoHyphens/>
        <w:autoSpaceDE w:val="0"/>
        <w:autoSpaceDN w:val="0"/>
        <w:adjustRightInd w:val="0"/>
        <w:ind w:left="425"/>
        <w:jc w:val="both"/>
      </w:pPr>
    </w:p>
    <w:p w:rsidR="0080706F" w:rsidRPr="000823AF" w:rsidRDefault="0080706F" w:rsidP="0080706F">
      <w:pPr>
        <w:pStyle w:val="Odsekzoznamu"/>
        <w:numPr>
          <w:ilvl w:val="0"/>
          <w:numId w:val="14"/>
        </w:numPr>
        <w:suppressAutoHyphens/>
        <w:autoSpaceDE w:val="0"/>
        <w:autoSpaceDN w:val="0"/>
        <w:adjustRightInd w:val="0"/>
        <w:jc w:val="both"/>
      </w:pPr>
      <w:r w:rsidRPr="000823AF">
        <w:t>skupina zmlúv a ich podmienky sa dohadujú ako celok,</w:t>
      </w:r>
    </w:p>
    <w:p w:rsidR="0080706F" w:rsidRPr="000823AF" w:rsidRDefault="0080706F" w:rsidP="0080706F">
      <w:pPr>
        <w:pStyle w:val="Odsekzoznamu"/>
        <w:numPr>
          <w:ilvl w:val="0"/>
          <w:numId w:val="14"/>
        </w:numPr>
        <w:suppressAutoHyphens/>
        <w:autoSpaceDE w:val="0"/>
        <w:autoSpaceDN w:val="0"/>
        <w:adjustRightInd w:val="0"/>
        <w:jc w:val="both"/>
      </w:pPr>
      <w:r w:rsidRPr="000823AF">
        <w:t>skupina zmlúv vzájomne úzko súvisí tak, že sú súčasťou jedného projektu a majú spoločnú maržu,</w:t>
      </w:r>
    </w:p>
    <w:p w:rsidR="0080706F" w:rsidRPr="000823AF" w:rsidRDefault="0080706F" w:rsidP="0080706F">
      <w:pPr>
        <w:pStyle w:val="Odsekzoznamu"/>
        <w:numPr>
          <w:ilvl w:val="0"/>
          <w:numId w:val="14"/>
        </w:numPr>
        <w:suppressAutoHyphens/>
        <w:autoSpaceDE w:val="0"/>
        <w:autoSpaceDN w:val="0"/>
        <w:adjustRightInd w:val="0"/>
        <w:jc w:val="both"/>
      </w:pPr>
      <w:r w:rsidRPr="000823AF">
        <w:t xml:space="preserve">zmluvy sa vykonávajú súbežne alebo na seba postupne nadväzujú. </w:t>
      </w:r>
    </w:p>
    <w:p w:rsidR="0080706F" w:rsidRPr="000823AF" w:rsidRDefault="0080706F" w:rsidP="0080706F">
      <w:pPr>
        <w:suppressAutoHyphens/>
        <w:autoSpaceDE w:val="0"/>
        <w:autoSpaceDN w:val="0"/>
        <w:adjustRightInd w:val="0"/>
        <w:ind w:left="425"/>
        <w:jc w:val="both"/>
      </w:pPr>
    </w:p>
    <w:p w:rsidR="0080706F" w:rsidRPr="000823AF" w:rsidRDefault="0080706F" w:rsidP="0080706F">
      <w:pPr>
        <w:suppressAutoHyphens/>
        <w:autoSpaceDE w:val="0"/>
        <w:autoSpaceDN w:val="0"/>
        <w:adjustRightInd w:val="0"/>
        <w:ind w:left="425"/>
        <w:jc w:val="both"/>
      </w:pPr>
      <w:r w:rsidRPr="000823AF">
        <w:t>Delenie zmlúv. Ak sa v jednej zmluve dohodlo zhotovenie viacerých majetkov, účtuje sa o zhotovení jednotlivého majetku tvoriaceho predmet zmluvy ako o samostatnej zákazkovej výrobe, ak sú súčasne splnené tieto podmienky:</w:t>
      </w:r>
    </w:p>
    <w:p w:rsidR="0080706F" w:rsidRPr="000823AF" w:rsidRDefault="0080706F" w:rsidP="0080706F">
      <w:pPr>
        <w:suppressAutoHyphens/>
        <w:autoSpaceDE w:val="0"/>
        <w:autoSpaceDN w:val="0"/>
        <w:adjustRightInd w:val="0"/>
        <w:ind w:left="425"/>
        <w:jc w:val="both"/>
      </w:pPr>
    </w:p>
    <w:p w:rsidR="0080706F" w:rsidRPr="000823AF" w:rsidRDefault="0080706F" w:rsidP="0080706F">
      <w:pPr>
        <w:pStyle w:val="Odsekzoznamu"/>
        <w:numPr>
          <w:ilvl w:val="0"/>
          <w:numId w:val="15"/>
        </w:numPr>
        <w:suppressAutoHyphens/>
        <w:autoSpaceDE w:val="0"/>
        <w:autoSpaceDN w:val="0"/>
        <w:adjustRightInd w:val="0"/>
        <w:jc w:val="both"/>
      </w:pPr>
      <w:r w:rsidRPr="000823AF">
        <w:t>pre jednotlivý majetok sa predložili samostatné ponuky,</w:t>
      </w:r>
    </w:p>
    <w:p w:rsidR="0080706F" w:rsidRPr="000823AF" w:rsidRDefault="0080706F" w:rsidP="0080706F">
      <w:pPr>
        <w:pStyle w:val="Odsekzoznamu"/>
        <w:numPr>
          <w:ilvl w:val="0"/>
          <w:numId w:val="15"/>
        </w:numPr>
        <w:suppressAutoHyphens/>
        <w:autoSpaceDE w:val="0"/>
        <w:autoSpaceDN w:val="0"/>
        <w:adjustRightInd w:val="0"/>
        <w:jc w:val="both"/>
      </w:pPr>
      <w:r w:rsidRPr="000823AF">
        <w:t>jednotlivý majetok bol predmetom samostatného rokovania a zhotoviteľ a objednávateľ mali možnosť prijať alebo odmietnuť tú časť zmluvy, ktorá sa vzťahuje na jednotlivý majetok,</w:t>
      </w:r>
    </w:p>
    <w:p w:rsidR="0080706F" w:rsidRPr="000823AF" w:rsidRDefault="0080706F" w:rsidP="0080706F">
      <w:pPr>
        <w:pStyle w:val="Odsekzoznamu"/>
        <w:numPr>
          <w:ilvl w:val="0"/>
          <w:numId w:val="15"/>
        </w:numPr>
        <w:suppressAutoHyphens/>
        <w:autoSpaceDE w:val="0"/>
        <w:autoSpaceDN w:val="0"/>
        <w:adjustRightInd w:val="0"/>
        <w:jc w:val="both"/>
      </w:pPr>
      <w:r w:rsidRPr="000823AF">
        <w:t>ku jednotlivému majetku možno identifikovať zmluvné náklady a zmluvné výnosy.</w:t>
      </w:r>
    </w:p>
    <w:p w:rsidR="0080706F" w:rsidRPr="000823AF" w:rsidRDefault="0080706F" w:rsidP="0080706F">
      <w:pPr>
        <w:pStyle w:val="Pismenka"/>
        <w:tabs>
          <w:tab w:val="clear" w:pos="360"/>
        </w:tabs>
        <w:ind w:left="0" w:firstLine="0"/>
        <w:rPr>
          <w:b w:val="0"/>
          <w:sz w:val="24"/>
          <w:szCs w:val="24"/>
        </w:rPr>
      </w:pPr>
    </w:p>
    <w:p w:rsidR="0080706F" w:rsidRPr="000823AF" w:rsidRDefault="0080706F" w:rsidP="0080706F">
      <w:pPr>
        <w:pStyle w:val="Pismenka"/>
        <w:numPr>
          <w:ilvl w:val="0"/>
          <w:numId w:val="10"/>
        </w:numPr>
        <w:rPr>
          <w:sz w:val="24"/>
          <w:szCs w:val="24"/>
        </w:rPr>
      </w:pPr>
      <w:r w:rsidRPr="000823AF">
        <w:rPr>
          <w:sz w:val="24"/>
          <w:szCs w:val="24"/>
        </w:rPr>
        <w:t>Zákazková výstavba nehnuteľnosti</w:t>
      </w:r>
    </w:p>
    <w:p w:rsidR="0080706F" w:rsidRPr="000823AF" w:rsidRDefault="0080706F" w:rsidP="0080706F">
      <w:pPr>
        <w:pStyle w:val="Zkladntext"/>
        <w:rPr>
          <w:b/>
          <w:i/>
          <w:sz w:val="24"/>
          <w:szCs w:val="24"/>
        </w:rPr>
      </w:pPr>
      <w:r w:rsidRPr="000823AF">
        <w:rPr>
          <w:b/>
          <w:i/>
          <w:sz w:val="24"/>
          <w:szCs w:val="24"/>
        </w:rPr>
        <w:t>Zákazková výstavba nehnuteľnosti – priebežný transfer</w:t>
      </w:r>
    </w:p>
    <w:p w:rsidR="0080706F" w:rsidRPr="000823AF" w:rsidRDefault="0080706F" w:rsidP="0080706F">
      <w:pPr>
        <w:pStyle w:val="Zkladntext"/>
        <w:rPr>
          <w:sz w:val="24"/>
          <w:szCs w:val="24"/>
        </w:rPr>
      </w:pPr>
      <w:r w:rsidRPr="000823AF">
        <w:rPr>
          <w:sz w:val="24"/>
          <w:szCs w:val="24"/>
        </w:rPr>
        <w:t xml:space="preserve">Zákazková výstavba nehnuteľnosti určenej na predaj sa vykazuje podľa metódy stupňa dokončenia (angl. percentage-of-completion method). </w:t>
      </w:r>
    </w:p>
    <w:p w:rsidR="0080706F" w:rsidRPr="000823AF" w:rsidRDefault="0080706F" w:rsidP="0080706F">
      <w:pPr>
        <w:pStyle w:val="Zkladntext"/>
        <w:ind w:left="0"/>
        <w:rPr>
          <w:sz w:val="24"/>
          <w:szCs w:val="24"/>
        </w:rPr>
      </w:pPr>
    </w:p>
    <w:p w:rsidR="0080706F" w:rsidRPr="000823AF" w:rsidRDefault="0080706F" w:rsidP="0080706F">
      <w:pPr>
        <w:pStyle w:val="Zkladntext"/>
        <w:rPr>
          <w:b/>
          <w:i/>
          <w:sz w:val="24"/>
          <w:szCs w:val="24"/>
        </w:rPr>
      </w:pPr>
      <w:r w:rsidRPr="000823AF">
        <w:rPr>
          <w:b/>
          <w:i/>
          <w:sz w:val="24"/>
          <w:szCs w:val="24"/>
        </w:rPr>
        <w:t>Zákazková výstavba nehnuteľnosti – ostatná (nie priebežný transfer)</w:t>
      </w:r>
    </w:p>
    <w:p w:rsidR="0080706F" w:rsidRDefault="0080706F" w:rsidP="0080706F">
      <w:pPr>
        <w:pStyle w:val="Zkladntext"/>
      </w:pPr>
      <w:r w:rsidRPr="000823AF">
        <w:rPr>
          <w:sz w:val="24"/>
          <w:szCs w:val="24"/>
        </w:rPr>
        <w:t>Zákazková výstavba nehnuteľnosti určenej na predaj – ostatná (nie priebežný transfer) sa vykazuje metódou tzv. nulového zisku, t. j. zisk sa vykáže až pri predaji nehnuteľnosti.</w:t>
      </w:r>
    </w:p>
    <w:p w:rsidR="0080706F" w:rsidRPr="001463C8"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Pohľadávky</w:t>
      </w:r>
    </w:p>
    <w:p w:rsidR="0080706F" w:rsidRPr="000823AF" w:rsidRDefault="0080706F" w:rsidP="0080706F">
      <w:pPr>
        <w:pStyle w:val="Zkladntext"/>
        <w:rPr>
          <w:sz w:val="24"/>
          <w:szCs w:val="24"/>
        </w:rPr>
      </w:pPr>
      <w:r w:rsidRPr="000823AF">
        <w:rPr>
          <w:sz w:val="24"/>
          <w:szCs w:val="24"/>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80706F" w:rsidRPr="000823AF" w:rsidRDefault="0080706F" w:rsidP="0080706F">
      <w:pPr>
        <w:pStyle w:val="Zkladntext"/>
        <w:ind w:left="0"/>
        <w:rPr>
          <w:sz w:val="24"/>
          <w:szCs w:val="24"/>
        </w:rPr>
      </w:pPr>
    </w:p>
    <w:p w:rsidR="0080706F" w:rsidRPr="000823AF" w:rsidRDefault="0080706F" w:rsidP="0080706F">
      <w:pPr>
        <w:pStyle w:val="Pismenka"/>
        <w:numPr>
          <w:ilvl w:val="0"/>
          <w:numId w:val="10"/>
        </w:numPr>
        <w:rPr>
          <w:sz w:val="24"/>
          <w:szCs w:val="24"/>
        </w:rPr>
      </w:pPr>
      <w:r w:rsidRPr="000823AF">
        <w:rPr>
          <w:sz w:val="24"/>
          <w:szCs w:val="24"/>
        </w:rPr>
        <w:t>Krátkodobý finančný majetok</w:t>
      </w:r>
    </w:p>
    <w:p w:rsidR="0080706F" w:rsidRPr="000823AF" w:rsidRDefault="0080706F" w:rsidP="0080706F">
      <w:pPr>
        <w:pStyle w:val="Zkladntext"/>
        <w:rPr>
          <w:b/>
          <w:sz w:val="24"/>
          <w:szCs w:val="24"/>
        </w:rPr>
      </w:pPr>
      <w:r w:rsidRPr="000823AF">
        <w:rPr>
          <w:sz w:val="24"/>
          <w:szCs w:val="24"/>
        </w:rP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rsidR="0080706F" w:rsidRPr="000823AF" w:rsidRDefault="0080706F" w:rsidP="0080706F">
      <w:pPr>
        <w:pStyle w:val="odstavec"/>
        <w:ind w:left="0"/>
        <w:rPr>
          <w:sz w:val="24"/>
          <w:szCs w:val="24"/>
        </w:rPr>
      </w:pPr>
    </w:p>
    <w:p w:rsidR="0080706F" w:rsidRPr="000823AF" w:rsidRDefault="0080706F" w:rsidP="0080706F">
      <w:pPr>
        <w:pStyle w:val="Pismenka"/>
        <w:numPr>
          <w:ilvl w:val="0"/>
          <w:numId w:val="10"/>
        </w:numPr>
        <w:rPr>
          <w:sz w:val="24"/>
          <w:szCs w:val="24"/>
        </w:rPr>
      </w:pPr>
      <w:r w:rsidRPr="000823AF">
        <w:rPr>
          <w:sz w:val="24"/>
          <w:szCs w:val="24"/>
        </w:rPr>
        <w:t>Vlastné akcie a vlastné obchodné podiely</w:t>
      </w:r>
    </w:p>
    <w:p w:rsidR="0080706F" w:rsidRPr="000823AF" w:rsidRDefault="0080706F" w:rsidP="0080706F">
      <w:pPr>
        <w:pStyle w:val="Pismenka"/>
        <w:tabs>
          <w:tab w:val="clear" w:pos="360"/>
        </w:tabs>
        <w:ind w:left="426" w:firstLine="0"/>
        <w:rPr>
          <w:sz w:val="24"/>
          <w:szCs w:val="24"/>
        </w:rPr>
      </w:pPr>
      <w:r w:rsidRPr="000823AF">
        <w:rPr>
          <w:b w:val="0"/>
          <w:sz w:val="24"/>
          <w:szCs w:val="24"/>
        </w:rPr>
        <w:t xml:space="preserve">Vlastné akcie a vlastné obchodné podiely sa oceňujú obstarávacou cenou. Na vlastné akcie a vlastné obchodné podiely sa vo vlastnom imaní vytvára rezervný fond.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Finančné účty</w:t>
      </w:r>
    </w:p>
    <w:p w:rsidR="0080706F" w:rsidRPr="00CD4BBA" w:rsidRDefault="0080706F" w:rsidP="0080706F">
      <w:pPr>
        <w:pStyle w:val="Pismenka"/>
        <w:tabs>
          <w:tab w:val="clear" w:pos="360"/>
        </w:tabs>
        <w:ind w:left="426" w:firstLine="0"/>
        <w:rPr>
          <w:b w:val="0"/>
          <w:sz w:val="24"/>
          <w:szCs w:val="24"/>
        </w:rPr>
      </w:pPr>
      <w:r w:rsidRPr="00CD4BBA">
        <w:rPr>
          <w:b w:val="0"/>
          <w:sz w:val="24"/>
          <w:szCs w:val="24"/>
        </w:rPr>
        <w:t xml:space="preserve">Finančné účty tvorí peňažná hotovosť, ceniny, zostatky na bankových účtoch a oceňujú sa menovitou hodnotou. Zníženie ich hodnoty sa vyjadruje opravnou položkou. </w:t>
      </w:r>
    </w:p>
    <w:p w:rsidR="0080706F" w:rsidRPr="00CD4BBA" w:rsidRDefault="0080706F" w:rsidP="0080706F">
      <w:pPr>
        <w:pStyle w:val="odstavec"/>
        <w:rPr>
          <w:sz w:val="24"/>
          <w:szCs w:val="24"/>
        </w:rPr>
      </w:pPr>
    </w:p>
    <w:p w:rsidR="0080706F" w:rsidRPr="000823AF" w:rsidRDefault="0080706F" w:rsidP="0080706F">
      <w:pPr>
        <w:pStyle w:val="Pismenka"/>
        <w:numPr>
          <w:ilvl w:val="0"/>
          <w:numId w:val="10"/>
        </w:numPr>
        <w:rPr>
          <w:sz w:val="24"/>
          <w:szCs w:val="24"/>
        </w:rPr>
      </w:pPr>
      <w:r w:rsidRPr="000823AF">
        <w:rPr>
          <w:sz w:val="24"/>
          <w:szCs w:val="24"/>
        </w:rPr>
        <w:t>Emisné kvóty</w:t>
      </w:r>
    </w:p>
    <w:p w:rsidR="0080706F" w:rsidRPr="00CD4BBA" w:rsidRDefault="0080706F" w:rsidP="0080706F">
      <w:pPr>
        <w:pStyle w:val="Pismenka"/>
        <w:tabs>
          <w:tab w:val="clear" w:pos="360"/>
        </w:tabs>
        <w:ind w:left="426" w:firstLine="0"/>
        <w:rPr>
          <w:b w:val="0"/>
          <w:sz w:val="24"/>
          <w:szCs w:val="24"/>
        </w:rPr>
      </w:pPr>
      <w:r w:rsidRPr="000823AF">
        <w:rPr>
          <w:b w:val="0"/>
          <w:sz w:val="24"/>
          <w:szCs w:val="24"/>
        </w:rPr>
        <w:lastRenderedPageBreak/>
        <w:t xml:space="preserve">Bezodplatne pridelené emisné kvóty sú vykázané ako krátkodobý finančný majetok súvzťažne s účtom výnosov budúcich období a oceňujú sa reprodukčnou obstarávacou cenou ku dňu ich pripísania na účet Národného registra emisných kvót. Ako referenčnú burzu na stanovenie reprodukčnej obstarávacej ceny Spoločnosť používa </w:t>
      </w:r>
      <w:r w:rsidRPr="00CD4BBA">
        <w:rPr>
          <w:b w:val="0"/>
          <w:sz w:val="24"/>
          <w:szCs w:val="24"/>
        </w:rPr>
        <w:t>Európsku energetickú burzu.</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Zúčtovanie výnosov budúcich období sa uskutočňuje v časovej a vecnej súvislosti s použitím bezodplatne pripísaných emisných kvót z dôvodu ich predaja alebo tvorby rezervy alebo splnenia povinnosti odovzdania emisných kvót.</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Nakúpené emisné kvóty sa oceňujú obstarávacou cenou.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Ku dňu, ku ktorému sa zostavuje účtovná závierka sa vytvára rezerva na emisie vypustené do ovzdušia vo výške násobku známeho množstva vypustených emisií do ovzdušia a hodnoty emisných kvót stanovenej </w:t>
      </w:r>
      <w:r w:rsidRPr="00CD4BBA">
        <w:rPr>
          <w:sz w:val="24"/>
          <w:szCs w:val="24"/>
        </w:rPr>
        <w:t>Európskou energetickou burzou. Tvorba</w:t>
      </w:r>
      <w:r w:rsidRPr="000823AF">
        <w:rPr>
          <w:sz w:val="24"/>
          <w:szCs w:val="24"/>
        </w:rPr>
        <w:t xml:space="preserve">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Náklady budúcich období a príjmy budúcich období</w:t>
      </w:r>
    </w:p>
    <w:p w:rsidR="0080706F" w:rsidRPr="000823AF" w:rsidRDefault="0080706F" w:rsidP="0080706F">
      <w:pPr>
        <w:pStyle w:val="Zkladntext"/>
        <w:rPr>
          <w:sz w:val="24"/>
          <w:szCs w:val="24"/>
        </w:rPr>
      </w:pPr>
      <w:r w:rsidRPr="000823AF">
        <w:rPr>
          <w:sz w:val="24"/>
          <w:szCs w:val="24"/>
        </w:rPr>
        <w:t>Náklady budúcich období a príjmy budúcich období sa vykazujú vo výške, ktorá je potrebná na dodržanie zásady vecnej a časovej súvislosti s účtovným obdobím.</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Zníženie hodnoty majetku a opravné položky</w:t>
      </w:r>
    </w:p>
    <w:p w:rsidR="0080706F" w:rsidRPr="000823AF" w:rsidRDefault="0080706F" w:rsidP="0080706F">
      <w:pPr>
        <w:pStyle w:val="Pismenka"/>
        <w:tabs>
          <w:tab w:val="clear" w:pos="360"/>
        </w:tabs>
        <w:ind w:left="426" w:firstLine="0"/>
        <w:rPr>
          <w:b w:val="0"/>
          <w:sz w:val="24"/>
          <w:szCs w:val="24"/>
        </w:rPr>
      </w:pPr>
      <w:r w:rsidRPr="000823AF">
        <w:rPr>
          <w:b w:val="0"/>
          <w:sz w:val="24"/>
          <w:szCs w:val="24"/>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80706F" w:rsidRDefault="0080706F" w:rsidP="0080706F">
      <w:pPr>
        <w:rPr>
          <w:b/>
        </w:rPr>
      </w:pPr>
    </w:p>
    <w:p w:rsidR="0080706F" w:rsidRPr="00CD4BBA" w:rsidRDefault="0080706F" w:rsidP="0080706F">
      <w:pPr>
        <w:rPr>
          <w:b/>
        </w:rPr>
      </w:pPr>
      <w:r>
        <w:rPr>
          <w:b/>
          <w:i/>
        </w:rPr>
        <w:t xml:space="preserve">       </w:t>
      </w:r>
      <w:r w:rsidRPr="00CD4BBA">
        <w:rPr>
          <w:b/>
          <w:i/>
        </w:rPr>
        <w:t>Zníženie hodnoty dlhodobého majetku a zásob</w:t>
      </w:r>
    </w:p>
    <w:p w:rsidR="0080706F" w:rsidRPr="000823AF" w:rsidRDefault="0080706F" w:rsidP="0080706F">
      <w:pPr>
        <w:pStyle w:val="Pismenka"/>
        <w:tabs>
          <w:tab w:val="clear" w:pos="360"/>
        </w:tabs>
        <w:ind w:left="426" w:firstLine="0"/>
        <w:rPr>
          <w:b w:val="0"/>
          <w:sz w:val="24"/>
          <w:szCs w:val="24"/>
        </w:rPr>
      </w:pPr>
      <w:r w:rsidRPr="000823AF">
        <w:rPr>
          <w:b w:val="0"/>
          <w:sz w:val="24"/>
          <w:szCs w:val="24"/>
        </w:rPr>
        <w:t xml:space="preserve">Ku každému dňu, ku ktorému sa zostavuje účtovná závierka, je účtovná hodnota majetku Spoločnosti, iného ako odloženej daňovej pohľadávky (pozri bod </w:t>
      </w:r>
      <w:r w:rsidRPr="000823AF">
        <w:rPr>
          <w:b w:val="0"/>
          <w:sz w:val="24"/>
          <w:szCs w:val="24"/>
          <w:highlight w:val="lightGray"/>
        </w:rPr>
        <w:t>D.19</w:t>
      </w:r>
      <w:r w:rsidRPr="000823AF">
        <w:rPr>
          <w:b w:val="0"/>
          <w:sz w:val="24"/>
          <w:szCs w:val="24"/>
        </w:rPr>
        <w:t xml:space="preserve">. Odložené dane) posudzovaná s cieľom zistiť, či existujú indikátory, že by mohlo dôjsť k zníženiu hodnoty majetku. Ak takéto indikátory existujú, potom sa odhadnú predpokladané budúce ekonomické úžitky z daného majetku. </w:t>
      </w:r>
    </w:p>
    <w:p w:rsidR="0080706F" w:rsidRPr="000823AF" w:rsidRDefault="0080706F" w:rsidP="0080706F">
      <w:pPr>
        <w:pStyle w:val="Pismenka"/>
        <w:tabs>
          <w:tab w:val="clear" w:pos="360"/>
        </w:tabs>
        <w:ind w:left="426" w:firstLine="0"/>
        <w:rPr>
          <w:b w:val="0"/>
          <w:sz w:val="24"/>
          <w:szCs w:val="24"/>
        </w:rPr>
      </w:pPr>
    </w:p>
    <w:p w:rsidR="0080706F" w:rsidRPr="000823AF" w:rsidRDefault="0080706F" w:rsidP="0080706F">
      <w:pPr>
        <w:pStyle w:val="Pismenka"/>
        <w:tabs>
          <w:tab w:val="clear" w:pos="360"/>
        </w:tabs>
        <w:ind w:left="426" w:firstLine="0"/>
        <w:rPr>
          <w:b w:val="0"/>
          <w:sz w:val="24"/>
          <w:szCs w:val="24"/>
        </w:rPr>
      </w:pPr>
      <w:r w:rsidRPr="000823AF">
        <w:rPr>
          <w:b w:val="0"/>
          <w:sz w:val="24"/>
          <w:szCs w:val="24"/>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80706F" w:rsidRPr="000823AF" w:rsidRDefault="0080706F" w:rsidP="0080706F">
      <w:pPr>
        <w:pStyle w:val="Pismenka"/>
        <w:tabs>
          <w:tab w:val="clear" w:pos="360"/>
        </w:tabs>
        <w:ind w:left="0" w:firstLine="0"/>
        <w:rPr>
          <w:b w:val="0"/>
          <w:sz w:val="24"/>
          <w:szCs w:val="24"/>
        </w:rPr>
      </w:pPr>
    </w:p>
    <w:p w:rsidR="0080706F" w:rsidRPr="000823AF" w:rsidRDefault="0080706F" w:rsidP="0080706F">
      <w:pPr>
        <w:pStyle w:val="Pismenka"/>
        <w:tabs>
          <w:tab w:val="clear" w:pos="360"/>
        </w:tabs>
        <w:ind w:left="426" w:firstLine="0"/>
        <w:rPr>
          <w:i/>
          <w:sz w:val="24"/>
          <w:szCs w:val="24"/>
        </w:rPr>
      </w:pPr>
      <w:r w:rsidRPr="000823AF">
        <w:rPr>
          <w:i/>
          <w:sz w:val="24"/>
          <w:szCs w:val="24"/>
        </w:rPr>
        <w:t xml:space="preserve">Zníženie hodnoty finančného majetku a pohľadávok </w:t>
      </w:r>
    </w:p>
    <w:p w:rsidR="0080706F" w:rsidRPr="000823AF" w:rsidRDefault="0080706F" w:rsidP="0080706F">
      <w:pPr>
        <w:pStyle w:val="Pismenka"/>
        <w:tabs>
          <w:tab w:val="clear" w:pos="360"/>
        </w:tabs>
        <w:ind w:left="426" w:firstLine="0"/>
        <w:rPr>
          <w:b w:val="0"/>
          <w:sz w:val="24"/>
          <w:szCs w:val="24"/>
        </w:rPr>
      </w:pPr>
      <w:r w:rsidRPr="000823AF">
        <w:rPr>
          <w:b w:val="0"/>
          <w:sz w:val="24"/>
          <w:szCs w:val="24"/>
        </w:rPr>
        <w:lastRenderedPageBreak/>
        <w:t>Ku každému dňu, ku ktorému sa zostavuje účtovná závierka sa finančný majetok, ktorý nie je ocenený reálnou hodnotou posudzuje s cieľom zistiť, či existujú objektívne dôkazy zníženia jeho hodnoty.</w:t>
      </w:r>
    </w:p>
    <w:p w:rsidR="0080706F" w:rsidRPr="000823AF" w:rsidRDefault="0080706F" w:rsidP="0080706F">
      <w:pPr>
        <w:pStyle w:val="Pismenka"/>
        <w:tabs>
          <w:tab w:val="clear" w:pos="360"/>
        </w:tabs>
        <w:ind w:left="426" w:firstLine="0"/>
        <w:rPr>
          <w:b w:val="0"/>
          <w:sz w:val="24"/>
          <w:szCs w:val="24"/>
        </w:rPr>
      </w:pPr>
    </w:p>
    <w:p w:rsidR="0080706F" w:rsidRPr="000823AF" w:rsidRDefault="0080706F" w:rsidP="0080706F">
      <w:pPr>
        <w:pStyle w:val="Pismenka"/>
        <w:tabs>
          <w:tab w:val="clear" w:pos="360"/>
        </w:tabs>
        <w:ind w:left="426" w:firstLine="0"/>
        <w:rPr>
          <w:b w:val="0"/>
          <w:sz w:val="24"/>
          <w:szCs w:val="24"/>
        </w:rPr>
      </w:pPr>
      <w:r w:rsidRPr="000823AF">
        <w:rPr>
          <w:b w:val="0"/>
          <w:sz w:val="24"/>
          <w:szCs w:val="24"/>
        </w:rPr>
        <w:t>Medzi objektívne dôkazy o znížení hodnoty finančného majetku patrí nesplácanie dlhu alebo protiprávne konanie dlžníka, reštrukturalizácia pohľadávok Spoločnosti za podmienok, o ktorých by Spoločnosť za normálnej situácie</w:t>
      </w:r>
      <w:r w:rsidRPr="000823AF">
        <w:rPr>
          <w:sz w:val="24"/>
          <w:szCs w:val="24"/>
        </w:rPr>
        <w:t xml:space="preserve"> </w:t>
      </w:r>
      <w:r w:rsidRPr="000823AF">
        <w:rPr>
          <w:b w:val="0"/>
          <w:sz w:val="24"/>
          <w:szCs w:val="24"/>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80706F" w:rsidRPr="000823AF" w:rsidRDefault="0080706F" w:rsidP="0080706F">
      <w:pPr>
        <w:pStyle w:val="Pismenka"/>
        <w:tabs>
          <w:tab w:val="clear" w:pos="360"/>
        </w:tabs>
        <w:ind w:left="426" w:firstLine="0"/>
        <w:rPr>
          <w:b w:val="0"/>
          <w:i/>
          <w:sz w:val="24"/>
          <w:szCs w:val="24"/>
        </w:rPr>
      </w:pPr>
    </w:p>
    <w:p w:rsidR="0080706F" w:rsidRPr="000823AF" w:rsidRDefault="0080706F" w:rsidP="0080706F">
      <w:pPr>
        <w:pStyle w:val="Pismenka"/>
        <w:tabs>
          <w:tab w:val="clear" w:pos="360"/>
        </w:tabs>
        <w:ind w:left="426" w:firstLine="0"/>
        <w:rPr>
          <w:b w:val="0"/>
          <w:sz w:val="24"/>
          <w:szCs w:val="24"/>
        </w:rPr>
      </w:pPr>
      <w:r w:rsidRPr="000823AF">
        <w:rPr>
          <w:b w:val="0"/>
          <w:sz w:val="24"/>
          <w:szCs w:val="24"/>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rsidR="0080706F" w:rsidRPr="000823AF" w:rsidRDefault="0080706F" w:rsidP="0080706F">
      <w:pPr>
        <w:pStyle w:val="Pismenka"/>
        <w:tabs>
          <w:tab w:val="clear" w:pos="360"/>
        </w:tabs>
        <w:ind w:left="426" w:firstLine="0"/>
        <w:rPr>
          <w:b w:val="0"/>
          <w:sz w:val="24"/>
          <w:szCs w:val="24"/>
        </w:rPr>
      </w:pPr>
    </w:p>
    <w:p w:rsidR="0080706F" w:rsidRDefault="0080706F" w:rsidP="0080706F">
      <w:pPr>
        <w:pStyle w:val="Pismenka"/>
        <w:tabs>
          <w:tab w:val="clear" w:pos="360"/>
        </w:tabs>
        <w:ind w:left="426" w:firstLine="0"/>
        <w:rPr>
          <w:b w:val="0"/>
          <w:sz w:val="24"/>
          <w:szCs w:val="24"/>
        </w:rPr>
      </w:pPr>
      <w:r w:rsidRPr="000823AF">
        <w:rPr>
          <w:b w:val="0"/>
          <w:sz w:val="24"/>
          <w:szCs w:val="24"/>
        </w:rPr>
        <w:t>Opravná položka sa zruší, ak následné zvýšenie predpokladaných budúcich ekonomických úžitkov možno objektívne spájať s udalosťou, ktorá nastala po vykázaní opravnej položky.</w:t>
      </w:r>
    </w:p>
    <w:p w:rsidR="0080706F" w:rsidRPr="000823AF" w:rsidRDefault="0080706F" w:rsidP="0080706F">
      <w:pPr>
        <w:pStyle w:val="Pismenka"/>
        <w:tabs>
          <w:tab w:val="clear" w:pos="360"/>
        </w:tabs>
        <w:ind w:left="426" w:firstLine="0"/>
        <w:rPr>
          <w:b w:val="0"/>
          <w:sz w:val="24"/>
          <w:szCs w:val="24"/>
        </w:rPr>
      </w:pPr>
    </w:p>
    <w:p w:rsidR="0080706F" w:rsidRPr="000823AF" w:rsidRDefault="0080706F" w:rsidP="0080706F">
      <w:pPr>
        <w:pStyle w:val="Pismenka"/>
        <w:numPr>
          <w:ilvl w:val="0"/>
          <w:numId w:val="10"/>
        </w:numPr>
        <w:rPr>
          <w:sz w:val="24"/>
          <w:szCs w:val="24"/>
        </w:rPr>
      </w:pPr>
      <w:r w:rsidRPr="000823AF">
        <w:rPr>
          <w:sz w:val="24"/>
          <w:szCs w:val="24"/>
        </w:rPr>
        <w:t>Záväzky</w:t>
      </w:r>
    </w:p>
    <w:p w:rsidR="0080706F" w:rsidRPr="000823AF" w:rsidRDefault="0080706F" w:rsidP="0080706F">
      <w:pPr>
        <w:pStyle w:val="Zkladntext"/>
        <w:rPr>
          <w:sz w:val="24"/>
          <w:szCs w:val="24"/>
        </w:rPr>
      </w:pPr>
      <w:r w:rsidRPr="000823AF">
        <w:rPr>
          <w:sz w:val="24"/>
          <w:szCs w:val="24"/>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Rezervy</w:t>
      </w:r>
    </w:p>
    <w:p w:rsidR="0080706F" w:rsidRPr="000823AF" w:rsidRDefault="0080706F" w:rsidP="0080706F">
      <w:pPr>
        <w:pStyle w:val="Zkladntext"/>
        <w:rPr>
          <w:b/>
          <w:sz w:val="24"/>
          <w:szCs w:val="24"/>
        </w:rPr>
      </w:pPr>
      <w:r w:rsidRPr="000823AF">
        <w:rPr>
          <w:sz w:val="24"/>
          <w:szCs w:val="24"/>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0706F" w:rsidRPr="000823AF" w:rsidRDefault="0080706F" w:rsidP="0080706F">
      <w:pPr>
        <w:pStyle w:val="Zkladntext"/>
        <w:rPr>
          <w:b/>
          <w:sz w:val="24"/>
          <w:szCs w:val="24"/>
        </w:rPr>
      </w:pPr>
    </w:p>
    <w:p w:rsidR="0080706F" w:rsidRPr="000823AF" w:rsidRDefault="0080706F" w:rsidP="0080706F">
      <w:pPr>
        <w:pStyle w:val="Zkladntext"/>
        <w:rPr>
          <w:b/>
          <w:sz w:val="24"/>
          <w:szCs w:val="24"/>
        </w:rPr>
      </w:pPr>
      <w:r w:rsidRPr="000823AF">
        <w:rPr>
          <w:sz w:val="24"/>
          <w:szCs w:val="24"/>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80706F" w:rsidRPr="000823AF" w:rsidRDefault="0080706F" w:rsidP="0080706F">
      <w:pPr>
        <w:pStyle w:val="Zkladntext"/>
        <w:rPr>
          <w:b/>
          <w:sz w:val="24"/>
          <w:szCs w:val="24"/>
        </w:rPr>
      </w:pPr>
    </w:p>
    <w:p w:rsidR="0080706F" w:rsidRPr="000823AF" w:rsidRDefault="0080706F" w:rsidP="0080706F">
      <w:pPr>
        <w:pStyle w:val="Zkladntext"/>
        <w:rPr>
          <w:b/>
          <w:sz w:val="24"/>
          <w:szCs w:val="24"/>
        </w:rPr>
      </w:pPr>
      <w:r w:rsidRPr="000823AF">
        <w:rPr>
          <w:sz w:val="24"/>
          <w:szCs w:val="24"/>
        </w:rPr>
        <w:t xml:space="preserve">Tvorba rezervy na bonusy, rabaty, skontá a vrátenie kúpnej ceny pri reklamácii sa účtuje ako zníženie pôvodne dosiahnutých výnosov so súvzťažným zápisom v prospech účtu rezerv. </w:t>
      </w:r>
    </w:p>
    <w:p w:rsidR="0080706F" w:rsidRPr="000823AF" w:rsidRDefault="0080706F" w:rsidP="0080706F">
      <w:pPr>
        <w:pStyle w:val="Pismenka"/>
        <w:tabs>
          <w:tab w:val="clear" w:pos="360"/>
        </w:tabs>
        <w:ind w:firstLine="0"/>
        <w:rPr>
          <w:b w:val="0"/>
          <w:sz w:val="24"/>
          <w:szCs w:val="24"/>
        </w:rPr>
      </w:pPr>
    </w:p>
    <w:p w:rsidR="0080706F" w:rsidRPr="000823AF" w:rsidRDefault="0080706F" w:rsidP="0080706F">
      <w:pPr>
        <w:pStyle w:val="Zkladntext"/>
        <w:rPr>
          <w:b/>
          <w:sz w:val="24"/>
          <w:szCs w:val="24"/>
        </w:rPr>
      </w:pPr>
      <w:r w:rsidRPr="000823AF">
        <w:rPr>
          <w:b/>
          <w:sz w:val="24"/>
          <w:szCs w:val="24"/>
        </w:rPr>
        <w:t>Rezerva na odstupné</w:t>
      </w:r>
    </w:p>
    <w:p w:rsidR="0080706F" w:rsidRPr="000823AF" w:rsidRDefault="0080706F" w:rsidP="0080706F">
      <w:pPr>
        <w:pStyle w:val="Zkladntext"/>
        <w:rPr>
          <w:sz w:val="24"/>
          <w:szCs w:val="24"/>
        </w:rPr>
      </w:pPr>
      <w:r w:rsidRPr="000823AF">
        <w:rPr>
          <w:sz w:val="24"/>
          <w:szCs w:val="24"/>
        </w:rPr>
        <w:t xml:space="preserve">Rezerva na odstupné </w:t>
      </w:r>
      <w:r>
        <w:rPr>
          <w:sz w:val="24"/>
          <w:szCs w:val="24"/>
        </w:rPr>
        <w:t xml:space="preserve">môže </w:t>
      </w:r>
      <w:r w:rsidRPr="000823AF">
        <w:rPr>
          <w:sz w:val="24"/>
          <w:szCs w:val="24"/>
        </w:rPr>
        <w:t>b</w:t>
      </w:r>
      <w:r>
        <w:rPr>
          <w:sz w:val="24"/>
          <w:szCs w:val="24"/>
        </w:rPr>
        <w:t>yť</w:t>
      </w:r>
      <w:r w:rsidRPr="000823AF">
        <w:rPr>
          <w:sz w:val="24"/>
          <w:szCs w:val="24"/>
        </w:rPr>
        <w:t xml:space="preserve"> vytvorená v súvislosti s plánovaným znížením počtu zamestnancov a b</w:t>
      </w:r>
      <w:r>
        <w:rPr>
          <w:sz w:val="24"/>
          <w:szCs w:val="24"/>
        </w:rPr>
        <w:t>ude</w:t>
      </w:r>
      <w:r w:rsidRPr="000823AF">
        <w:rPr>
          <w:sz w:val="24"/>
          <w:szCs w:val="24"/>
        </w:rPr>
        <w:t xml:space="preserve"> tvorená na základe priemerných mesačných miezd a plánovaného zníženia počtu zamestnancov. </w:t>
      </w:r>
    </w:p>
    <w:p w:rsidR="0080706F" w:rsidRPr="000823AF" w:rsidRDefault="0080706F" w:rsidP="0080706F">
      <w:pPr>
        <w:pStyle w:val="Zkladntext"/>
        <w:ind w:left="0"/>
        <w:rPr>
          <w:sz w:val="24"/>
          <w:szCs w:val="24"/>
        </w:rPr>
      </w:pPr>
    </w:p>
    <w:p w:rsidR="0080706F" w:rsidRPr="000823AF" w:rsidRDefault="0080706F" w:rsidP="0080706F">
      <w:pPr>
        <w:pStyle w:val="Zkladntext"/>
        <w:jc w:val="left"/>
        <w:rPr>
          <w:b/>
          <w:sz w:val="24"/>
          <w:szCs w:val="24"/>
        </w:rPr>
      </w:pPr>
      <w:r w:rsidRPr="000823AF">
        <w:rPr>
          <w:b/>
          <w:sz w:val="24"/>
          <w:szCs w:val="24"/>
        </w:rPr>
        <w:lastRenderedPageBreak/>
        <w:t>Nevyfakturované dodávky majetku</w:t>
      </w:r>
    </w:p>
    <w:p w:rsidR="0080706F" w:rsidRPr="000823AF" w:rsidRDefault="0080706F" w:rsidP="0080706F">
      <w:pPr>
        <w:pStyle w:val="Zkladntext"/>
        <w:rPr>
          <w:sz w:val="24"/>
          <w:szCs w:val="24"/>
        </w:rPr>
      </w:pPr>
      <w:r w:rsidRPr="000823AF">
        <w:rPr>
          <w:sz w:val="24"/>
          <w:szCs w:val="24"/>
        </w:rPr>
        <w:t>Rezervy na nevyfakturované dodávky majetku sa nevykazujú s vplyvom na výsledok hospodárenia a oceňujú sa v odhadovanej výške záväzku.</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Zamestnanecké požitky</w:t>
      </w:r>
    </w:p>
    <w:p w:rsidR="0080706F" w:rsidRPr="000823AF" w:rsidRDefault="0080706F" w:rsidP="0080706F">
      <w:pPr>
        <w:pStyle w:val="Pismenka"/>
        <w:tabs>
          <w:tab w:val="clear" w:pos="360"/>
        </w:tabs>
        <w:ind w:left="425" w:firstLine="0"/>
        <w:rPr>
          <w:b w:val="0"/>
          <w:sz w:val="24"/>
          <w:szCs w:val="24"/>
        </w:rPr>
      </w:pPr>
      <w:r w:rsidRPr="000823AF">
        <w:rPr>
          <w:b w:val="0"/>
          <w:sz w:val="24"/>
          <w:szCs w:val="24"/>
        </w:rPr>
        <w:t>Platy, mzdy, príspevky do dôchodkových a poistných fondov, platená ročná dovolenka a platená zdravotná</w:t>
      </w:r>
      <w:r w:rsidRPr="000823AF">
        <w:rPr>
          <w:sz w:val="24"/>
          <w:szCs w:val="24"/>
        </w:rPr>
        <w:t xml:space="preserve"> </w:t>
      </w:r>
      <w:r w:rsidRPr="000823AF">
        <w:rPr>
          <w:b w:val="0"/>
          <w:sz w:val="24"/>
          <w:szCs w:val="24"/>
        </w:rPr>
        <w:t>dovolenka, bonusy a ostatné nepeňažné požitky (napr. zdravotná starostlivosť) sa účtujú v účtovnom období, s ktorým vecne a časovo súvisia.</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Odložené dane</w:t>
      </w:r>
    </w:p>
    <w:p w:rsidR="0080706F" w:rsidRPr="000823AF" w:rsidRDefault="0080706F" w:rsidP="0080706F">
      <w:pPr>
        <w:pStyle w:val="Zkladntext"/>
        <w:rPr>
          <w:sz w:val="24"/>
          <w:szCs w:val="24"/>
        </w:rPr>
      </w:pPr>
      <w:r w:rsidRPr="000823AF">
        <w:rPr>
          <w:sz w:val="24"/>
          <w:szCs w:val="24"/>
        </w:rPr>
        <w:t xml:space="preserve">Odložené dane (odložená daňová pohľadávka a odložený daňový záväzok) sa vzťahujú na: </w:t>
      </w:r>
    </w:p>
    <w:p w:rsidR="0080706F" w:rsidRPr="000823AF" w:rsidRDefault="0080706F" w:rsidP="0080706F">
      <w:pPr>
        <w:pStyle w:val="Zkladntext"/>
        <w:numPr>
          <w:ilvl w:val="0"/>
          <w:numId w:val="4"/>
        </w:numPr>
        <w:rPr>
          <w:sz w:val="24"/>
          <w:szCs w:val="24"/>
        </w:rPr>
      </w:pPr>
      <w:r w:rsidRPr="000823AF">
        <w:rPr>
          <w:sz w:val="24"/>
          <w:szCs w:val="24"/>
        </w:rPr>
        <w:t>dočasné rozdiely medzi účtovnou hodnotou majetku a účtovnou hodnotou záväzkov vykázanou v súvahe a ich daňovou základňou,</w:t>
      </w:r>
    </w:p>
    <w:p w:rsidR="0080706F" w:rsidRPr="000823AF" w:rsidRDefault="0080706F" w:rsidP="0080706F">
      <w:pPr>
        <w:pStyle w:val="Zkladntext"/>
        <w:numPr>
          <w:ilvl w:val="0"/>
          <w:numId w:val="4"/>
        </w:numPr>
        <w:rPr>
          <w:sz w:val="24"/>
          <w:szCs w:val="24"/>
        </w:rPr>
      </w:pPr>
      <w:r w:rsidRPr="000823AF">
        <w:rPr>
          <w:sz w:val="24"/>
          <w:szCs w:val="24"/>
        </w:rPr>
        <w:t>možnosť umorovať daňovú stratu v budúcnosti, ktorou sa rozumie možnosť odpočítať daňovú stratu od základu dane v budúcnosti,</w:t>
      </w:r>
    </w:p>
    <w:p w:rsidR="0080706F" w:rsidRPr="000823AF" w:rsidRDefault="0080706F" w:rsidP="0080706F">
      <w:pPr>
        <w:pStyle w:val="Zkladntext"/>
        <w:numPr>
          <w:ilvl w:val="0"/>
          <w:numId w:val="4"/>
        </w:numPr>
        <w:rPr>
          <w:sz w:val="24"/>
          <w:szCs w:val="24"/>
        </w:rPr>
      </w:pPr>
      <w:r w:rsidRPr="000823AF">
        <w:rPr>
          <w:sz w:val="24"/>
          <w:szCs w:val="24"/>
        </w:rPr>
        <w:t>možnosť previesť nevyužité daňové odpočty a iné daňové nároky do budúcich období.</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Odložená daňová pohľadávka ani odložený daňový záväzok sa neúčtuje pri: </w:t>
      </w:r>
    </w:p>
    <w:p w:rsidR="0080706F" w:rsidRPr="000823AF" w:rsidRDefault="0080706F" w:rsidP="0080706F">
      <w:pPr>
        <w:pStyle w:val="Zkladntext"/>
        <w:numPr>
          <w:ilvl w:val="0"/>
          <w:numId w:val="6"/>
        </w:numPr>
        <w:tabs>
          <w:tab w:val="clear" w:pos="340"/>
          <w:tab w:val="num" w:pos="766"/>
        </w:tabs>
        <w:ind w:left="766"/>
        <w:rPr>
          <w:sz w:val="24"/>
          <w:szCs w:val="24"/>
        </w:rPr>
      </w:pPr>
      <w:r w:rsidRPr="000823AF">
        <w:rPr>
          <w:sz w:val="24"/>
          <w:szCs w:val="24"/>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80706F" w:rsidRPr="000823AF" w:rsidRDefault="0080706F" w:rsidP="0080706F">
      <w:pPr>
        <w:pStyle w:val="Zkladntext"/>
        <w:numPr>
          <w:ilvl w:val="0"/>
          <w:numId w:val="6"/>
        </w:numPr>
        <w:tabs>
          <w:tab w:val="clear" w:pos="340"/>
          <w:tab w:val="num" w:pos="766"/>
        </w:tabs>
        <w:ind w:left="766"/>
        <w:rPr>
          <w:sz w:val="24"/>
          <w:szCs w:val="24"/>
        </w:rPr>
      </w:pPr>
      <w:r w:rsidRPr="000823AF">
        <w:rPr>
          <w:sz w:val="24"/>
          <w:szCs w:val="24"/>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80706F" w:rsidRPr="000823AF" w:rsidRDefault="0080706F" w:rsidP="0080706F">
      <w:pPr>
        <w:pStyle w:val="Zkladntext"/>
        <w:numPr>
          <w:ilvl w:val="0"/>
          <w:numId w:val="6"/>
        </w:numPr>
        <w:tabs>
          <w:tab w:val="clear" w:pos="340"/>
          <w:tab w:val="num" w:pos="766"/>
        </w:tabs>
        <w:ind w:left="766"/>
        <w:rPr>
          <w:sz w:val="24"/>
          <w:szCs w:val="24"/>
        </w:rPr>
      </w:pPr>
      <w:r w:rsidRPr="000823AF">
        <w:rPr>
          <w:sz w:val="24"/>
          <w:szCs w:val="24"/>
        </w:rPr>
        <w:t>dočasných rozdieloch pri prvotnom zaúčtovaní goodwillu alebo záporného goodwillu.</w:t>
      </w:r>
    </w:p>
    <w:p w:rsidR="0080706F" w:rsidRPr="000823AF" w:rsidRDefault="0080706F" w:rsidP="0080706F">
      <w:pPr>
        <w:pStyle w:val="Zkladntext"/>
        <w:ind w:left="766"/>
        <w:rPr>
          <w:sz w:val="24"/>
          <w:szCs w:val="24"/>
        </w:rPr>
      </w:pPr>
    </w:p>
    <w:p w:rsidR="0080706F" w:rsidRPr="000823AF" w:rsidRDefault="0080706F" w:rsidP="0080706F">
      <w:pPr>
        <w:pStyle w:val="Zkladntext"/>
        <w:rPr>
          <w:sz w:val="24"/>
          <w:szCs w:val="24"/>
        </w:rPr>
      </w:pPr>
      <w:r w:rsidRPr="000823AF">
        <w:rPr>
          <w:sz w:val="24"/>
          <w:szCs w:val="24"/>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Výdavky budúcich období a výnosy budúcich období</w:t>
      </w:r>
    </w:p>
    <w:p w:rsidR="0080706F" w:rsidRPr="000823AF" w:rsidRDefault="0080706F" w:rsidP="0080706F">
      <w:pPr>
        <w:pStyle w:val="Zkladntext"/>
        <w:rPr>
          <w:sz w:val="24"/>
          <w:szCs w:val="24"/>
        </w:rPr>
      </w:pPr>
      <w:r w:rsidRPr="000823AF">
        <w:rPr>
          <w:sz w:val="24"/>
          <w:szCs w:val="24"/>
        </w:rPr>
        <w:t>Výdavky budúcich období a výnosy budúcich období sa vykazujú vo výške, ktorá je potrebná na dodržanie zásady vecnej a časovej súvislosti s účtovným obdobím.</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Dotácie zo štátneho rozpočtu</w:t>
      </w:r>
    </w:p>
    <w:p w:rsidR="0080706F" w:rsidRPr="000823AF" w:rsidRDefault="0080706F" w:rsidP="0080706F">
      <w:pPr>
        <w:ind w:left="450"/>
        <w:jc w:val="both"/>
      </w:pPr>
      <w:r w:rsidRPr="000823AF">
        <w:lastRenderedPageBreak/>
        <w:t xml:space="preserve">O nároku na dotácie zo štátneho rozpočtu, podporu alebo príspevok sa účtuje, ak je takmer isté, že sa splnia všetky podmienky súvisiace s dotáciou a súčasne, že sa dotácia poskytne. </w:t>
      </w:r>
    </w:p>
    <w:p w:rsidR="0080706F" w:rsidRPr="000823AF" w:rsidRDefault="0080706F" w:rsidP="0080706F">
      <w:pPr>
        <w:ind w:left="450"/>
        <w:jc w:val="both"/>
      </w:pPr>
    </w:p>
    <w:p w:rsidR="0080706F" w:rsidRPr="000823AF" w:rsidRDefault="0080706F" w:rsidP="0080706F">
      <w:pPr>
        <w:ind w:left="450"/>
        <w:jc w:val="both"/>
      </w:pPr>
      <w:r w:rsidRPr="000823AF">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80706F" w:rsidRPr="000823AF" w:rsidRDefault="0080706F" w:rsidP="0080706F">
      <w:pPr>
        <w:ind w:left="450"/>
        <w:jc w:val="both"/>
      </w:pPr>
    </w:p>
    <w:p w:rsidR="0080706F" w:rsidRPr="000823AF" w:rsidRDefault="0080706F" w:rsidP="0080706F">
      <w:pPr>
        <w:ind w:left="450"/>
        <w:jc w:val="both"/>
      </w:pPr>
      <w:r w:rsidRPr="000823AF">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80706F" w:rsidRPr="000823AF" w:rsidRDefault="0080706F" w:rsidP="0080706F">
      <w:pPr>
        <w:ind w:left="450"/>
        <w:jc w:val="both"/>
      </w:pPr>
    </w:p>
    <w:p w:rsidR="0080706F" w:rsidRPr="00CD4BBA" w:rsidRDefault="0080706F" w:rsidP="0080706F">
      <w:pPr>
        <w:pStyle w:val="Pismenka"/>
        <w:numPr>
          <w:ilvl w:val="0"/>
          <w:numId w:val="10"/>
        </w:numPr>
        <w:rPr>
          <w:sz w:val="24"/>
          <w:szCs w:val="24"/>
        </w:rPr>
      </w:pPr>
      <w:r w:rsidRPr="00CD4BBA">
        <w:rPr>
          <w:sz w:val="24"/>
          <w:szCs w:val="24"/>
        </w:rPr>
        <w:t>Prenájom (lízing) (Spoločnosť ako nájomca)</w:t>
      </w:r>
    </w:p>
    <w:p w:rsidR="0080706F" w:rsidRPr="000823AF" w:rsidRDefault="0080706F" w:rsidP="0080706F">
      <w:pPr>
        <w:pStyle w:val="Zkladntext"/>
        <w:rPr>
          <w:b/>
          <w:sz w:val="24"/>
          <w:szCs w:val="24"/>
        </w:rPr>
      </w:pPr>
    </w:p>
    <w:p w:rsidR="0080706F" w:rsidRPr="000823AF" w:rsidRDefault="0080706F" w:rsidP="0080706F">
      <w:pPr>
        <w:pStyle w:val="Zkladntext"/>
        <w:rPr>
          <w:sz w:val="24"/>
          <w:szCs w:val="24"/>
        </w:rPr>
      </w:pPr>
      <w:r w:rsidRPr="000823AF">
        <w:rPr>
          <w:b/>
          <w:sz w:val="24"/>
          <w:szCs w:val="24"/>
        </w:rPr>
        <w:t>Finančný prenájom.</w:t>
      </w:r>
      <w:r w:rsidRPr="000823AF">
        <w:rPr>
          <w:sz w:val="24"/>
          <w:szCs w:val="24"/>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Súčasťou dohodnutých platieb je aj kúpna cena, za ktorú na konci dohodnutej doby finančného prenájmu prechádza vlastnícke právo k prenajatému majetku z prenajímateľa na nájomcu.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Platba nájomného je alokovaná medzi splátku istiny a finančné náklady, vypočítané metódou efektívnej úrokovej miery. Finančné náklady sa účtujú na ťarchu účtu 562 – Úroky.</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b/>
          <w:sz w:val="24"/>
          <w:szCs w:val="24"/>
        </w:rPr>
        <w:t xml:space="preserve">Operatívny prenájom. </w:t>
      </w:r>
      <w:r w:rsidRPr="000823AF">
        <w:rPr>
          <w:sz w:val="24"/>
          <w:szCs w:val="24"/>
        </w:rPr>
        <w:t>Majetok prenajatý na základe operatívneho prenájmu vykazuje ako svoj majetok jeho vlastník, nie nájomca. Prenájom majetku formou operatívneho leasingu sa účtuje do nákladov priebežne počas doby trvania leasingovej zmluvy.</w:t>
      </w:r>
    </w:p>
    <w:p w:rsidR="0080706F" w:rsidRPr="00CD4BBA" w:rsidRDefault="0080706F" w:rsidP="0080706F">
      <w:pPr>
        <w:pStyle w:val="Zkladntext"/>
        <w:rPr>
          <w:sz w:val="24"/>
          <w:szCs w:val="24"/>
        </w:rPr>
      </w:pPr>
    </w:p>
    <w:p w:rsidR="0080706F" w:rsidRPr="00CD4BBA" w:rsidRDefault="0080706F" w:rsidP="0080706F">
      <w:pPr>
        <w:pStyle w:val="Pismenka"/>
        <w:numPr>
          <w:ilvl w:val="0"/>
          <w:numId w:val="10"/>
        </w:numPr>
        <w:rPr>
          <w:sz w:val="24"/>
          <w:szCs w:val="24"/>
        </w:rPr>
      </w:pPr>
      <w:r w:rsidRPr="00CD4BBA">
        <w:rPr>
          <w:sz w:val="24"/>
          <w:szCs w:val="24"/>
        </w:rPr>
        <w:t>Prenájom (lízing) (Spoločnosť ako prenajímateľ)</w:t>
      </w:r>
    </w:p>
    <w:p w:rsidR="0080706F" w:rsidRPr="000823AF" w:rsidRDefault="0080706F" w:rsidP="0080706F">
      <w:pPr>
        <w:pStyle w:val="Zkladntext"/>
        <w:rPr>
          <w:b/>
          <w:sz w:val="24"/>
          <w:szCs w:val="24"/>
        </w:rPr>
      </w:pPr>
    </w:p>
    <w:p w:rsidR="0080706F" w:rsidRPr="000823AF" w:rsidRDefault="0080706F" w:rsidP="0080706F">
      <w:pPr>
        <w:ind w:left="426"/>
      </w:pPr>
      <w:r>
        <w:t>Spoločnosť nemá náplň.</w:t>
      </w:r>
    </w:p>
    <w:p w:rsidR="0080706F" w:rsidRPr="000823AF" w:rsidRDefault="0080706F" w:rsidP="0080706F">
      <w:pPr>
        <w:pStyle w:val="Zkladntext"/>
        <w:ind w:left="0"/>
        <w:rPr>
          <w:sz w:val="24"/>
          <w:szCs w:val="24"/>
        </w:rPr>
      </w:pPr>
    </w:p>
    <w:p w:rsidR="0080706F" w:rsidRPr="000823AF" w:rsidRDefault="0080706F" w:rsidP="0080706F">
      <w:pPr>
        <w:pStyle w:val="Pismenka"/>
        <w:numPr>
          <w:ilvl w:val="0"/>
          <w:numId w:val="10"/>
        </w:numPr>
        <w:rPr>
          <w:sz w:val="24"/>
          <w:szCs w:val="24"/>
        </w:rPr>
      </w:pPr>
      <w:r w:rsidRPr="000823AF">
        <w:rPr>
          <w:sz w:val="24"/>
          <w:szCs w:val="24"/>
        </w:rPr>
        <w:t>Deriváty</w:t>
      </w:r>
    </w:p>
    <w:p w:rsidR="0080706F" w:rsidRPr="000823AF" w:rsidRDefault="0080706F" w:rsidP="0080706F">
      <w:pPr>
        <w:pStyle w:val="Pismenka"/>
        <w:tabs>
          <w:tab w:val="clear" w:pos="360"/>
        </w:tabs>
        <w:ind w:left="426" w:firstLine="0"/>
        <w:rPr>
          <w:b w:val="0"/>
          <w:sz w:val="24"/>
          <w:szCs w:val="24"/>
        </w:rPr>
      </w:pPr>
      <w:r w:rsidRPr="000823AF">
        <w:rPr>
          <w:b w:val="0"/>
          <w:sz w:val="24"/>
          <w:szCs w:val="24"/>
        </w:rPr>
        <w:t>Deriváty sa pri nadobudnutí oceňujú obstarávacou cenou a ku dňu, ku ktorému sa zostavuje účtovná závierka, reálnou hodnotou.</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Zmeny reálnych hodnôt zabezpečovacích derivátov sa účtujú bez vplyvu na výsledok hospodárenia, priamo do vlastného imania ako oceňovacie rozdiely z precenenia majetku a záväzkov. Výsledok realizácie zabezpečovacích derivátov sa účtuje ako náklady na derivátové operácie a výnosy z derivátových operácií.</w:t>
      </w:r>
    </w:p>
    <w:p w:rsidR="0080706F" w:rsidRPr="000823AF" w:rsidRDefault="0080706F" w:rsidP="0080706F">
      <w:pPr>
        <w:pStyle w:val="Zkladntext"/>
        <w:ind w:left="0"/>
        <w:rPr>
          <w:sz w:val="24"/>
          <w:szCs w:val="24"/>
        </w:rPr>
      </w:pPr>
    </w:p>
    <w:p w:rsidR="0080706F" w:rsidRPr="000823AF" w:rsidRDefault="0080706F" w:rsidP="0080706F">
      <w:pPr>
        <w:pStyle w:val="Zkladntext"/>
        <w:rPr>
          <w:sz w:val="24"/>
          <w:szCs w:val="24"/>
        </w:rPr>
      </w:pPr>
      <w:r w:rsidRPr="000823AF">
        <w:rPr>
          <w:sz w:val="24"/>
          <w:szCs w:val="24"/>
        </w:rPr>
        <w:t xml:space="preserve">Zmeny reálnych hodnôt derivátov určených na obchodovanie na tuzemskej burze, zahraničnej burze alebo na inom verejnom trhu sa účtujú s vplyvom na výsledok hospodárenia ako náklady na derivátové operácie a výnosy z derivátových operácií.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Zmeny reálnych hodnôt derivátov určených na obchodovanie na neverejnom trhu sa účtujú bez vplyvu na výsledok hospodárenia, priamo do vlastného imania ako oceňovacie rozdiely z precenenia majetku a záväzkov. Výsledok realizácie týchto obchodov sa účtuje ako náklady na derivátové operácie a výnosy z derivátových operácií.</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Reálna hodnota menových futurít je stanovená na základe kótovaných cien na burze.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Reálne hodnoty odrážajú úrokové riziko nástroja a zahŕňajú úpravy s prihliadnutím na úverové riziká Spoločnosti a protistrany, tam kde je to vhodné.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Majetok a záväzky zabezpečené derivátmi</w:t>
      </w:r>
    </w:p>
    <w:p w:rsidR="0080706F" w:rsidRPr="000823AF" w:rsidRDefault="0080706F" w:rsidP="0080706F">
      <w:pPr>
        <w:pStyle w:val="Zkladntext"/>
        <w:rPr>
          <w:sz w:val="24"/>
          <w:szCs w:val="24"/>
        </w:rPr>
      </w:pPr>
      <w:r w:rsidRPr="000823AF">
        <w:rPr>
          <w:sz w:val="24"/>
          <w:szCs w:val="24"/>
        </w:rPr>
        <w:t>Majetok a záväzky zabezpečené derivátmi sa oceňujú reálnou hodnotou. Zmeny reálnych hodnôt majetku a záväzkov zabezpečených derivátmi sa účtujú bez vplyvu na výsledok hospodárenia, priamo do vlastného imania ako oceňovacie rozdiely z precenenia majetku a záväzkov.</w:t>
      </w:r>
    </w:p>
    <w:p w:rsidR="0080706F" w:rsidRPr="000823AF" w:rsidRDefault="0080706F" w:rsidP="0080706F">
      <w:pPr>
        <w:pStyle w:val="Zkladntext"/>
        <w:rPr>
          <w:sz w:val="24"/>
          <w:szCs w:val="24"/>
        </w:rPr>
      </w:pPr>
    </w:p>
    <w:p w:rsidR="0080706F" w:rsidRDefault="0080706F" w:rsidP="0080706F">
      <w:pPr>
        <w:pStyle w:val="Zkladntext"/>
        <w:rPr>
          <w:sz w:val="24"/>
          <w:szCs w:val="24"/>
        </w:rPr>
      </w:pPr>
      <w:r w:rsidRPr="000823AF">
        <w:rPr>
          <w:sz w:val="24"/>
          <w:szCs w:val="24"/>
        </w:rPr>
        <w:t>Reálna hodnota majetku a záväzkov zabezpečených derivátmi je založená na ich kótovanej trhovej cene, ak je táto cena k dispozícii. Ak kótovaná trhová cena nie je k dispozícii, potom sa reálna hodnota odhadne na základe odhadovaných diskontovaných budúcich peňažných tokov.</w:t>
      </w:r>
    </w:p>
    <w:p w:rsidR="0080706F" w:rsidRPr="00CD4BBA" w:rsidRDefault="0080706F" w:rsidP="0080706F">
      <w:pPr>
        <w:pStyle w:val="Zkladntext"/>
        <w:rPr>
          <w:sz w:val="24"/>
          <w:szCs w:val="24"/>
        </w:rPr>
      </w:pPr>
    </w:p>
    <w:p w:rsidR="0080706F" w:rsidRPr="000823AF" w:rsidRDefault="0080706F" w:rsidP="0080706F">
      <w:pPr>
        <w:pStyle w:val="Pismenka"/>
        <w:numPr>
          <w:ilvl w:val="0"/>
          <w:numId w:val="10"/>
        </w:numPr>
        <w:rPr>
          <w:sz w:val="24"/>
          <w:szCs w:val="24"/>
        </w:rPr>
      </w:pPr>
      <w:r w:rsidRPr="000823AF">
        <w:rPr>
          <w:sz w:val="24"/>
          <w:szCs w:val="24"/>
        </w:rPr>
        <w:t>Cudzia mena</w:t>
      </w:r>
    </w:p>
    <w:p w:rsidR="0080706F" w:rsidRPr="000823AF" w:rsidRDefault="0080706F" w:rsidP="0080706F">
      <w:pPr>
        <w:pStyle w:val="Zkladntext"/>
        <w:rPr>
          <w:sz w:val="24"/>
          <w:szCs w:val="24"/>
        </w:rPr>
      </w:pPr>
      <w:r w:rsidRPr="000823AF">
        <w:rPr>
          <w:sz w:val="24"/>
          <w:szCs w:val="24"/>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80706F" w:rsidRPr="000823AF" w:rsidRDefault="0080706F" w:rsidP="0080706F">
      <w:pPr>
        <w:pStyle w:val="Zkladntext"/>
        <w:rPr>
          <w:sz w:val="24"/>
          <w:szCs w:val="24"/>
        </w:rPr>
      </w:pPr>
    </w:p>
    <w:p w:rsidR="0080706F" w:rsidRPr="00CD4BBA" w:rsidRDefault="0080706F" w:rsidP="0080706F">
      <w:pPr>
        <w:pStyle w:val="Zkladntext"/>
        <w:rPr>
          <w:sz w:val="24"/>
          <w:szCs w:val="24"/>
        </w:rPr>
      </w:pPr>
      <w:r w:rsidRPr="00CD4BBA">
        <w:rPr>
          <w:sz w:val="24"/>
          <w:szCs w:val="24"/>
        </w:rPr>
        <w:t>Na ocenenie prírastku cudzej meny (okrem ocenenia cudzej meny obstarávanej v rámci menového derivátu) nakúpenej za euro sa použije kurz, za ktorý bola táto cudzia mena nakúpená.</w:t>
      </w:r>
    </w:p>
    <w:p w:rsidR="0080706F" w:rsidRPr="00CD4BBA" w:rsidRDefault="0080706F" w:rsidP="0080706F">
      <w:pPr>
        <w:pStyle w:val="Zkladntext"/>
        <w:rPr>
          <w:sz w:val="24"/>
          <w:szCs w:val="24"/>
        </w:rPr>
      </w:pPr>
    </w:p>
    <w:p w:rsidR="0080706F" w:rsidRPr="000823AF" w:rsidRDefault="0080706F" w:rsidP="0080706F">
      <w:pPr>
        <w:pStyle w:val="Zkladntext"/>
        <w:rPr>
          <w:sz w:val="24"/>
          <w:szCs w:val="24"/>
        </w:rPr>
      </w:pPr>
      <w:r w:rsidRPr="00CD4BBA">
        <w:rPr>
          <w:sz w:val="24"/>
          <w:szCs w:val="24"/>
        </w:rPr>
        <w:lastRenderedPageBreak/>
        <w:t>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w:t>
      </w:r>
      <w:r w:rsidRPr="000823AF">
        <w:rPr>
          <w:sz w:val="24"/>
          <w:szCs w:val="24"/>
        </w:rPr>
        <w:t xml:space="preserve">. </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Na ocenenie cudzej meny obstarávanej v rámci menového derivátu </w:t>
      </w:r>
    </w:p>
    <w:p w:rsidR="0080706F" w:rsidRPr="000823AF" w:rsidRDefault="0080706F" w:rsidP="0080706F">
      <w:pPr>
        <w:pStyle w:val="Zkladntext"/>
        <w:numPr>
          <w:ilvl w:val="0"/>
          <w:numId w:val="11"/>
        </w:numPr>
        <w:tabs>
          <w:tab w:val="clear" w:pos="340"/>
          <w:tab w:val="num" w:pos="766"/>
        </w:tabs>
        <w:ind w:left="766"/>
        <w:rPr>
          <w:sz w:val="24"/>
          <w:szCs w:val="24"/>
        </w:rPr>
      </w:pPr>
      <w:r w:rsidRPr="000823AF">
        <w:rPr>
          <w:sz w:val="24"/>
          <w:szCs w:val="24"/>
        </w:rPr>
        <w:t>ak je zmluvnou stranou banka alebo pobočka zahraničnej banky, použije sa ku dňu ocenenia kurz banky alebo pobočky zahraničnej banky, ktorá je zmluvnou stranou tohto menového derivátu alebo sa použije referenčný kurz ku dňu ocenenia,</w:t>
      </w:r>
    </w:p>
    <w:p w:rsidR="0080706F" w:rsidRPr="000823AF" w:rsidRDefault="0080706F" w:rsidP="0080706F">
      <w:pPr>
        <w:pStyle w:val="Zkladntext"/>
        <w:numPr>
          <w:ilvl w:val="0"/>
          <w:numId w:val="11"/>
        </w:numPr>
        <w:tabs>
          <w:tab w:val="clear" w:pos="340"/>
          <w:tab w:val="num" w:pos="766"/>
        </w:tabs>
        <w:ind w:left="766"/>
        <w:rPr>
          <w:sz w:val="24"/>
          <w:szCs w:val="24"/>
        </w:rPr>
      </w:pPr>
      <w:r w:rsidRPr="000823AF">
        <w:rPr>
          <w:sz w:val="24"/>
          <w:szCs w:val="24"/>
        </w:rPr>
        <w:t>ak zmluvnou stranou nie je banka alebo pobočka zahraničnej banky, použije sa na ocenenie referenčný kurz ku dňu ocenenia.</w:t>
      </w:r>
    </w:p>
    <w:p w:rsidR="0080706F" w:rsidRPr="000823AF" w:rsidRDefault="0080706F" w:rsidP="0080706F">
      <w:pPr>
        <w:pStyle w:val="Zkladntext"/>
        <w:ind w:left="0"/>
        <w:rPr>
          <w:sz w:val="24"/>
          <w:szCs w:val="24"/>
        </w:rPr>
      </w:pPr>
    </w:p>
    <w:p w:rsidR="0080706F" w:rsidRPr="000823AF" w:rsidRDefault="0080706F" w:rsidP="0080706F">
      <w:pPr>
        <w:pStyle w:val="Zkladntext"/>
        <w:rPr>
          <w:sz w:val="24"/>
          <w:szCs w:val="24"/>
        </w:rPr>
      </w:pPr>
      <w:r w:rsidRPr="000823AF">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w:t>
      </w:r>
      <w:r>
        <w:rPr>
          <w:sz w:val="24"/>
          <w:szCs w:val="24"/>
        </w:rPr>
        <w:t>uskutočnenia účtovného prípadu.</w:t>
      </w:r>
    </w:p>
    <w:p w:rsidR="0080706F" w:rsidRDefault="0080706F" w:rsidP="0080706F">
      <w:pPr>
        <w:pStyle w:val="Zkladntext"/>
        <w:rPr>
          <w:color w:val="0070C0"/>
          <w:sz w:val="24"/>
          <w:szCs w:val="24"/>
        </w:rPr>
      </w:pPr>
    </w:p>
    <w:p w:rsidR="0080706F" w:rsidRPr="00CD4BBA" w:rsidRDefault="0080706F" w:rsidP="0080706F">
      <w:pPr>
        <w:pStyle w:val="Zkladntext"/>
        <w:rPr>
          <w:sz w:val="24"/>
          <w:szCs w:val="24"/>
        </w:rPr>
      </w:pPr>
      <w:r w:rsidRPr="00CD4BBA">
        <w:rPr>
          <w:sz w:val="24"/>
          <w:szCs w:val="24"/>
        </w:rPr>
        <w:t>Ku dňu, ku ktorému sa zostavuje účtovná závierka) sa referenčným kurzom prepočítajú:</w:t>
      </w:r>
    </w:p>
    <w:p w:rsidR="0080706F" w:rsidRPr="00CD4BBA" w:rsidRDefault="0080706F" w:rsidP="0080706F">
      <w:pPr>
        <w:pStyle w:val="Zkladntext"/>
        <w:numPr>
          <w:ilvl w:val="0"/>
          <w:numId w:val="17"/>
        </w:numPr>
        <w:rPr>
          <w:sz w:val="24"/>
          <w:szCs w:val="24"/>
        </w:rPr>
      </w:pPr>
      <w:r w:rsidRPr="00CD4BBA">
        <w:rPr>
          <w:sz w:val="24"/>
          <w:szCs w:val="24"/>
        </w:rPr>
        <w:t>cenné papiere znejúce na cudziu menu,</w:t>
      </w:r>
    </w:p>
    <w:p w:rsidR="0080706F" w:rsidRPr="00CD4BBA" w:rsidRDefault="0080706F" w:rsidP="0080706F">
      <w:pPr>
        <w:pStyle w:val="Zkladntext"/>
        <w:numPr>
          <w:ilvl w:val="0"/>
          <w:numId w:val="17"/>
        </w:numPr>
        <w:rPr>
          <w:sz w:val="24"/>
          <w:szCs w:val="24"/>
        </w:rPr>
      </w:pPr>
      <w:r w:rsidRPr="00CD4BBA">
        <w:rPr>
          <w:sz w:val="24"/>
          <w:szCs w:val="24"/>
        </w:rPr>
        <w:t>nástroje peňažného trhu ocenené cudzou menou,</w:t>
      </w:r>
    </w:p>
    <w:p w:rsidR="0080706F" w:rsidRPr="00CD4BBA" w:rsidRDefault="0080706F" w:rsidP="0080706F">
      <w:pPr>
        <w:pStyle w:val="Zkladntext"/>
        <w:numPr>
          <w:ilvl w:val="0"/>
          <w:numId w:val="17"/>
        </w:numPr>
        <w:rPr>
          <w:sz w:val="24"/>
          <w:szCs w:val="24"/>
        </w:rPr>
      </w:pPr>
      <w:r w:rsidRPr="00CD4BBA">
        <w:rPr>
          <w:sz w:val="24"/>
          <w:szCs w:val="24"/>
        </w:rPr>
        <w:t>finančné rozdielové zmluvy ocenené cudzou menou,</w:t>
      </w:r>
    </w:p>
    <w:p w:rsidR="0080706F" w:rsidRPr="00CD4BBA" w:rsidRDefault="0080706F" w:rsidP="0080706F">
      <w:pPr>
        <w:pStyle w:val="Zkladntext"/>
        <w:numPr>
          <w:ilvl w:val="0"/>
          <w:numId w:val="17"/>
        </w:numPr>
        <w:rPr>
          <w:sz w:val="24"/>
          <w:szCs w:val="24"/>
        </w:rPr>
      </w:pPr>
      <w:r w:rsidRPr="00CD4BBA">
        <w:rPr>
          <w:sz w:val="24"/>
          <w:szCs w:val="24"/>
        </w:rPr>
        <w:t>podkladové nástroje derivátov ocenených cudzou menou okrem podkladových nástrojov menových derivátov,</w:t>
      </w:r>
    </w:p>
    <w:p w:rsidR="0080706F" w:rsidRPr="00CD4BBA" w:rsidRDefault="0080706F" w:rsidP="0080706F">
      <w:pPr>
        <w:pStyle w:val="Zkladntext"/>
        <w:numPr>
          <w:ilvl w:val="0"/>
          <w:numId w:val="17"/>
        </w:numPr>
        <w:rPr>
          <w:sz w:val="24"/>
          <w:szCs w:val="24"/>
        </w:rPr>
      </w:pPr>
      <w:r w:rsidRPr="00CD4BBA">
        <w:rPr>
          <w:sz w:val="24"/>
          <w:szCs w:val="24"/>
        </w:rPr>
        <w:t>pohľadávky a záväzky spojené s vyššie uvedeným majetkom, ktoré sú ocenené rovnakou cudzou menou ako tento majetok.</w:t>
      </w:r>
    </w:p>
    <w:p w:rsidR="0080706F" w:rsidRPr="000823AF" w:rsidRDefault="0080706F" w:rsidP="0080706F">
      <w:pPr>
        <w:pStyle w:val="Pismenka"/>
        <w:tabs>
          <w:tab w:val="clear" w:pos="360"/>
        </w:tabs>
        <w:ind w:firstLine="0"/>
        <w:rPr>
          <w:sz w:val="24"/>
          <w:szCs w:val="24"/>
        </w:rPr>
      </w:pPr>
    </w:p>
    <w:p w:rsidR="0080706F" w:rsidRPr="000823AF" w:rsidRDefault="0080706F" w:rsidP="0080706F">
      <w:pPr>
        <w:pStyle w:val="Pismenka"/>
        <w:tabs>
          <w:tab w:val="clear" w:pos="360"/>
        </w:tabs>
        <w:ind w:firstLine="0"/>
        <w:rPr>
          <w:sz w:val="24"/>
          <w:szCs w:val="24"/>
        </w:rPr>
      </w:pPr>
      <w:r w:rsidRPr="000823AF">
        <w:rPr>
          <w:b w:val="0"/>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80706F" w:rsidRPr="000823AF" w:rsidRDefault="0080706F" w:rsidP="0080706F">
      <w:pPr>
        <w:pStyle w:val="Pismenka"/>
        <w:tabs>
          <w:tab w:val="clear" w:pos="360"/>
        </w:tabs>
        <w:ind w:firstLine="0"/>
        <w:rPr>
          <w:sz w:val="24"/>
          <w:szCs w:val="24"/>
        </w:rPr>
      </w:pPr>
    </w:p>
    <w:p w:rsidR="0080706F" w:rsidRPr="000823AF" w:rsidRDefault="0080706F" w:rsidP="0080706F">
      <w:pPr>
        <w:pStyle w:val="Pismenka"/>
        <w:tabs>
          <w:tab w:val="clear" w:pos="360"/>
        </w:tabs>
        <w:ind w:firstLine="0"/>
        <w:rPr>
          <w:sz w:val="24"/>
          <w:szCs w:val="24"/>
        </w:rPr>
      </w:pPr>
      <w:r w:rsidRPr="000823AF">
        <w:rPr>
          <w:b w:val="0"/>
          <w:sz w:val="24"/>
          <w:szCs w:val="24"/>
        </w:rPr>
        <w:t>Prijaté a poskytnuté preddavky v cudzej mene na účet zriadený v eurách a z účtu zriadeného v eurách sa prepočítavajú na menu euro kurzom, za ktorý boli tieto hodnoty nakúpené alebo predané.</w:t>
      </w:r>
    </w:p>
    <w:p w:rsidR="0080706F" w:rsidRPr="000823AF" w:rsidRDefault="0080706F" w:rsidP="0080706F">
      <w:pPr>
        <w:pStyle w:val="Pismenka"/>
        <w:tabs>
          <w:tab w:val="clear" w:pos="360"/>
        </w:tabs>
        <w:ind w:firstLine="0"/>
        <w:rPr>
          <w:sz w:val="24"/>
          <w:szCs w:val="24"/>
        </w:rPr>
      </w:pPr>
    </w:p>
    <w:p w:rsidR="0080706F" w:rsidRPr="000823AF" w:rsidRDefault="0080706F" w:rsidP="0080706F">
      <w:pPr>
        <w:pStyle w:val="Pismenka"/>
        <w:tabs>
          <w:tab w:val="clear" w:pos="360"/>
        </w:tabs>
        <w:ind w:firstLine="0"/>
        <w:rPr>
          <w:sz w:val="24"/>
          <w:szCs w:val="24"/>
        </w:rPr>
      </w:pPr>
      <w:r w:rsidRPr="000823AF">
        <w:rPr>
          <w:b w:val="0"/>
          <w:sz w:val="24"/>
          <w:szCs w:val="24"/>
        </w:rPr>
        <w:t xml:space="preserve">Ku dňu, ku ktorému sa zostavuje účtovná závierka, sa už neprepočítavajú. </w:t>
      </w:r>
    </w:p>
    <w:p w:rsidR="0080706F" w:rsidRPr="000823AF" w:rsidRDefault="0080706F" w:rsidP="0080706F">
      <w:pPr>
        <w:pStyle w:val="Pismenka"/>
        <w:tabs>
          <w:tab w:val="clear" w:pos="360"/>
        </w:tabs>
        <w:ind w:firstLine="0"/>
        <w:rPr>
          <w:sz w:val="24"/>
          <w:szCs w:val="24"/>
        </w:rPr>
      </w:pPr>
    </w:p>
    <w:p w:rsidR="0080706F" w:rsidRPr="000823AF" w:rsidRDefault="0080706F" w:rsidP="0080706F">
      <w:pPr>
        <w:pStyle w:val="Pismenka"/>
        <w:tabs>
          <w:tab w:val="clear" w:pos="360"/>
        </w:tabs>
        <w:ind w:firstLine="0"/>
        <w:rPr>
          <w:sz w:val="24"/>
          <w:szCs w:val="24"/>
        </w:rPr>
      </w:pPr>
      <w:r w:rsidRPr="000823AF">
        <w:rPr>
          <w:b w:val="0"/>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0706F" w:rsidRPr="000823AF" w:rsidRDefault="0080706F" w:rsidP="0080706F">
      <w:pPr>
        <w:pStyle w:val="Zkladntext"/>
        <w:rPr>
          <w:sz w:val="24"/>
          <w:szCs w:val="24"/>
        </w:rPr>
      </w:pPr>
    </w:p>
    <w:p w:rsidR="0080706F" w:rsidRPr="000823AF" w:rsidRDefault="0080706F" w:rsidP="0080706F">
      <w:pPr>
        <w:pStyle w:val="Pismenka"/>
        <w:numPr>
          <w:ilvl w:val="0"/>
          <w:numId w:val="10"/>
        </w:numPr>
        <w:ind w:hanging="436"/>
        <w:rPr>
          <w:sz w:val="24"/>
          <w:szCs w:val="24"/>
        </w:rPr>
      </w:pPr>
      <w:r w:rsidRPr="000823AF">
        <w:rPr>
          <w:sz w:val="24"/>
          <w:szCs w:val="24"/>
        </w:rPr>
        <w:t>Výnosy</w:t>
      </w:r>
    </w:p>
    <w:p w:rsidR="0080706F" w:rsidRPr="000823AF" w:rsidRDefault="0080706F" w:rsidP="0080706F">
      <w:pPr>
        <w:pStyle w:val="Pismenka"/>
        <w:tabs>
          <w:tab w:val="clear" w:pos="360"/>
        </w:tabs>
        <w:ind w:firstLine="0"/>
        <w:rPr>
          <w:b w:val="0"/>
          <w:sz w:val="24"/>
          <w:szCs w:val="24"/>
        </w:rPr>
      </w:pPr>
      <w:r w:rsidRPr="000823AF">
        <w:rPr>
          <w:b w:val="0"/>
          <w:sz w:val="24"/>
          <w:szCs w:val="24"/>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0706F" w:rsidRPr="000823AF" w:rsidRDefault="0080706F" w:rsidP="0080706F">
      <w:pPr>
        <w:pStyle w:val="Pismenka"/>
        <w:tabs>
          <w:tab w:val="clear" w:pos="360"/>
        </w:tabs>
        <w:ind w:firstLine="0"/>
        <w:rPr>
          <w:b w:val="0"/>
          <w:sz w:val="24"/>
          <w:szCs w:val="24"/>
        </w:rPr>
      </w:pPr>
    </w:p>
    <w:p w:rsidR="0080706F" w:rsidRPr="00FE7633" w:rsidRDefault="0080706F" w:rsidP="0080706F">
      <w:pPr>
        <w:pStyle w:val="Pismenka"/>
        <w:tabs>
          <w:tab w:val="clear" w:pos="360"/>
        </w:tabs>
        <w:ind w:firstLine="0"/>
        <w:rPr>
          <w:b w:val="0"/>
          <w:sz w:val="24"/>
          <w:szCs w:val="24"/>
        </w:rPr>
      </w:pPr>
      <w:r w:rsidRPr="000823AF">
        <w:rPr>
          <w:b w:val="0"/>
          <w:sz w:val="24"/>
          <w:szCs w:val="24"/>
        </w:rPr>
        <w:t xml:space="preserve">Tržby z predaja výrobkov a tovaru sa vykazujú </w:t>
      </w:r>
      <w:r w:rsidRPr="00FE7633">
        <w:rPr>
          <w:b w:val="0"/>
          <w:sz w:val="24"/>
          <w:szCs w:val="24"/>
        </w:rPr>
        <w:t xml:space="preserve">v deň splnenia dodávky podľa Obchodného zákonníka, podľa Incoterms alebo iných podmienok dohodnutých v zmluve. </w:t>
      </w:r>
    </w:p>
    <w:p w:rsidR="0080706F" w:rsidRPr="00FE7633" w:rsidRDefault="0080706F" w:rsidP="0080706F">
      <w:pPr>
        <w:pStyle w:val="Pismenka"/>
        <w:tabs>
          <w:tab w:val="clear" w:pos="360"/>
        </w:tabs>
        <w:ind w:firstLine="0"/>
        <w:rPr>
          <w:b w:val="0"/>
          <w:sz w:val="24"/>
          <w:szCs w:val="24"/>
        </w:rPr>
      </w:pPr>
    </w:p>
    <w:p w:rsidR="0080706F" w:rsidRPr="00FE7633" w:rsidRDefault="0080706F" w:rsidP="0080706F">
      <w:pPr>
        <w:pStyle w:val="Pismenka"/>
        <w:tabs>
          <w:tab w:val="clear" w:pos="360"/>
        </w:tabs>
        <w:ind w:firstLine="0"/>
        <w:rPr>
          <w:b w:val="0"/>
          <w:sz w:val="24"/>
          <w:szCs w:val="24"/>
        </w:rPr>
      </w:pPr>
      <w:r w:rsidRPr="00FE7633">
        <w:rPr>
          <w:b w:val="0"/>
          <w:sz w:val="24"/>
          <w:szCs w:val="24"/>
        </w:rPr>
        <w:t>Tržby z predaja služieb sa vykazujú v účtovnom období, v ktorom boli služby poskytnuté.</w:t>
      </w:r>
    </w:p>
    <w:p w:rsidR="0080706F" w:rsidRPr="00FE7633" w:rsidRDefault="0080706F" w:rsidP="0080706F">
      <w:pPr>
        <w:pStyle w:val="Pismenka"/>
        <w:tabs>
          <w:tab w:val="clear" w:pos="360"/>
        </w:tabs>
        <w:ind w:left="426" w:firstLine="0"/>
        <w:rPr>
          <w:b w:val="0"/>
          <w:sz w:val="24"/>
          <w:szCs w:val="24"/>
        </w:rPr>
      </w:pPr>
      <w:r w:rsidRPr="00FE7633">
        <w:rPr>
          <w:b w:val="0"/>
          <w:sz w:val="24"/>
          <w:szCs w:val="24"/>
        </w:rPr>
        <w:t>Výnosové úroky sa účtujú rovnomerne v účtovných obdobiach, ktorých sa vecne a časovo týkajú</w:t>
      </w:r>
      <w:r>
        <w:rPr>
          <w:b w:val="0"/>
          <w:sz w:val="24"/>
          <w:szCs w:val="24"/>
        </w:rPr>
        <w:t>.</w:t>
      </w:r>
    </w:p>
    <w:p w:rsidR="0080706F" w:rsidRPr="00FE7633" w:rsidRDefault="0080706F" w:rsidP="0080706F">
      <w:pPr>
        <w:pStyle w:val="Pismenka"/>
        <w:tabs>
          <w:tab w:val="clear" w:pos="360"/>
        </w:tabs>
        <w:ind w:left="426" w:firstLine="0"/>
        <w:rPr>
          <w:b w:val="0"/>
          <w:sz w:val="24"/>
          <w:szCs w:val="24"/>
        </w:rPr>
      </w:pPr>
    </w:p>
    <w:p w:rsidR="0080706F" w:rsidRPr="00FE7633" w:rsidRDefault="0080706F" w:rsidP="0080706F">
      <w:pPr>
        <w:pStyle w:val="Pismenka"/>
        <w:tabs>
          <w:tab w:val="clear" w:pos="360"/>
        </w:tabs>
        <w:ind w:left="426" w:firstLine="0"/>
        <w:rPr>
          <w:b w:val="0"/>
          <w:sz w:val="24"/>
          <w:szCs w:val="24"/>
        </w:rPr>
      </w:pPr>
      <w:r w:rsidRPr="00FE7633">
        <w:rPr>
          <w:b w:val="0"/>
          <w:sz w:val="24"/>
          <w:szCs w:val="24"/>
        </w:rPr>
        <w:t xml:space="preserve">Výnosy z dividend sa zaúčtujú v čase vzniku práva Spoločnosti na prijatie platby. </w:t>
      </w:r>
    </w:p>
    <w:p w:rsidR="0080706F" w:rsidRPr="00FE7633" w:rsidRDefault="0080706F" w:rsidP="0080706F">
      <w:pPr>
        <w:pStyle w:val="odstavec"/>
        <w:rPr>
          <w:sz w:val="24"/>
          <w:szCs w:val="24"/>
        </w:rPr>
      </w:pPr>
      <w:bookmarkStart w:id="7" w:name="_Toc530739900"/>
    </w:p>
    <w:p w:rsidR="0080706F" w:rsidRPr="000823AF" w:rsidRDefault="0080706F" w:rsidP="0080706F">
      <w:pPr>
        <w:pStyle w:val="Pismenka"/>
        <w:numPr>
          <w:ilvl w:val="0"/>
          <w:numId w:val="10"/>
        </w:numPr>
        <w:rPr>
          <w:sz w:val="24"/>
          <w:szCs w:val="24"/>
        </w:rPr>
      </w:pPr>
      <w:r w:rsidRPr="000823AF">
        <w:rPr>
          <w:sz w:val="24"/>
          <w:szCs w:val="24"/>
        </w:rPr>
        <w:t>Porovnateľné údaje</w:t>
      </w:r>
    </w:p>
    <w:p w:rsidR="0080706F" w:rsidRDefault="0080706F" w:rsidP="0080706F">
      <w:pPr>
        <w:pStyle w:val="Zkladntext"/>
        <w:rPr>
          <w:sz w:val="24"/>
          <w:szCs w:val="24"/>
        </w:rPr>
      </w:pPr>
      <w:r w:rsidRPr="000823AF">
        <w:rPr>
          <w:sz w:val="24"/>
          <w:szCs w:val="24"/>
        </w:rPr>
        <w:t>Ak v dôsledku zmeny účtovných metód a účtovných zásad nie sú hodnoty za bezprostredne predchádzajúce účtovné obdobie v jednotlivých súčastiach účtovnej závierky porovnateľné, uvádza sa vysvetlenie o neporovnateľných hodnotách</w:t>
      </w:r>
      <w:r>
        <w:rPr>
          <w:sz w:val="24"/>
          <w:szCs w:val="24"/>
        </w:rPr>
        <w:t>.</w:t>
      </w:r>
    </w:p>
    <w:p w:rsidR="0080706F" w:rsidRPr="000823AF" w:rsidRDefault="0080706F" w:rsidP="0080706F">
      <w:pPr>
        <w:pStyle w:val="odstavec"/>
        <w:ind w:left="0"/>
        <w:rPr>
          <w:sz w:val="24"/>
          <w:szCs w:val="24"/>
        </w:rPr>
      </w:pPr>
    </w:p>
    <w:p w:rsidR="0080706F" w:rsidRPr="000823AF" w:rsidRDefault="0080706F" w:rsidP="0080706F">
      <w:pPr>
        <w:pStyle w:val="Pismenka"/>
        <w:numPr>
          <w:ilvl w:val="0"/>
          <w:numId w:val="10"/>
        </w:numPr>
        <w:rPr>
          <w:sz w:val="24"/>
          <w:szCs w:val="24"/>
        </w:rPr>
      </w:pPr>
      <w:r w:rsidRPr="000823AF">
        <w:rPr>
          <w:sz w:val="24"/>
          <w:szCs w:val="24"/>
        </w:rPr>
        <w:t>Oprava chýb minulých období</w:t>
      </w:r>
    </w:p>
    <w:p w:rsidR="0080706F" w:rsidRPr="000823AF" w:rsidRDefault="0080706F" w:rsidP="0080706F">
      <w:pPr>
        <w:pStyle w:val="Zkladntext"/>
        <w:rPr>
          <w:sz w:val="24"/>
          <w:szCs w:val="24"/>
        </w:rPr>
      </w:pPr>
      <w:r w:rsidRPr="000823AF">
        <w:rPr>
          <w:sz w:val="24"/>
          <w:szCs w:val="24"/>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80706F" w:rsidRPr="000823AF" w:rsidRDefault="0080706F" w:rsidP="0080706F">
      <w:pPr>
        <w:pStyle w:val="Zkladntext"/>
        <w:rPr>
          <w:sz w:val="24"/>
          <w:szCs w:val="24"/>
        </w:rPr>
      </w:pPr>
    </w:p>
    <w:p w:rsidR="0080706F" w:rsidRPr="000823AF" w:rsidRDefault="0080706F" w:rsidP="0080706F">
      <w:pPr>
        <w:pStyle w:val="Nadpis1"/>
        <w:tabs>
          <w:tab w:val="num" w:pos="360"/>
          <w:tab w:val="num" w:pos="2062"/>
        </w:tabs>
        <w:ind w:left="360" w:hanging="360"/>
      </w:pPr>
      <w:r>
        <w:t>INFORMÁCI</w:t>
      </w:r>
      <w:r w:rsidRPr="000823AF">
        <w:t xml:space="preserve">E K POLOŽKÁM </w:t>
      </w:r>
      <w:bookmarkEnd w:id="7"/>
      <w:r>
        <w:t>SÚVAHY A</w:t>
      </w:r>
      <w:r w:rsidRPr="000823AF">
        <w:t> VÝKAZU ZISKOV A STRÁT</w:t>
      </w:r>
    </w:p>
    <w:p w:rsidR="0080706F" w:rsidRPr="000823AF" w:rsidRDefault="0080706F" w:rsidP="0080706F">
      <w:pPr>
        <w:pStyle w:val="Zkladntext"/>
        <w:ind w:left="0"/>
        <w:rPr>
          <w:sz w:val="24"/>
          <w:szCs w:val="24"/>
        </w:rPr>
      </w:pPr>
    </w:p>
    <w:p w:rsidR="0080706F" w:rsidRPr="000823AF" w:rsidRDefault="0080706F" w:rsidP="0080706F">
      <w:pPr>
        <w:pStyle w:val="Nadpis2"/>
        <w:numPr>
          <w:ilvl w:val="0"/>
          <w:numId w:val="5"/>
        </w:numPr>
        <w:tabs>
          <w:tab w:val="num" w:pos="426"/>
        </w:tabs>
        <w:spacing w:before="0" w:after="0"/>
        <w:rPr>
          <w:rFonts w:ascii="Times New Roman" w:hAnsi="Times New Roman"/>
          <w:sz w:val="24"/>
          <w:szCs w:val="24"/>
        </w:rPr>
      </w:pPr>
      <w:r w:rsidRPr="000823AF">
        <w:rPr>
          <w:rFonts w:ascii="Times New Roman" w:hAnsi="Times New Roman"/>
          <w:sz w:val="24"/>
          <w:szCs w:val="24"/>
        </w:rPr>
        <w:t xml:space="preserve">Dlhodobý nehmotný majetok </w:t>
      </w:r>
    </w:p>
    <w:p w:rsidR="0080706F" w:rsidRPr="000823AF" w:rsidRDefault="0080706F" w:rsidP="0080706F"/>
    <w:p w:rsidR="0080706F" w:rsidRDefault="0080706F" w:rsidP="0080706F">
      <w:pPr>
        <w:ind w:left="426"/>
      </w:pPr>
      <w:r>
        <w:t>Spoločnosť nemá náplň.</w:t>
      </w:r>
    </w:p>
    <w:p w:rsidR="0080706F" w:rsidRPr="000823AF" w:rsidRDefault="0080706F" w:rsidP="0080706F">
      <w:pPr>
        <w:ind w:left="426"/>
      </w:pPr>
    </w:p>
    <w:p w:rsidR="0080706F" w:rsidRPr="000823AF" w:rsidRDefault="0080706F" w:rsidP="0080706F">
      <w:pPr>
        <w:pStyle w:val="Nadpis2"/>
        <w:numPr>
          <w:ilvl w:val="0"/>
          <w:numId w:val="5"/>
        </w:numPr>
        <w:tabs>
          <w:tab w:val="num" w:pos="426"/>
        </w:tabs>
        <w:spacing w:before="0" w:after="0"/>
        <w:rPr>
          <w:rFonts w:ascii="Times New Roman" w:hAnsi="Times New Roman"/>
          <w:sz w:val="24"/>
          <w:szCs w:val="24"/>
        </w:rPr>
      </w:pPr>
      <w:r w:rsidRPr="000823AF">
        <w:rPr>
          <w:rFonts w:ascii="Times New Roman" w:hAnsi="Times New Roman"/>
          <w:sz w:val="24"/>
          <w:szCs w:val="24"/>
        </w:rPr>
        <w:t>Deriváty</w:t>
      </w:r>
    </w:p>
    <w:p w:rsidR="0080706F" w:rsidRPr="000823AF" w:rsidRDefault="0080706F" w:rsidP="0080706F">
      <w:pPr>
        <w:pStyle w:val="Zkladntext"/>
        <w:rPr>
          <w:sz w:val="24"/>
          <w:szCs w:val="24"/>
        </w:rPr>
      </w:pPr>
    </w:p>
    <w:p w:rsidR="0080706F" w:rsidRPr="001463C8" w:rsidRDefault="0080706F" w:rsidP="0080706F">
      <w:pPr>
        <w:pStyle w:val="Zkladntext"/>
        <w:rPr>
          <w:sz w:val="24"/>
          <w:szCs w:val="24"/>
        </w:rPr>
      </w:pPr>
      <w:r>
        <w:rPr>
          <w:sz w:val="24"/>
          <w:szCs w:val="24"/>
        </w:rPr>
        <w:t>Spoločnosť neeviduje deriváty.</w:t>
      </w:r>
    </w:p>
    <w:p w:rsidR="0080706F" w:rsidRPr="000823AF" w:rsidRDefault="0080706F" w:rsidP="0080706F">
      <w:pPr>
        <w:pStyle w:val="Zkladntext"/>
        <w:ind w:left="0"/>
        <w:jc w:val="left"/>
        <w:rPr>
          <w:sz w:val="24"/>
          <w:szCs w:val="24"/>
        </w:rPr>
      </w:pPr>
      <w:bookmarkStart w:id="8" w:name="_MON_1500889926"/>
      <w:bookmarkEnd w:id="8"/>
    </w:p>
    <w:p w:rsidR="0080706F" w:rsidRPr="000823AF" w:rsidRDefault="0080706F" w:rsidP="0080706F">
      <w:pPr>
        <w:pStyle w:val="Nadpis2"/>
        <w:numPr>
          <w:ilvl w:val="0"/>
          <w:numId w:val="2"/>
        </w:numPr>
        <w:spacing w:before="0" w:after="0"/>
        <w:ind w:left="851" w:hanging="425"/>
        <w:rPr>
          <w:rFonts w:ascii="Times New Roman" w:hAnsi="Times New Roman"/>
          <w:sz w:val="24"/>
          <w:szCs w:val="24"/>
        </w:rPr>
      </w:pPr>
      <w:bookmarkStart w:id="9" w:name="_Toc530739909"/>
      <w:r w:rsidRPr="000823AF">
        <w:rPr>
          <w:rFonts w:ascii="Times New Roman" w:hAnsi="Times New Roman"/>
          <w:sz w:val="24"/>
          <w:szCs w:val="24"/>
        </w:rPr>
        <w:t>Záväzky</w:t>
      </w:r>
      <w:bookmarkEnd w:id="9"/>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Štruktúra záväzkov (okrem záväzkov zo sociálneho fondu a odloženého daňového záväzku) podľa zostatkovej doby splatnosti je uvedená v nasledujúcom prehľade:</w:t>
      </w:r>
    </w:p>
    <w:p w:rsidR="0080706F" w:rsidRPr="000823AF" w:rsidRDefault="0080706F" w:rsidP="0080706F">
      <w:pPr>
        <w:pStyle w:val="Zkladntext"/>
        <w:rPr>
          <w:sz w:val="24"/>
          <w:szCs w:val="24"/>
        </w:rPr>
      </w:pPr>
    </w:p>
    <w:bookmarkStart w:id="10" w:name="_MON_1508918652"/>
    <w:bookmarkStart w:id="11" w:name="_MON_1584259062"/>
    <w:bookmarkEnd w:id="10"/>
    <w:bookmarkEnd w:id="11"/>
    <w:bookmarkStart w:id="12" w:name="_MON_1583824753"/>
    <w:bookmarkEnd w:id="12"/>
    <w:p w:rsidR="0080706F" w:rsidRPr="00F11E17" w:rsidRDefault="00BD6FD2" w:rsidP="0080706F">
      <w:pPr>
        <w:pStyle w:val="Zkladntext"/>
        <w:rPr>
          <w:sz w:val="24"/>
          <w:szCs w:val="24"/>
        </w:rPr>
      </w:pPr>
      <w:r w:rsidRPr="000823AF">
        <w:rPr>
          <w:sz w:val="24"/>
          <w:szCs w:val="24"/>
        </w:rPr>
        <w:object w:dxaOrig="8731" w:dyaOrig="2368">
          <v:shape id="_x0000_i1027" type="#_x0000_t75" style="width:435pt;height:117.75pt" o:ole="">
            <v:imagedata r:id="rId13" o:title=""/>
          </v:shape>
          <o:OLEObject Type="Embed" ProgID="Excel.Sheet.12" ShapeID="_x0000_i1027" DrawAspect="Content" ObjectID="_1615543687" r:id="rId14"/>
        </w:object>
      </w:r>
      <w:r w:rsidR="0080706F">
        <w:rPr>
          <w:sz w:val="24"/>
          <w:szCs w:val="24"/>
        </w:rPr>
        <w:t xml:space="preserve"> Záväzky z leasingových zmlúv vo výške 73926,24</w:t>
      </w:r>
      <w:r w:rsidR="0080706F" w:rsidRPr="00F11E17">
        <w:rPr>
          <w:sz w:val="24"/>
          <w:szCs w:val="24"/>
        </w:rPr>
        <w:t xml:space="preserve"> sú kryté hnuteľným majetkom zakúpeným na leasing + zmenkou na meno konateľa.</w:t>
      </w:r>
    </w:p>
    <w:p w:rsidR="0080706F" w:rsidRPr="00DC1CA3" w:rsidRDefault="0080706F" w:rsidP="0080706F">
      <w:pPr>
        <w:pStyle w:val="Zkladntext"/>
        <w:ind w:left="0"/>
        <w:rPr>
          <w:sz w:val="24"/>
          <w:szCs w:val="24"/>
        </w:rPr>
      </w:pPr>
    </w:p>
    <w:p w:rsidR="0080706F" w:rsidRPr="000823AF"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Náklady, ktoré majú výnimočný rozsah alebo výskyt</w:t>
      </w:r>
    </w:p>
    <w:p w:rsidR="0080706F" w:rsidRDefault="0080706F" w:rsidP="0080706F">
      <w:pPr>
        <w:ind w:left="426"/>
      </w:pPr>
    </w:p>
    <w:p w:rsidR="0080706F" w:rsidRPr="000823AF" w:rsidRDefault="0080706F" w:rsidP="0080706F">
      <w:pPr>
        <w:ind w:left="426"/>
      </w:pPr>
      <w:r>
        <w:lastRenderedPageBreak/>
        <w:t>Spoločnosť nemá náplň.</w:t>
      </w:r>
    </w:p>
    <w:p w:rsidR="0080706F" w:rsidRPr="000823AF" w:rsidRDefault="0080706F" w:rsidP="0080706F"/>
    <w:p w:rsidR="0080706F" w:rsidRPr="00DC1CA3" w:rsidRDefault="0080706F" w:rsidP="0080706F">
      <w:pPr>
        <w:pStyle w:val="Nadpis2"/>
        <w:numPr>
          <w:ilvl w:val="0"/>
          <w:numId w:val="2"/>
        </w:numPr>
        <w:spacing w:before="0" w:after="0"/>
        <w:rPr>
          <w:rFonts w:ascii="Times New Roman" w:hAnsi="Times New Roman"/>
          <w:sz w:val="24"/>
          <w:szCs w:val="24"/>
        </w:rPr>
      </w:pPr>
      <w:r w:rsidRPr="000823AF">
        <w:rPr>
          <w:rFonts w:ascii="Times New Roman" w:hAnsi="Times New Roman"/>
          <w:sz w:val="24"/>
          <w:szCs w:val="24"/>
        </w:rPr>
        <w:t>Výnosy, ktoré majú výnimočný rozsah alebo výskyt</w:t>
      </w:r>
      <w:r w:rsidRPr="00DC1CA3">
        <w:rPr>
          <w:color w:val="00B050"/>
          <w:sz w:val="24"/>
          <w:szCs w:val="24"/>
        </w:rPr>
        <w:tab/>
      </w:r>
    </w:p>
    <w:p w:rsidR="0080706F" w:rsidRPr="000823AF" w:rsidRDefault="0080706F" w:rsidP="0080706F">
      <w:pPr>
        <w:pStyle w:val="Zkladntext"/>
        <w:rPr>
          <w:color w:val="00B050"/>
          <w:sz w:val="24"/>
          <w:szCs w:val="24"/>
        </w:rPr>
      </w:pPr>
    </w:p>
    <w:p w:rsidR="0080706F" w:rsidRPr="000823AF" w:rsidRDefault="0080706F" w:rsidP="0080706F">
      <w:pPr>
        <w:ind w:left="426"/>
      </w:pPr>
      <w:bookmarkStart w:id="13" w:name="_MON_1405949598"/>
      <w:bookmarkStart w:id="14" w:name="_MON_1500378563"/>
      <w:bookmarkEnd w:id="13"/>
      <w:bookmarkEnd w:id="14"/>
      <w:r>
        <w:t>Spoločnosť nemá náplň.</w:t>
      </w:r>
    </w:p>
    <w:p w:rsidR="0080706F" w:rsidRPr="000823AF" w:rsidRDefault="0080706F" w:rsidP="0080706F">
      <w:pPr>
        <w:pStyle w:val="Nadpis1"/>
        <w:tabs>
          <w:tab w:val="num" w:pos="360"/>
          <w:tab w:val="num" w:pos="2062"/>
        </w:tabs>
        <w:spacing w:before="240" w:after="60"/>
        <w:ind w:left="360" w:hanging="360"/>
      </w:pPr>
      <w:r w:rsidRPr="000823AF">
        <w:t>Informácie o iných aktívach a iných pasívach</w:t>
      </w:r>
    </w:p>
    <w:p w:rsidR="0080706F" w:rsidRPr="000823AF" w:rsidRDefault="0080706F" w:rsidP="0080706F"/>
    <w:p w:rsidR="0080706F" w:rsidRPr="000823AF" w:rsidRDefault="0080706F" w:rsidP="0080706F">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Podmienený majetok</w:t>
      </w:r>
    </w:p>
    <w:p w:rsidR="0080706F" w:rsidRPr="000823AF" w:rsidRDefault="0080706F" w:rsidP="0080706F">
      <w:pPr>
        <w:pStyle w:val="Zkladntext"/>
        <w:ind w:left="0"/>
        <w:rPr>
          <w:sz w:val="24"/>
          <w:szCs w:val="24"/>
        </w:rPr>
      </w:pPr>
    </w:p>
    <w:p w:rsidR="0080706F" w:rsidRPr="00DC1CA3" w:rsidRDefault="0080706F" w:rsidP="0080706F">
      <w:pPr>
        <w:ind w:left="426"/>
      </w:pPr>
      <w:r>
        <w:t>Spoločnosť nemá náplň.</w:t>
      </w:r>
    </w:p>
    <w:p w:rsidR="0080706F" w:rsidRPr="000823AF" w:rsidRDefault="0080706F" w:rsidP="0080706F"/>
    <w:p w:rsidR="0080706F" w:rsidRPr="000823AF" w:rsidRDefault="0080706F" w:rsidP="0080706F">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Podmienené záväzky</w:t>
      </w:r>
    </w:p>
    <w:p w:rsidR="0080706F" w:rsidRPr="000823AF" w:rsidRDefault="0080706F" w:rsidP="0080706F">
      <w:pPr>
        <w:pStyle w:val="Zkladntext"/>
        <w:rPr>
          <w:sz w:val="24"/>
          <w:szCs w:val="24"/>
        </w:rPr>
      </w:pPr>
    </w:p>
    <w:p w:rsidR="0080706F" w:rsidRPr="006E0F24" w:rsidRDefault="0080706F" w:rsidP="0080706F">
      <w:pPr>
        <w:pStyle w:val="Zkladntext"/>
        <w:rPr>
          <w:sz w:val="24"/>
          <w:szCs w:val="24"/>
        </w:rPr>
      </w:pPr>
      <w:r w:rsidRPr="006E0F24">
        <w:rPr>
          <w:sz w:val="24"/>
          <w:szCs w:val="24"/>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80706F" w:rsidRDefault="0080706F" w:rsidP="0080706F">
      <w:pPr>
        <w:pStyle w:val="Zkladntext"/>
        <w:rPr>
          <w:szCs w:val="18"/>
        </w:rPr>
      </w:pPr>
    </w:p>
    <w:p w:rsidR="0080706F" w:rsidRPr="000823AF" w:rsidRDefault="0080706F" w:rsidP="0080706F">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Ostatné finančné povinnosti</w:t>
      </w:r>
    </w:p>
    <w:p w:rsidR="0080706F" w:rsidRPr="00DC1CA3" w:rsidRDefault="0080706F" w:rsidP="0080706F">
      <w:pPr>
        <w:pStyle w:val="Zkladntext"/>
        <w:rPr>
          <w:sz w:val="24"/>
          <w:szCs w:val="24"/>
        </w:rPr>
      </w:pPr>
    </w:p>
    <w:p w:rsidR="0080706F" w:rsidRPr="000823AF" w:rsidRDefault="0080706F" w:rsidP="0080706F">
      <w:pPr>
        <w:ind w:left="426"/>
      </w:pPr>
      <w:r>
        <w:t>Spoločnosť nemá náplň.</w:t>
      </w:r>
    </w:p>
    <w:p w:rsidR="0080706F" w:rsidRPr="000823AF" w:rsidRDefault="0080706F" w:rsidP="0080706F">
      <w:pPr>
        <w:pStyle w:val="Zkladntext"/>
        <w:ind w:left="766"/>
        <w:rPr>
          <w:color w:val="0070C0"/>
          <w:sz w:val="24"/>
          <w:szCs w:val="24"/>
        </w:rPr>
      </w:pPr>
    </w:p>
    <w:p w:rsidR="0080706F" w:rsidRPr="000823AF" w:rsidRDefault="0080706F" w:rsidP="0080706F">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Najatý majetok</w:t>
      </w:r>
    </w:p>
    <w:p w:rsidR="0080706F" w:rsidRPr="000823AF" w:rsidRDefault="0080706F" w:rsidP="0080706F">
      <w:pPr>
        <w:pStyle w:val="Zkladntext"/>
        <w:ind w:left="0"/>
        <w:rPr>
          <w:sz w:val="24"/>
          <w:szCs w:val="24"/>
        </w:rPr>
      </w:pPr>
    </w:p>
    <w:p w:rsidR="0080706F" w:rsidRDefault="00073771" w:rsidP="0080706F">
      <w:pPr>
        <w:pStyle w:val="Zkladntext"/>
        <w:rPr>
          <w:sz w:val="24"/>
          <w:szCs w:val="24"/>
        </w:rPr>
      </w:pPr>
      <w:r>
        <w:rPr>
          <w:sz w:val="24"/>
          <w:szCs w:val="24"/>
        </w:rPr>
        <w:t>Spoločnosť nemá náplň</w:t>
      </w:r>
    </w:p>
    <w:p w:rsidR="0080706F" w:rsidRDefault="0080706F" w:rsidP="0080706F">
      <w:pPr>
        <w:pStyle w:val="Zkladntext"/>
        <w:rPr>
          <w:sz w:val="24"/>
          <w:szCs w:val="24"/>
        </w:rPr>
      </w:pPr>
    </w:p>
    <w:p w:rsidR="0080706F" w:rsidRPr="000823AF" w:rsidRDefault="0080706F" w:rsidP="0080706F">
      <w:pPr>
        <w:pStyle w:val="Zkladntext"/>
        <w:ind w:left="0"/>
        <w:rPr>
          <w:sz w:val="24"/>
          <w:szCs w:val="24"/>
        </w:rPr>
      </w:pPr>
    </w:p>
    <w:p w:rsidR="0080706F" w:rsidRPr="000823AF" w:rsidRDefault="0080706F" w:rsidP="0080706F">
      <w:pPr>
        <w:pStyle w:val="Nadpis2"/>
        <w:numPr>
          <w:ilvl w:val="0"/>
          <w:numId w:val="9"/>
        </w:numPr>
        <w:spacing w:before="0" w:after="0"/>
        <w:rPr>
          <w:rFonts w:ascii="Times New Roman" w:hAnsi="Times New Roman"/>
          <w:sz w:val="24"/>
          <w:szCs w:val="24"/>
        </w:rPr>
      </w:pPr>
      <w:r w:rsidRPr="000823AF">
        <w:rPr>
          <w:rFonts w:ascii="Times New Roman" w:hAnsi="Times New Roman"/>
          <w:sz w:val="24"/>
          <w:szCs w:val="24"/>
        </w:rPr>
        <w:t>Prenajatý majetok</w:t>
      </w:r>
    </w:p>
    <w:p w:rsidR="0080706F" w:rsidRPr="000823AF" w:rsidRDefault="0080706F" w:rsidP="0080706F">
      <w:pPr>
        <w:pStyle w:val="Zkladntext"/>
        <w:rPr>
          <w:sz w:val="24"/>
          <w:szCs w:val="24"/>
        </w:rPr>
      </w:pPr>
    </w:p>
    <w:p w:rsidR="0080706F" w:rsidRPr="000823AF" w:rsidRDefault="0080706F" w:rsidP="0080706F">
      <w:pPr>
        <w:pStyle w:val="Zkladntext"/>
        <w:rPr>
          <w:sz w:val="24"/>
          <w:szCs w:val="24"/>
        </w:rPr>
      </w:pPr>
      <w:r w:rsidRPr="000823AF">
        <w:rPr>
          <w:sz w:val="24"/>
          <w:szCs w:val="24"/>
        </w:rPr>
        <w:t xml:space="preserve">Spoločnosť </w:t>
      </w:r>
      <w:r w:rsidR="00073771">
        <w:rPr>
          <w:sz w:val="24"/>
          <w:szCs w:val="24"/>
        </w:rPr>
        <w:t>nemá náplň</w:t>
      </w:r>
    </w:p>
    <w:p w:rsidR="0080706F" w:rsidRPr="000823AF" w:rsidRDefault="0080706F" w:rsidP="0080706F">
      <w:pPr>
        <w:pStyle w:val="Zkladntext"/>
        <w:ind w:left="0"/>
        <w:rPr>
          <w:sz w:val="24"/>
          <w:szCs w:val="24"/>
        </w:rPr>
      </w:pPr>
    </w:p>
    <w:p w:rsidR="0080706F" w:rsidRPr="000823AF" w:rsidRDefault="0080706F" w:rsidP="0080706F">
      <w:pPr>
        <w:pStyle w:val="Nadpis1"/>
        <w:tabs>
          <w:tab w:val="num" w:pos="360"/>
          <w:tab w:val="num" w:pos="2062"/>
        </w:tabs>
        <w:spacing w:before="120" w:after="60"/>
        <w:ind w:left="360" w:hanging="360"/>
      </w:pPr>
      <w:r w:rsidRPr="000823AF">
        <w:t>Informácie o skutočnostiach, ktoré nastali po dni, ku ktorému sa zostavuje účtovná závierka, do dňa zostavenia účtovnej závierky</w:t>
      </w:r>
    </w:p>
    <w:p w:rsidR="0080706F" w:rsidRPr="000823AF" w:rsidRDefault="0080706F" w:rsidP="0080706F">
      <w:pPr>
        <w:pStyle w:val="Zkladntext"/>
        <w:rPr>
          <w:sz w:val="24"/>
          <w:szCs w:val="24"/>
        </w:rPr>
      </w:pPr>
    </w:p>
    <w:p w:rsidR="0080706F" w:rsidRPr="006E0F24" w:rsidRDefault="00BD6FD2" w:rsidP="0080706F">
      <w:pPr>
        <w:pStyle w:val="Textkomentra"/>
        <w:rPr>
          <w:sz w:val="24"/>
          <w:szCs w:val="24"/>
        </w:rPr>
      </w:pPr>
      <w:r>
        <w:rPr>
          <w:sz w:val="24"/>
          <w:szCs w:val="24"/>
        </w:rPr>
        <w:t>Po 31.12.2018</w:t>
      </w:r>
      <w:bookmarkStart w:id="15" w:name="_GoBack"/>
      <w:bookmarkEnd w:id="15"/>
      <w:r w:rsidR="0080706F" w:rsidRPr="006E0F24">
        <w:rPr>
          <w:sz w:val="24"/>
          <w:szCs w:val="24"/>
        </w:rPr>
        <w:t xml:space="preserve"> nenastali žiadne významné skutočnosti majúce významný vplyv na verné zobrazenie skutočností, ktoré sú predmetom účtovníctva.</w:t>
      </w:r>
    </w:p>
    <w:p w:rsidR="0080706F" w:rsidRDefault="0080706F" w:rsidP="00F22260">
      <w:pPr>
        <w:jc w:val="center"/>
        <w:rPr>
          <w:b/>
          <w:sz w:val="48"/>
          <w:szCs w:val="48"/>
        </w:rPr>
      </w:pPr>
    </w:p>
    <w:sectPr w:rsidR="0080706F" w:rsidSect="0080706F">
      <w:footerReference w:type="defaul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F5329" w:rsidRDefault="00BF5329" w:rsidP="0080706F">
      <w:pPr>
        <w:spacing w:after="0" w:line="240" w:lineRule="auto"/>
      </w:pPr>
      <w:r>
        <w:separator/>
      </w:r>
    </w:p>
  </w:endnote>
  <w:endnote w:type="continuationSeparator" w:id="0">
    <w:p w:rsidR="00BF5329" w:rsidRDefault="00BF5329" w:rsidP="008070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Univers 45 Light">
    <w:charset w:val="00"/>
    <w:family w:val="auto"/>
    <w:pitch w:val="variable"/>
    <w:sig w:usb0="8000002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0706F" w:rsidRDefault="0080706F" w:rsidP="002C3BDE">
    <w:pPr>
      <w:pStyle w:val="Pta"/>
      <w:pBdr>
        <w:top w:val="single" w:sz="4" w:space="1" w:color="A5A5A5" w:themeColor="background1" w:themeShade="A5"/>
      </w:pBdr>
      <w:jc w:val="right"/>
    </w:pPr>
    <w:r>
      <w:rPr>
        <w:noProof/>
        <w:color w:val="808080" w:themeColor="background1" w:themeShade="80"/>
        <w:lang w:eastAsia="sk-SK"/>
      </w:rPr>
      <mc:AlternateContent>
        <mc:Choice Requires="wpg">
          <w:drawing>
            <wp:anchor distT="0" distB="0" distL="114300" distR="114300" simplePos="0" relativeHeight="251659264" behindDoc="0" locked="0" layoutInCell="0" allowOverlap="1" wp14:anchorId="2722632F" wp14:editId="6D43C8A7">
              <wp:simplePos x="0" y="0"/>
              <wp:positionH relativeFrom="rightMargin">
                <wp:align>center</wp:align>
              </wp:positionH>
              <mc:AlternateContent>
                <mc:Choice Requires="wp14">
                  <wp:positionV relativeFrom="margin">
                    <wp14:pctPosVOffset>90000</wp14:pctPosVOffset>
                  </wp:positionV>
                </mc:Choice>
                <mc:Fallback>
                  <wp:positionV relativeFrom="page">
                    <wp:posOffset>8902700</wp:posOffset>
                  </wp:positionV>
                </mc:Fallback>
              </mc:AlternateContent>
              <wp:extent cx="737870" cy="615950"/>
              <wp:effectExtent l="0" t="1270" r="5080" b="1905"/>
              <wp:wrapNone/>
              <wp:docPr id="406" name="Skupina 4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26440" cy="615950"/>
                        <a:chOff x="10717" y="13296"/>
                        <a:chExt cx="1162" cy="970"/>
                      </a:xfrm>
                    </wpg:grpSpPr>
                    <wpg:grpSp>
                      <wpg:cNvPr id="423" name="Group 423"/>
                      <wpg:cNvGrpSpPr>
                        <a:grpSpLocks noChangeAspect="1"/>
                      </wpg:cNvGrpSpPr>
                      <wpg:grpSpPr bwMode="auto">
                        <a:xfrm>
                          <a:off x="10717" y="13815"/>
                          <a:ext cx="1161" cy="451"/>
                          <a:chOff x="-6" y="3399"/>
                          <a:chExt cx="12197" cy="4253"/>
                        </a:xfrm>
                      </wpg:grpSpPr>
                      <wpg:grpSp>
                        <wpg:cNvPr id="424" name="Group 424"/>
                        <wpg:cNvGrpSpPr>
                          <a:grpSpLocks noChangeAspect="1"/>
                        </wpg:cNvGrpSpPr>
                        <wpg:grpSpPr bwMode="auto">
                          <a:xfrm>
                            <a:off x="-6" y="3717"/>
                            <a:ext cx="12189" cy="3550"/>
                            <a:chOff x="18" y="7468"/>
                            <a:chExt cx="12189" cy="3550"/>
                          </a:xfrm>
                        </wpg:grpSpPr>
                        <wps:wsp>
                          <wps:cNvPr id="425" name="Freeform 425"/>
                          <wps:cNvSpPr>
                            <a:spLocks noChangeAspect="1"/>
                          </wps:cNvSpPr>
                          <wps:spPr bwMode="auto">
                            <a:xfrm>
                              <a:off x="18" y="7837"/>
                              <a:ext cx="7132" cy="2863"/>
                            </a:xfrm>
                            <a:custGeom>
                              <a:avLst/>
                              <a:gdLst/>
                              <a:ahLst/>
                              <a:cxnLst>
                                <a:cxn ang="0">
                                  <a:pos x="0" y="0"/>
                                </a:cxn>
                                <a:cxn ang="0">
                                  <a:pos x="17" y="2863"/>
                                </a:cxn>
                                <a:cxn ang="0">
                                  <a:pos x="7132" y="2578"/>
                                </a:cxn>
                                <a:cxn ang="0">
                                  <a:pos x="7132" y="200"/>
                                </a:cxn>
                                <a:cxn ang="0">
                                  <a:pos x="0" y="0"/>
                                </a:cxn>
                              </a:cxnLst>
                              <a:rect l="0" t="0" r="r" b="b"/>
                              <a:pathLst>
                                <a:path w="7132" h="2863">
                                  <a:moveTo>
                                    <a:pt x="0" y="0"/>
                                  </a:moveTo>
                                  <a:lnTo>
                                    <a:pt x="17" y="2863"/>
                                  </a:lnTo>
                                  <a:lnTo>
                                    <a:pt x="7132" y="2578"/>
                                  </a:lnTo>
                                  <a:lnTo>
                                    <a:pt x="7132" y="200"/>
                                  </a:lnTo>
                                  <a:lnTo>
                                    <a:pt x="0" y="0"/>
                                  </a:lnTo>
                                  <a:close/>
                                </a:path>
                              </a:pathLst>
                            </a:custGeom>
                            <a:solidFill>
                              <a:srgbClr val="A7BFDE">
                                <a:alpha val="5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6" name="Freeform 426"/>
                          <wps:cNvSpPr>
                            <a:spLocks noChangeAspect="1"/>
                          </wps:cNvSpPr>
                          <wps:spPr bwMode="auto">
                            <a:xfrm>
                              <a:off x="7150" y="7468"/>
                              <a:ext cx="3466" cy="3550"/>
                            </a:xfrm>
                            <a:custGeom>
                              <a:avLst/>
                              <a:gdLst/>
                              <a:ahLst/>
                              <a:cxnLst>
                                <a:cxn ang="0">
                                  <a:pos x="0" y="569"/>
                                </a:cxn>
                                <a:cxn ang="0">
                                  <a:pos x="0" y="2930"/>
                                </a:cxn>
                                <a:cxn ang="0">
                                  <a:pos x="3466" y="3550"/>
                                </a:cxn>
                                <a:cxn ang="0">
                                  <a:pos x="3466" y="0"/>
                                </a:cxn>
                                <a:cxn ang="0">
                                  <a:pos x="0" y="569"/>
                                </a:cxn>
                              </a:cxnLst>
                              <a:rect l="0" t="0" r="r" b="b"/>
                              <a:pathLst>
                                <a:path w="3466" h="3550">
                                  <a:moveTo>
                                    <a:pt x="0" y="569"/>
                                  </a:moveTo>
                                  <a:lnTo>
                                    <a:pt x="0" y="2930"/>
                                  </a:lnTo>
                                  <a:lnTo>
                                    <a:pt x="3466" y="3550"/>
                                  </a:lnTo>
                                  <a:lnTo>
                                    <a:pt x="3466" y="0"/>
                                  </a:lnTo>
                                  <a:lnTo>
                                    <a:pt x="0" y="569"/>
                                  </a:lnTo>
                                  <a:close/>
                                </a:path>
                              </a:pathLst>
                            </a:custGeom>
                            <a:solidFill>
                              <a:srgbClr val="D3DFEE">
                                <a:alpha val="5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7" name="Freeform 427"/>
                          <wps:cNvSpPr>
                            <a:spLocks noChangeAspect="1"/>
                          </wps:cNvSpPr>
                          <wps:spPr bwMode="auto">
                            <a:xfrm>
                              <a:off x="10616" y="7468"/>
                              <a:ext cx="1591" cy="3550"/>
                            </a:xfrm>
                            <a:custGeom>
                              <a:avLst/>
                              <a:gdLst/>
                              <a:ahLst/>
                              <a:cxnLst>
                                <a:cxn ang="0">
                                  <a:pos x="0" y="0"/>
                                </a:cxn>
                                <a:cxn ang="0">
                                  <a:pos x="0" y="3550"/>
                                </a:cxn>
                                <a:cxn ang="0">
                                  <a:pos x="1591" y="2746"/>
                                </a:cxn>
                                <a:cxn ang="0">
                                  <a:pos x="1591" y="737"/>
                                </a:cxn>
                                <a:cxn ang="0">
                                  <a:pos x="0" y="0"/>
                                </a:cxn>
                              </a:cxnLst>
                              <a:rect l="0" t="0" r="r" b="b"/>
                              <a:pathLst>
                                <a:path w="1591" h="3550">
                                  <a:moveTo>
                                    <a:pt x="0" y="0"/>
                                  </a:moveTo>
                                  <a:lnTo>
                                    <a:pt x="0" y="3550"/>
                                  </a:lnTo>
                                  <a:lnTo>
                                    <a:pt x="1591" y="2746"/>
                                  </a:lnTo>
                                  <a:lnTo>
                                    <a:pt x="1591" y="737"/>
                                  </a:lnTo>
                                  <a:lnTo>
                                    <a:pt x="0" y="0"/>
                                  </a:lnTo>
                                  <a:close/>
                                </a:path>
                              </a:pathLst>
                            </a:custGeom>
                            <a:solidFill>
                              <a:srgbClr val="A7BFDE">
                                <a:alpha val="5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428" name="Freeform 428"/>
                        <wps:cNvSpPr>
                          <a:spLocks noChangeAspect="1"/>
                        </wps:cNvSpPr>
                        <wps:spPr bwMode="auto">
                          <a:xfrm>
                            <a:off x="8071" y="4069"/>
                            <a:ext cx="4120" cy="2913"/>
                          </a:xfrm>
                          <a:custGeom>
                            <a:avLst/>
                            <a:gdLst/>
                            <a:ahLst/>
                            <a:cxnLst>
                              <a:cxn ang="0">
                                <a:pos x="1" y="251"/>
                              </a:cxn>
                              <a:cxn ang="0">
                                <a:pos x="0" y="2662"/>
                              </a:cxn>
                              <a:cxn ang="0">
                                <a:pos x="4120" y="2913"/>
                              </a:cxn>
                              <a:cxn ang="0">
                                <a:pos x="4120" y="0"/>
                              </a:cxn>
                              <a:cxn ang="0">
                                <a:pos x="1" y="251"/>
                              </a:cxn>
                            </a:cxnLst>
                            <a:rect l="0" t="0" r="r" b="b"/>
                            <a:pathLst>
                              <a:path w="4120" h="2913">
                                <a:moveTo>
                                  <a:pt x="1" y="251"/>
                                </a:moveTo>
                                <a:lnTo>
                                  <a:pt x="0" y="2662"/>
                                </a:lnTo>
                                <a:lnTo>
                                  <a:pt x="4120" y="2913"/>
                                </a:lnTo>
                                <a:lnTo>
                                  <a:pt x="4120" y="0"/>
                                </a:lnTo>
                                <a:lnTo>
                                  <a:pt x="1" y="251"/>
                                </a:lnTo>
                                <a:close/>
                              </a:path>
                            </a:pathLst>
                          </a:custGeom>
                          <a:solidFill>
                            <a:srgbClr val="D8D8D8"/>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29" name="Freeform 429"/>
                        <wps:cNvSpPr>
                          <a:spLocks noChangeAspect="1"/>
                        </wps:cNvSpPr>
                        <wps:spPr bwMode="auto">
                          <a:xfrm>
                            <a:off x="4104" y="3399"/>
                            <a:ext cx="3985" cy="4236"/>
                          </a:xfrm>
                          <a:custGeom>
                            <a:avLst/>
                            <a:gdLst/>
                            <a:ahLst/>
                            <a:cxnLst>
                              <a:cxn ang="0">
                                <a:pos x="0" y="0"/>
                              </a:cxn>
                              <a:cxn ang="0">
                                <a:pos x="0" y="4236"/>
                              </a:cxn>
                              <a:cxn ang="0">
                                <a:pos x="3985" y="3349"/>
                              </a:cxn>
                              <a:cxn ang="0">
                                <a:pos x="3985" y="921"/>
                              </a:cxn>
                              <a:cxn ang="0">
                                <a:pos x="0" y="0"/>
                              </a:cxn>
                            </a:cxnLst>
                            <a:rect l="0" t="0" r="r" b="b"/>
                            <a:pathLst>
                              <a:path w="3985" h="4236">
                                <a:moveTo>
                                  <a:pt x="0" y="0"/>
                                </a:moveTo>
                                <a:lnTo>
                                  <a:pt x="0" y="4236"/>
                                </a:lnTo>
                                <a:lnTo>
                                  <a:pt x="3985" y="3349"/>
                                </a:lnTo>
                                <a:lnTo>
                                  <a:pt x="3985" y="921"/>
                                </a:lnTo>
                                <a:lnTo>
                                  <a:pt x="0" y="0"/>
                                </a:lnTo>
                                <a:close/>
                              </a:path>
                            </a:pathLst>
                          </a:custGeom>
                          <a:solidFill>
                            <a:srgbClr val="BFBFBF"/>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0" name="Freeform 430"/>
                        <wps:cNvSpPr>
                          <a:spLocks noChangeAspect="1"/>
                        </wps:cNvSpPr>
                        <wps:spPr bwMode="auto">
                          <a:xfrm>
                            <a:off x="18" y="3399"/>
                            <a:ext cx="4086" cy="4253"/>
                          </a:xfrm>
                          <a:custGeom>
                            <a:avLst/>
                            <a:gdLst/>
                            <a:ahLst/>
                            <a:cxnLst>
                              <a:cxn ang="0">
                                <a:pos x="4086" y="0"/>
                              </a:cxn>
                              <a:cxn ang="0">
                                <a:pos x="4084" y="4253"/>
                              </a:cxn>
                              <a:cxn ang="0">
                                <a:pos x="0" y="3198"/>
                              </a:cxn>
                              <a:cxn ang="0">
                                <a:pos x="0" y="1072"/>
                              </a:cxn>
                              <a:cxn ang="0">
                                <a:pos x="4086" y="0"/>
                              </a:cxn>
                            </a:cxnLst>
                            <a:rect l="0" t="0" r="r" b="b"/>
                            <a:pathLst>
                              <a:path w="4086" h="4253">
                                <a:moveTo>
                                  <a:pt x="4086" y="0"/>
                                </a:moveTo>
                                <a:lnTo>
                                  <a:pt x="4084" y="4253"/>
                                </a:lnTo>
                                <a:lnTo>
                                  <a:pt x="0" y="3198"/>
                                </a:lnTo>
                                <a:lnTo>
                                  <a:pt x="0" y="1072"/>
                                </a:lnTo>
                                <a:lnTo>
                                  <a:pt x="4086" y="0"/>
                                </a:lnTo>
                                <a:close/>
                              </a:path>
                            </a:pathLst>
                          </a:custGeom>
                          <a:solidFill>
                            <a:srgbClr val="D8D8D8"/>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1" name="Freeform 431"/>
                        <wps:cNvSpPr>
                          <a:spLocks noChangeAspect="1"/>
                        </wps:cNvSpPr>
                        <wps:spPr bwMode="auto">
                          <a:xfrm>
                            <a:off x="17" y="3617"/>
                            <a:ext cx="2076" cy="3851"/>
                          </a:xfrm>
                          <a:custGeom>
                            <a:avLst/>
                            <a:gdLst/>
                            <a:ahLst/>
                            <a:cxnLst>
                              <a:cxn ang="0">
                                <a:pos x="0" y="921"/>
                              </a:cxn>
                              <a:cxn ang="0">
                                <a:pos x="2060" y="0"/>
                              </a:cxn>
                              <a:cxn ang="0">
                                <a:pos x="2076" y="3851"/>
                              </a:cxn>
                              <a:cxn ang="0">
                                <a:pos x="0" y="2981"/>
                              </a:cxn>
                              <a:cxn ang="0">
                                <a:pos x="0" y="921"/>
                              </a:cxn>
                            </a:cxnLst>
                            <a:rect l="0" t="0" r="r" b="b"/>
                            <a:pathLst>
                              <a:path w="2076" h="3851">
                                <a:moveTo>
                                  <a:pt x="0" y="921"/>
                                </a:moveTo>
                                <a:lnTo>
                                  <a:pt x="2060" y="0"/>
                                </a:lnTo>
                                <a:lnTo>
                                  <a:pt x="2076" y="3851"/>
                                </a:lnTo>
                                <a:lnTo>
                                  <a:pt x="0" y="2981"/>
                                </a:lnTo>
                                <a:lnTo>
                                  <a:pt x="0" y="921"/>
                                </a:lnTo>
                                <a:close/>
                              </a:path>
                            </a:pathLst>
                          </a:custGeom>
                          <a:solidFill>
                            <a:srgbClr val="D3DFEE">
                              <a:alpha val="7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2" name="Freeform 432"/>
                        <wps:cNvSpPr>
                          <a:spLocks noChangeAspect="1"/>
                        </wps:cNvSpPr>
                        <wps:spPr bwMode="auto">
                          <a:xfrm>
                            <a:off x="2077" y="3617"/>
                            <a:ext cx="6011" cy="3835"/>
                          </a:xfrm>
                          <a:custGeom>
                            <a:avLst/>
                            <a:gdLst/>
                            <a:ahLst/>
                            <a:cxnLst>
                              <a:cxn ang="0">
                                <a:pos x="0" y="0"/>
                              </a:cxn>
                              <a:cxn ang="0">
                                <a:pos x="17" y="3835"/>
                              </a:cxn>
                              <a:cxn ang="0">
                                <a:pos x="6011" y="2629"/>
                              </a:cxn>
                              <a:cxn ang="0">
                                <a:pos x="6011" y="1239"/>
                              </a:cxn>
                              <a:cxn ang="0">
                                <a:pos x="0" y="0"/>
                              </a:cxn>
                            </a:cxnLst>
                            <a:rect l="0" t="0" r="r" b="b"/>
                            <a:pathLst>
                              <a:path w="6011" h="3835">
                                <a:moveTo>
                                  <a:pt x="0" y="0"/>
                                </a:moveTo>
                                <a:lnTo>
                                  <a:pt x="17" y="3835"/>
                                </a:lnTo>
                                <a:lnTo>
                                  <a:pt x="6011" y="2629"/>
                                </a:lnTo>
                                <a:lnTo>
                                  <a:pt x="6011" y="1239"/>
                                </a:lnTo>
                                <a:lnTo>
                                  <a:pt x="0" y="0"/>
                                </a:lnTo>
                                <a:close/>
                              </a:path>
                            </a:pathLst>
                          </a:custGeom>
                          <a:solidFill>
                            <a:srgbClr val="A7BFDE">
                              <a:alpha val="7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3" name="Freeform 433"/>
                        <wps:cNvSpPr>
                          <a:spLocks noChangeAspect="1"/>
                        </wps:cNvSpPr>
                        <wps:spPr bwMode="auto">
                          <a:xfrm>
                            <a:off x="8088" y="3835"/>
                            <a:ext cx="4102" cy="3432"/>
                          </a:xfrm>
                          <a:custGeom>
                            <a:avLst/>
                            <a:gdLst/>
                            <a:ahLst/>
                            <a:cxnLst>
                              <a:cxn ang="0">
                                <a:pos x="0" y="1038"/>
                              </a:cxn>
                              <a:cxn ang="0">
                                <a:pos x="0" y="2411"/>
                              </a:cxn>
                              <a:cxn ang="0">
                                <a:pos x="4102" y="3432"/>
                              </a:cxn>
                              <a:cxn ang="0">
                                <a:pos x="4102" y="0"/>
                              </a:cxn>
                              <a:cxn ang="0">
                                <a:pos x="0" y="1038"/>
                              </a:cxn>
                            </a:cxnLst>
                            <a:rect l="0" t="0" r="r" b="b"/>
                            <a:pathLst>
                              <a:path w="4102" h="3432">
                                <a:moveTo>
                                  <a:pt x="0" y="1038"/>
                                </a:moveTo>
                                <a:lnTo>
                                  <a:pt x="0" y="2411"/>
                                </a:lnTo>
                                <a:lnTo>
                                  <a:pt x="4102" y="3432"/>
                                </a:lnTo>
                                <a:lnTo>
                                  <a:pt x="4102" y="0"/>
                                </a:lnTo>
                                <a:lnTo>
                                  <a:pt x="0" y="1038"/>
                                </a:lnTo>
                                <a:close/>
                              </a:path>
                            </a:pathLst>
                          </a:custGeom>
                          <a:solidFill>
                            <a:srgbClr val="D3DFEE">
                              <a:alpha val="70000"/>
                            </a:srgbClr>
                          </a:solidFill>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434" name="Text Box 434"/>
                      <wps:cNvSpPr txBox="1">
                        <a:spLocks noChangeArrowheads="1"/>
                      </wps:cNvSpPr>
                      <wps:spPr bwMode="auto">
                        <a:xfrm>
                          <a:off x="10821" y="13296"/>
                          <a:ext cx="1058" cy="365"/>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0706F" w:rsidRDefault="0080706F">
                            <w:pPr>
                              <w:jc w:val="center"/>
                              <w:rPr>
                                <w:color w:val="4F81BD" w:themeColor="accent1"/>
                              </w:rPr>
                            </w:pPr>
                            <w:r>
                              <w:fldChar w:fldCharType="begin"/>
                            </w:r>
                            <w:r>
                              <w:instrText>PAGE   \* MERGEFORMAT</w:instrText>
                            </w:r>
                            <w:r>
                              <w:fldChar w:fldCharType="separate"/>
                            </w:r>
                            <w:r w:rsidR="00BD6FD2" w:rsidRPr="00BD6FD2">
                              <w:rPr>
                                <w:noProof/>
                                <w:color w:val="4F81BD" w:themeColor="accent1"/>
                              </w:rPr>
                              <w:t>16</w:t>
                            </w:r>
                            <w:r>
                              <w:rPr>
                                <w:color w:val="4F81BD" w:themeColor="accent1"/>
                              </w:rPr>
                              <w:fldChar w:fldCharType="end"/>
                            </w:r>
                          </w:p>
                        </w:txbxContent>
                      </wps:txbx>
                      <wps:bodyPr rot="0" vert="horz" wrap="square" lIns="91440" tIns="0" rIns="91440" bIns="0" anchor="t" anchorCtr="0" upright="1">
                        <a:noAutofit/>
                      </wps:bodyPr>
                    </wps:wsp>
                  </wpg:wgp>
                </a:graphicData>
              </a:graphic>
              <wp14:sizeRelH relativeFrom="leftMargin">
                <wp14:pctWidth>80000</wp14:pctWidth>
              </wp14:sizeRelH>
              <wp14:sizeRelV relativeFrom="page">
                <wp14:pctHeight>0</wp14:pctHeight>
              </wp14:sizeRelV>
            </wp:anchor>
          </w:drawing>
        </mc:Choice>
        <mc:Fallback>
          <w:pict>
            <v:group id="Skupina 406" o:spid="_x0000_s1026" style="position:absolute;left:0;text-align:left;margin-left:0;margin-top:0;width:58.1pt;height:48.5pt;z-index:251659264;mso-width-percent:800;mso-top-percent:900;mso-position-horizontal:center;mso-position-horizontal-relative:right-margin-area;mso-position-vertical-relative:margin;mso-width-percent:800;mso-top-percent:900;mso-width-relative:left-margin-area" coordorigin="10717,13296" coordsize="1162,9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" o:allowincell="f">
              <v:group id="Group 423" o:spid="_x0000_s1027" style="position:absolute;left:10717;top:13815;width:1161;height:451" coordorigin="-6,3399" coordsize="12197,42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CdzfvPxgAAANwA&#10;AAAPAAAAAAAAAAAAAAAAAKoCAABkcnMvZG93bnJldi54bWxQSwUGAAAAAAQABAD6AAAAnQMAAAAA&#10;">
                <o:lock v:ext="edit" aspectratio="t"/>
                <v:group id="Group 424" o:spid="_x0000_s1028" style="position:absolute;left:-6;top:3717;width:12189;height:3550" coordorigin="18,7468" coordsize="12189,3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EiRju8UAAADcAAAADwAAAGRycy9kb3ducmV2LnhtbESPQYvCMBSE78L+h/CE&#10;vWlaV2WpRhFZlz2IoC6It0fzbIvNS2liW/+9EQSPw8x8w8yXnSlFQ7UrLCuIhxEI4tTqgjMF/8fN&#10;4BuE88gaS8uk4E4OlouP3hwTbVveU3PwmQgQdgkqyL2vEildmpNBN7QVcfAutjbog6wzqWtsA9yU&#10;chRFU2mw4LCQY0XrnNLr4WYU/LbYrr7in2Z7vazv5+Nkd9rGpNRnv1vNQHjq/Dv8av9pBePRG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BIkY7vFAAAA3AAA&#10;AA8AAAAAAAAAAAAAAAAAqgIAAGRycy9kb3ducmV2LnhtbFBLBQYAAAAABAAEAPoAAACcAwAAAAA=&#10;">
                  <o:lock v:ext="edit" aspectratio="t"/>
                  <v:shape id="Freeform 425" o:spid="_x0000_s1029" style="position:absolute;left:18;top:7837;width:7132;height:2863;visibility:visible;mso-wrap-style:square;v-text-anchor:top" coordsize="7132,28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yWrYcMA&#10;AADcAAAADwAAAGRycy9kb3ducmV2LnhtbESPUWsCMRCE34X+h7CFvmlOUZHTKCIUKvpQbX/Aclnv&#10;DpPNkax6/fdNQejjMDPfMKtN7526U0xtYAPjUQGKuAq25drA99f7cAEqCbJFF5gM/FCCzfplsMLS&#10;hgef6H6WWmUIpxINNCJdqXWqGvKYRqEjzt4lRI+SZay1jfjIcO/0pCjm2mPLeaHBjnYNVdfzzRsQ&#10;d+BTtdjPDrdi7I6f0bbznRjz9tpvl6CEevkPP9sf1sB0MoO/M/kI6P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yWrYcMAAADcAAAADwAAAAAAAAAAAAAAAACYAgAAZHJzL2Rv&#10;d25yZXYueG1sUEsFBgAAAAAEAAQA9QAAAIgDAAAAAA==&#10;" path="m,l17,2863,7132,2578r,-2378l,xe" fillcolor="#a7bfde" stroked="f">
                    <v:fill opacity="32896f"/>
                    <v:path arrowok="t" o:connecttype="custom" o:connectlocs="0,0;17,2863;7132,2578;7132,200;0,0" o:connectangles="0,0,0,0,0"/>
                    <o:lock v:ext="edit" aspectratio="t"/>
                  </v:shape>
                  <v:shape id="Freeform 426" o:spid="_x0000_s1030" style="position:absolute;left:7150;top:7468;width:3466;height:3550;visibility:visible;mso-wrap-style:square;v-text-anchor:top" coordsize="3466,3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P1kD8cA&#10;AADcAAAADwAAAGRycy9kb3ducmV2LnhtbESPT2sCMRTE7wW/Q3hCL0WzWlHZGkWkpfXU+ge8Pjav&#10;m9XNyzZJdfXTN4VCj8PM/IaZLVpbizP5UDlWMOhnIIgLpysuFex3L70piBCRNdaOScGVAizmnbsZ&#10;5tpdeEPnbSxFgnDIUYGJscmlDIUhi6HvGuLkfTpvMSbpS6k9XhLc1nKYZWNpseK0YLChlaHitP22&#10;Cj5uG798bL78Dc2ofD+uDw+T51el7rvt8glEpDb+h//ab1rBaDiG3zPpCMj5D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NT9ZA/HAAAA3AAAAA8AAAAAAAAAAAAAAAAAmAIAAGRy&#10;cy9kb3ducmV2LnhtbFBLBQYAAAAABAAEAPUAAACMAwAAAAA=&#10;" path="m,569l,2930r3466,620l3466,,,569xe" fillcolor="#d3dfee" stroked="f">
                    <v:fill opacity="32896f"/>
                    <v:path arrowok="t" o:connecttype="custom" o:connectlocs="0,569;0,2930;3466,3550;3466,0;0,569" o:connectangles="0,0,0,0,0"/>
                    <o:lock v:ext="edit" aspectratio="t"/>
                  </v:shape>
                  <v:shape id="Freeform 427" o:spid="_x0000_s1031" style="position:absolute;left:10616;top:7468;width:1591;height:3550;visibility:visible;mso-wrap-style:square;v-text-anchor:top" coordsize="1591,3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V76VcQA&#10;AADcAAAADwAAAGRycy9kb3ducmV2LnhtbESPQWvCQBSE74X+h+UVejObLmIkdRVbKZXiRW3uj+wz&#10;iWbfhuzWpP++Kwg9DjPzDbNYjbYVV+p941jDS5KCIC6dabjS8H38mMxB+IBssHVMGn7Jw2r5+LDA&#10;3LiB93Q9hEpECPscNdQhdLmUvqzJok9cRxy9k+sthij7Spoehwi3rVRpOpMWG44LNXb0XlN5OfxY&#10;DdlxM92szZd6++RwVmWhzsVOaf38NK5fQQQaw3/43t4aDVOVwe1MPAJy+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Fe+lXEAAAA3AAAAA8AAAAAAAAAAAAAAAAAmAIAAGRycy9k&#10;b3ducmV2LnhtbFBLBQYAAAAABAAEAPUAAACJAwAAAAA=&#10;" path="m,l,3550,1591,2746r,-2009l,xe" fillcolor="#a7bfde" stroked="f">
                    <v:fill opacity="32896f"/>
                    <v:path arrowok="t" o:connecttype="custom" o:connectlocs="0,0;0,3550;1591,2746;1591,737;0,0" o:connectangles="0,0,0,0,0"/>
                    <o:lock v:ext="edit" aspectratio="t"/>
                  </v:shape>
                </v:group>
                <v:shape id="Freeform 428" o:spid="_x0000_s1032" style="position:absolute;left:8071;top:4069;width:4120;height:2913;visibility:visible;mso-wrap-style:square;v-text-anchor:top" coordsize="4120,29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JQLMEA&#10;AADcAAAADwAAAGRycy9kb3ducmV2LnhtbERPz2vCMBS+D/wfwhN2m4luTKlGkcLmDl5s9f5onm2x&#10;eSlNrNW/3hyEHT++36vNYBvRU+drxxqmEwWCuHCm5lLDMf/5WIDwAdlg45g03MnDZj16W2Fi3I0P&#10;1GehFDGEfYIaqhDaREpfVGTRT1xLHLmz6yyGCLtSmg5vMdw2cqbUt7RYc2yosKW0ouKSXa2GQ59+&#10;nn5zRffczJvdfJ+pxyPV+n08bJcgAg3hX/xy/xkNX7O4Np6JR0Cu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4yUCzBAAAA3AAAAA8AAAAAAAAAAAAAAAAAmAIAAGRycy9kb3du&#10;cmV2LnhtbFBLBQYAAAAABAAEAPUAAACGAwAAAAA=&#10;" path="m1,251l,2662r4120,251l4120,,1,251xe" fillcolor="#d8d8d8" stroked="f">
                  <v:path arrowok="t" o:connecttype="custom" o:connectlocs="1,251;0,2662;4120,2913;4120,0;1,251" o:connectangles="0,0,0,0,0"/>
                  <o:lock v:ext="edit" aspectratio="t"/>
                </v:shape>
                <v:shape id="Freeform 429" o:spid="_x0000_s1033" style="position:absolute;left:4104;top:3399;width:3985;height:4236;visibility:visible;mso-wrap-style:square;v-text-anchor:top" coordsize="3985,42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clV2ccA&#10;AADcAAAADwAAAGRycy9kb3ducmV2LnhtbESPQWsCMRSE7wX/Q3iCt5qt1NJujSKlFS9C3RZpb283&#10;r9nFzcuSRF399Y1Q6HGYmW+Y2aK3rTiSD41jBXfjDARx5XTDRsHnx9vtI4gQkTW2jknBmQIs5oOb&#10;GebanXhLxyIakSAcclRQx9jlUoaqJoth7Dri5P04bzEm6Y3UHk8Jbls5ybIHabHhtFBjRy81Vfvi&#10;YBXs5Pu0+NqajSu/y6z0r7vWXFZKjYb98hlEpD7+h//aa63gfvIE1zPpCMj5L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IHJVdnHAAAA3AAAAA8AAAAAAAAAAAAAAAAAmAIAAGRy&#10;cy9kb3ducmV2LnhtbFBLBQYAAAAABAAEAPUAAACMAwAAAAA=&#10;" path="m,l,4236,3985,3349r,-2428l,xe" fillcolor="#bfbfbf" stroked="f">
                  <v:path arrowok="t" o:connecttype="custom" o:connectlocs="0,0;0,4236;3985,3349;3985,921;0,0" o:connectangles="0,0,0,0,0"/>
                  <o:lock v:ext="edit" aspectratio="t"/>
                </v:shape>
                <v:shape id="Freeform 430" o:spid="_x0000_s1034" style="position:absolute;left:18;top:3399;width:4086;height:4253;visibility:visible;mso-wrap-style:square;v-text-anchor:top" coordsize="4086,42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6n6hsMA&#10;AADcAAAADwAAAGRycy9kb3ducmV2LnhtbERPz2vCMBS+D/Y/hDfYZWi6KaNUowzLxg6Crgpen82z&#10;LTYvJcls/e/NQfD48f2eLwfTigs531hW8D5OQBCXVjdcKdjvvkcpCB+QNbaWScGVPCwXz09zzLTt&#10;+Y8uRahEDGGfoYI6hC6T0pc1GfRj2xFH7mSdwRChq6R22Mdw08qPJPmUBhuODTV2tKqpPBf/RkGR&#10;H4q3q99u8jzddj9Ht16ZPlXq9WX4moEINISH+O7+1Qqmkzg/nolHQC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6n6hsMAAADcAAAADwAAAAAAAAAAAAAAAACYAgAAZHJzL2Rv&#10;d25yZXYueG1sUEsFBgAAAAAEAAQA9QAAAIgDAAAAAA==&#10;" path="m4086,r-2,4253l,3198,,1072,4086,xe" fillcolor="#d8d8d8" stroked="f">
                  <v:path arrowok="t" o:connecttype="custom" o:connectlocs="4086,0;4084,4253;0,3198;0,1072;4086,0" o:connectangles="0,0,0,0,0"/>
                  <o:lock v:ext="edit" aspectratio="t"/>
                </v:shape>
                <v:shape id="Freeform 431" o:spid="_x0000_s1035" style="position:absolute;left:17;top:3617;width:2076;height:3851;visibility:visible;mso-wrap-style:square;v-text-anchor:top" coordsize="2076,38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oPNesMA&#10;AADcAAAADwAAAGRycy9kb3ducmV2LnhtbESPQWvCQBSE74L/YXmF3nSTKCKpq1RBWo9G6/mRfWaD&#10;2bcxuzXpv+8WCh6HmfmGWW0G24gHdb52rCCdJiCIS6drrhScT/vJEoQPyBobx6Tghzxs1uPRCnPt&#10;ej7SowiViBD2OSowIbS5lL40ZNFPXUscvavrLIYou0rqDvsIt43MkmQhLdYcFwy2tDNU3opvq+Cr&#10;P0odmvvh8lGk2ay+bLPybpR6fRne30AEGsIz/N/+1ArmsxT+zsQjIN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uoPNesMAAADcAAAADwAAAAAAAAAAAAAAAACYAgAAZHJzL2Rv&#10;d25yZXYueG1sUEsFBgAAAAAEAAQA9QAAAIgDAAAAAA==&#10;" path="m,921l2060,r16,3851l,2981,,921xe" fillcolor="#d3dfee" stroked="f">
                  <v:fill opacity="46003f"/>
                  <v:path arrowok="t" o:connecttype="custom" o:connectlocs="0,921;2060,0;2076,3851;0,2981;0,921" o:connectangles="0,0,0,0,0"/>
                  <o:lock v:ext="edit" aspectratio="t"/>
                </v:shape>
                <v:shape id="Freeform 432" o:spid="_x0000_s1036" style="position:absolute;left:2077;top:3617;width:6011;height:3835;visibility:visible;mso-wrap-style:square;v-text-anchor:top" coordsize="6011,38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kV/8cQA&#10;AADcAAAADwAAAGRycy9kb3ducmV2LnhtbESPQWvCQBSE74L/YXlCb7oxikh0FZUKvRWtULw9ss8k&#10;mH2b7q4x+ffdQsHjMDPfMOttZ2rRkvOVZQXTSQKCOLe64kLB5es4XoLwAVljbZkU9ORhuxkO1php&#10;++QTtedQiAhhn6GCMoQmk9LnJRn0E9sQR+9mncEQpSukdviMcFPLNEkW0mDFcaHEhg4l5ffzwyiY&#10;uc/0/fT949HelofLvu3n16ZX6m3U7VYgAnXhFf5vf2gF81kKf2fiEZCb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pFf/HEAAAA3AAAAA8AAAAAAAAAAAAAAAAAmAIAAGRycy9k&#10;b3ducmV2LnhtbFBLBQYAAAAABAAEAPUAAACJAwAAAAA=&#10;" path="m,l17,3835,6011,2629r,-1390l,xe" fillcolor="#a7bfde" stroked="f">
                  <v:fill opacity="46003f"/>
                  <v:path arrowok="t" o:connecttype="custom" o:connectlocs="0,0;17,3835;6011,2629;6011,1239;0,0" o:connectangles="0,0,0,0,0"/>
                  <o:lock v:ext="edit" aspectratio="t"/>
                </v:shape>
                <v:shape id="Freeform 433" o:spid="_x0000_s1037" style="position:absolute;left:8088;top:3835;width:4102;height:3432;visibility:visible;mso-wrap-style:square;v-text-anchor:top" coordsize="4102,3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RAuEMYA&#10;AADcAAAADwAAAGRycy9kb3ducmV2LnhtbESPQUsDMRSE7wX/Q3iCN5vVrVrWpkUWLYX2oG3F63Pz&#10;TBY3L8sm3W7/fSMIPQ4z8w0zWwyuET11ofas4G6cgSCuvK7ZKNjv3m6nIEJE1th4JgUnCrCYX41m&#10;WGh/5A/qt9GIBOFQoAIbY1tIGSpLDsPYt8TJ+/Gdw5hkZ6Tu8JjgrpH3WfYoHdacFiy2VFqqfrcH&#10;p2D5/lDmpv9atWtf28/N0958l69K3VwPL88gIg3xEv5vr7SCSZ7D35l0BOT8D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RAuEMYAAADcAAAADwAAAAAAAAAAAAAAAACYAgAAZHJz&#10;L2Rvd25yZXYueG1sUEsFBgAAAAAEAAQA9QAAAIsDAAAAAA==&#10;" path="m,1038l,2411,4102,3432,4102,,,1038xe" fillcolor="#d3dfee" stroked="f">
                  <v:fill opacity="46003f"/>
                  <v:path arrowok="t" o:connecttype="custom" o:connectlocs="0,1038;0,2411;4102,3432;4102,0;0,1038" o:connectangles="0,0,0,0,0"/>
                  <o:lock v:ext="edit" aspectratio="t"/>
                </v:shape>
              </v:group>
              <v:shapetype id="_x0000_t202" coordsize="21600,21600" o:spt="202" path="m,l,21600r21600,l21600,xe">
                <v:stroke joinstyle="miter"/>
                <v:path gradientshapeok="t" o:connecttype="rect"/>
              </v:shapetype>
              <v:shape id="Text Box 434" o:spid="_x0000_s1038" type="#_x0000_t202" style="position:absolute;left:10821;top:13296;width:1058;height:36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u7GKcQA&#10;AADcAAAADwAAAGRycy9kb3ducmV2LnhtbESPQWsCMRSE74L/ITyhN81qRWRrlCpUerAHtT/gsXlu&#10;1m5eliR1d/31TUHwOMzMN8xq09la3MiHyrGC6SQDQVw4XXGp4Pv8MV6CCBFZY+2YFPQUYLMeDlaY&#10;a9fykW6nWIoE4ZCjAhNjk0sZCkMWw8Q1xMm7OG8xJulLqT22CW5rOcuyhbRYcVow2NDOUPFz+rUK&#10;7H169wdEe933M2yb3uy/DlulXkbd+xuISF18hh/tT61g/jqH/zPpCMj1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7uxinEAAAA3AAAAA8AAAAAAAAAAAAAAAAAmAIAAGRycy9k&#10;b3ducmV2LnhtbFBLBQYAAAAABAAEAPUAAACJAwAAAAA=&#10;" filled="f" stroked="f">
                <v:textbox inset=",0,,0">
                  <w:txbxContent>
                    <w:p w:rsidR="0080706F" w:rsidRDefault="0080706F">
                      <w:pPr>
                        <w:jc w:val="center"/>
                        <w:rPr>
                          <w:color w:val="4F81BD" w:themeColor="accent1"/>
                        </w:rPr>
                      </w:pPr>
                      <w:r>
                        <w:fldChar w:fldCharType="begin"/>
                      </w:r>
                      <w:r>
                        <w:instrText>PAGE   \* MERGEFORMAT</w:instrText>
                      </w:r>
                      <w:r>
                        <w:fldChar w:fldCharType="separate"/>
                      </w:r>
                      <w:r w:rsidR="00BD6FD2" w:rsidRPr="00BD6FD2">
                        <w:rPr>
                          <w:noProof/>
                          <w:color w:val="4F81BD" w:themeColor="accent1"/>
                        </w:rPr>
                        <w:t>16</w:t>
                      </w:r>
                      <w:r>
                        <w:rPr>
                          <w:color w:val="4F81BD" w:themeColor="accent1"/>
                        </w:rPr>
                        <w:fldChar w:fldCharType="end"/>
                      </w:r>
                    </w:p>
                  </w:txbxContent>
                </v:textbox>
              </v:shape>
              <w10:wrap anchorx="margin" anchory="margin"/>
            </v:group>
          </w:pict>
        </mc:Fallback>
      </mc:AlternateContent>
    </w:r>
    <w:r w:rsidR="002C3BDE">
      <w:rPr>
        <w:color w:val="808080" w:themeColor="background1" w:themeShade="80"/>
      </w:rPr>
      <w:t>DALP s.r.o.</w:t>
    </w:r>
    <w:r>
      <w:rPr>
        <w:color w:val="808080" w:themeColor="background1" w:themeShade="80"/>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F5329" w:rsidRDefault="00BF5329" w:rsidP="0080706F">
      <w:pPr>
        <w:spacing w:after="0" w:line="240" w:lineRule="auto"/>
      </w:pPr>
      <w:r>
        <w:separator/>
      </w:r>
    </w:p>
  </w:footnote>
  <w:footnote w:type="continuationSeparator" w:id="0">
    <w:p w:rsidR="00BF5329" w:rsidRDefault="00BF5329" w:rsidP="0080706F">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
    <w:nsid w:val="14A36042"/>
    <w:multiLevelType w:val="singleLevel"/>
    <w:tmpl w:val="005C07A8"/>
    <w:lvl w:ilvl="0">
      <w:start w:val="1"/>
      <w:numFmt w:val="bullet"/>
      <w:pStyle w:val="Zoznamsodrkami"/>
      <w:lvlText w:val=""/>
      <w:lvlJc w:val="left"/>
      <w:pPr>
        <w:tabs>
          <w:tab w:val="num" w:pos="340"/>
        </w:tabs>
        <w:ind w:left="340" w:hanging="340"/>
      </w:pPr>
      <w:rPr>
        <w:rFonts w:ascii="Symbol" w:hAnsi="Symbol" w:hint="default"/>
        <w:color w:val="auto"/>
        <w:sz w:val="22"/>
      </w:rPr>
    </w:lvl>
  </w:abstractNum>
  <w:abstractNum w:abstractNumId="4">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
    <w:nsid w:val="36BE61C3"/>
    <w:multiLevelType w:val="singleLevel"/>
    <w:tmpl w:val="041B000F"/>
    <w:lvl w:ilvl="0">
      <w:start w:val="1"/>
      <w:numFmt w:val="decimal"/>
      <w:lvlText w:val="%1."/>
      <w:lvlJc w:val="left"/>
      <w:pPr>
        <w:ind w:left="720" w:hanging="360"/>
      </w:pPr>
      <w:rPr>
        <w:rFonts w:hint="default"/>
      </w:rPr>
    </w:lvl>
  </w:abstractNum>
  <w:abstractNum w:abstractNumId="7">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11">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14">
    <w:nsid w:val="78CD316A"/>
    <w:multiLevelType w:val="singleLevel"/>
    <w:tmpl w:val="28081C9C"/>
    <w:lvl w:ilvl="0">
      <w:start w:val="1"/>
      <w:numFmt w:val="lowerLetter"/>
      <w:pStyle w:val="Tabulka"/>
      <w:lvlText w:val="(%1)"/>
      <w:lvlJc w:val="left"/>
      <w:pPr>
        <w:tabs>
          <w:tab w:val="num" w:pos="360"/>
        </w:tabs>
        <w:ind w:left="360" w:hanging="360"/>
      </w:pPr>
      <w:rPr>
        <w:rFonts w:cs="Times New Roman" w:hint="default"/>
      </w:rPr>
    </w:lvl>
  </w:abstractNum>
  <w:abstractNum w:abstractNumId="15">
    <w:nsid w:val="7FA06E1E"/>
    <w:multiLevelType w:val="hybridMultilevel"/>
    <w:tmpl w:val="9A646D8C"/>
    <w:lvl w:ilvl="0" w:tplc="55D67E02">
      <w:start w:val="1"/>
      <w:numFmt w:val="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3"/>
  </w:num>
  <w:num w:numId="2">
    <w:abstractNumId w:val="6"/>
  </w:num>
  <w:num w:numId="3">
    <w:abstractNumId w:val="14"/>
  </w:num>
  <w:num w:numId="4">
    <w:abstractNumId w:val="1"/>
  </w:num>
  <w:num w:numId="5">
    <w:abstractNumId w:val="6"/>
    <w:lvlOverride w:ilvl="0">
      <w:startOverride w:val="1"/>
    </w:lvlOverride>
  </w:num>
  <w:num w:numId="6">
    <w:abstractNumId w:val="7"/>
  </w:num>
  <w:num w:numId="7">
    <w:abstractNumId w:val="15"/>
  </w:num>
  <w:num w:numId="8">
    <w:abstractNumId w:val="3"/>
  </w:num>
  <w:num w:numId="9">
    <w:abstractNumId w:val="8"/>
  </w:num>
  <w:num w:numId="10">
    <w:abstractNumId w:val="12"/>
  </w:num>
  <w:num w:numId="11">
    <w:abstractNumId w:val="10"/>
  </w:num>
  <w:num w:numId="12">
    <w:abstractNumId w:val="4"/>
  </w:num>
  <w:num w:numId="13">
    <w:abstractNumId w:val="5"/>
  </w:num>
  <w:num w:numId="14">
    <w:abstractNumId w:val="11"/>
  </w:num>
  <w:num w:numId="15">
    <w:abstractNumId w:val="2"/>
  </w:num>
  <w:num w:numId="16">
    <w:abstractNumId w:val="0"/>
  </w:num>
  <w:num w:numId="17">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260"/>
    <w:rsid w:val="00073771"/>
    <w:rsid w:val="00075C30"/>
    <w:rsid w:val="002C3BDE"/>
    <w:rsid w:val="004D505D"/>
    <w:rsid w:val="0080706F"/>
    <w:rsid w:val="00BA2C9F"/>
    <w:rsid w:val="00BD6FD2"/>
    <w:rsid w:val="00BF5329"/>
    <w:rsid w:val="00F2226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80706F"/>
    <w:pPr>
      <w:keepNext/>
      <w:numPr>
        <w:numId w:val="1"/>
      </w:numPr>
      <w:tabs>
        <w:tab w:val="clear" w:pos="2062"/>
      </w:tabs>
      <w:spacing w:after="0" w:line="240" w:lineRule="auto"/>
      <w:ind w:left="0" w:firstLine="0"/>
      <w:outlineLvl w:val="0"/>
    </w:pPr>
    <w:rPr>
      <w:rFonts w:ascii="Times New Roman" w:eastAsia="Times New Roman" w:hAnsi="Times New Roman" w:cs="Times New Roman"/>
      <w:b/>
      <w:bCs/>
      <w:sz w:val="24"/>
      <w:szCs w:val="24"/>
      <w:u w:val="single"/>
      <w:lang w:eastAsia="sk-SK"/>
    </w:rPr>
  </w:style>
  <w:style w:type="paragraph" w:styleId="Nadpis2">
    <w:name w:val="heading 2"/>
    <w:basedOn w:val="Normlny"/>
    <w:next w:val="Normlny"/>
    <w:link w:val="Nadpis2Char"/>
    <w:uiPriority w:val="9"/>
    <w:unhideWhenUsed/>
    <w:qFormat/>
    <w:rsid w:val="0080706F"/>
    <w:pPr>
      <w:keepNext/>
      <w:spacing w:before="240" w:after="60" w:line="240" w:lineRule="auto"/>
      <w:outlineLvl w:val="1"/>
    </w:pPr>
    <w:rPr>
      <w:rFonts w:ascii="Cambria" w:eastAsia="Times New Roman" w:hAnsi="Cambria" w:cs="Times New Roman"/>
      <w:b/>
      <w:bCs/>
      <w:i/>
      <w:iCs/>
      <w:sz w:val="28"/>
      <w:szCs w:val="28"/>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F2226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F22260"/>
    <w:rPr>
      <w:rFonts w:ascii="Tahoma" w:hAnsi="Tahoma" w:cs="Tahoma"/>
      <w:sz w:val="16"/>
      <w:szCs w:val="16"/>
    </w:rPr>
  </w:style>
  <w:style w:type="paragraph" w:styleId="Hlavika">
    <w:name w:val="header"/>
    <w:basedOn w:val="Normlny"/>
    <w:link w:val="HlavikaChar"/>
    <w:uiPriority w:val="99"/>
    <w:unhideWhenUsed/>
    <w:rsid w:val="0080706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0706F"/>
  </w:style>
  <w:style w:type="paragraph" w:styleId="Pta">
    <w:name w:val="footer"/>
    <w:basedOn w:val="Normlny"/>
    <w:link w:val="PtaChar"/>
    <w:uiPriority w:val="99"/>
    <w:unhideWhenUsed/>
    <w:rsid w:val="0080706F"/>
    <w:pPr>
      <w:tabs>
        <w:tab w:val="center" w:pos="4536"/>
        <w:tab w:val="right" w:pos="9072"/>
      </w:tabs>
      <w:spacing w:after="0" w:line="240" w:lineRule="auto"/>
    </w:pPr>
  </w:style>
  <w:style w:type="character" w:customStyle="1" w:styleId="PtaChar">
    <w:name w:val="Päta Char"/>
    <w:basedOn w:val="Predvolenpsmoodseku"/>
    <w:link w:val="Pta"/>
    <w:uiPriority w:val="99"/>
    <w:rsid w:val="0080706F"/>
  </w:style>
  <w:style w:type="character" w:customStyle="1" w:styleId="Nadpis1Char">
    <w:name w:val="Nadpis 1 Char"/>
    <w:basedOn w:val="Predvolenpsmoodseku"/>
    <w:link w:val="Nadpis1"/>
    <w:rsid w:val="0080706F"/>
    <w:rPr>
      <w:rFonts w:ascii="Times New Roman" w:eastAsia="Times New Roman" w:hAnsi="Times New Roman" w:cs="Times New Roman"/>
      <w:b/>
      <w:bCs/>
      <w:sz w:val="24"/>
      <w:szCs w:val="24"/>
      <w:u w:val="single"/>
      <w:lang w:eastAsia="sk-SK"/>
    </w:rPr>
  </w:style>
  <w:style w:type="character" w:customStyle="1" w:styleId="Nadpis2Char">
    <w:name w:val="Nadpis 2 Char"/>
    <w:basedOn w:val="Predvolenpsmoodseku"/>
    <w:link w:val="Nadpis2"/>
    <w:uiPriority w:val="9"/>
    <w:rsid w:val="0080706F"/>
    <w:rPr>
      <w:rFonts w:ascii="Cambria" w:eastAsia="Times New Roman" w:hAnsi="Cambria" w:cs="Times New Roman"/>
      <w:b/>
      <w:bCs/>
      <w:i/>
      <w:iCs/>
      <w:sz w:val="28"/>
      <w:szCs w:val="28"/>
      <w:lang w:eastAsia="sk-SK"/>
    </w:rPr>
  </w:style>
  <w:style w:type="paragraph" w:styleId="Odsekzoznamu">
    <w:name w:val="List Paragraph"/>
    <w:basedOn w:val="Normlny"/>
    <w:uiPriority w:val="34"/>
    <w:qFormat/>
    <w:rsid w:val="0080706F"/>
    <w:pPr>
      <w:spacing w:after="0" w:line="240" w:lineRule="auto"/>
      <w:ind w:left="708"/>
    </w:pPr>
    <w:rPr>
      <w:rFonts w:ascii="Times New Roman" w:eastAsia="Times New Roman" w:hAnsi="Times New Roman" w:cs="Times New Roman"/>
      <w:sz w:val="24"/>
      <w:szCs w:val="24"/>
      <w:lang w:eastAsia="sk-SK"/>
    </w:rPr>
  </w:style>
  <w:style w:type="paragraph" w:styleId="Zkladntext">
    <w:name w:val="Body Text"/>
    <w:basedOn w:val="Normlny"/>
    <w:link w:val="ZkladntextChar"/>
    <w:rsid w:val="0080706F"/>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80706F"/>
    <w:rPr>
      <w:rFonts w:ascii="Times New Roman" w:eastAsia="Times New Roman" w:hAnsi="Times New Roman" w:cs="Times New Roman"/>
      <w:sz w:val="18"/>
      <w:szCs w:val="20"/>
    </w:rPr>
  </w:style>
  <w:style w:type="paragraph" w:customStyle="1" w:styleId="Tabulka">
    <w:name w:val="Tabulka"/>
    <w:basedOn w:val="Normlny"/>
    <w:rsid w:val="0080706F"/>
    <w:pPr>
      <w:numPr>
        <w:numId w:val="3"/>
      </w:numPr>
      <w:tabs>
        <w:tab w:val="clear" w:pos="360"/>
      </w:tabs>
      <w:spacing w:after="0" w:line="240" w:lineRule="auto"/>
      <w:ind w:left="0" w:firstLine="0"/>
    </w:pPr>
    <w:rPr>
      <w:rFonts w:ascii="Times New Roman" w:eastAsia="Times New Roman" w:hAnsi="Times New Roman" w:cs="Times New Roman"/>
      <w:color w:val="000000"/>
      <w:sz w:val="18"/>
      <w:szCs w:val="20"/>
    </w:rPr>
  </w:style>
  <w:style w:type="paragraph" w:customStyle="1" w:styleId="Pismenka">
    <w:name w:val="Pismenka"/>
    <w:basedOn w:val="Zkladntext"/>
    <w:rsid w:val="0080706F"/>
    <w:pPr>
      <w:tabs>
        <w:tab w:val="num" w:pos="360"/>
      </w:tabs>
      <w:ind w:left="360" w:hanging="360"/>
    </w:pPr>
    <w:rPr>
      <w:b/>
    </w:rPr>
  </w:style>
  <w:style w:type="paragraph" w:styleId="Textkomentra">
    <w:name w:val="annotation text"/>
    <w:basedOn w:val="Normlny"/>
    <w:link w:val="TextkomentraChar"/>
    <w:uiPriority w:val="99"/>
    <w:unhideWhenUsed/>
    <w:rsid w:val="0080706F"/>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rsid w:val="0080706F"/>
    <w:rPr>
      <w:rFonts w:ascii="Times New Roman" w:eastAsia="Times New Roman" w:hAnsi="Times New Roman" w:cs="Times New Roman"/>
      <w:sz w:val="20"/>
      <w:szCs w:val="20"/>
    </w:rPr>
  </w:style>
  <w:style w:type="paragraph" w:customStyle="1" w:styleId="AccountingPolicy">
    <w:name w:val="Accounting Policy"/>
    <w:basedOn w:val="Normlny"/>
    <w:link w:val="AccountingPolicyChar"/>
    <w:uiPriority w:val="99"/>
    <w:rsid w:val="0080706F"/>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link w:val="AccountingPolicy"/>
    <w:uiPriority w:val="99"/>
    <w:rsid w:val="0080706F"/>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locked/>
    <w:rsid w:val="0080706F"/>
    <w:rPr>
      <w:bCs/>
      <w:iCs/>
      <w:sz w:val="18"/>
      <w:szCs w:val="18"/>
    </w:rPr>
  </w:style>
  <w:style w:type="paragraph" w:customStyle="1" w:styleId="odstavec">
    <w:name w:val="odstavec"/>
    <w:basedOn w:val="Normlny"/>
    <w:link w:val="odstavecChar"/>
    <w:autoRedefine/>
    <w:rsid w:val="0080706F"/>
    <w:pPr>
      <w:suppressAutoHyphens/>
      <w:spacing w:after="0" w:line="240" w:lineRule="auto"/>
      <w:ind w:left="426"/>
      <w:jc w:val="both"/>
    </w:pPr>
    <w:rPr>
      <w:bCs/>
      <w:iCs/>
      <w:sz w:val="18"/>
      <w:szCs w:val="18"/>
    </w:rPr>
  </w:style>
  <w:style w:type="paragraph" w:styleId="Zoznamsodrkami">
    <w:name w:val="List Bullet"/>
    <w:basedOn w:val="Normlny"/>
    <w:link w:val="ZoznamsodrkamiChar"/>
    <w:uiPriority w:val="99"/>
    <w:rsid w:val="0080706F"/>
    <w:pPr>
      <w:numPr>
        <w:numId w:val="8"/>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80706F"/>
    <w:rPr>
      <w:rFonts w:ascii="Times New Roman" w:eastAsia="Times New Roman" w:hAnsi="Times New Roman" w:cs="Times New Roman"/>
      <w:szCs w:val="20"/>
      <w:lang w:val="cs-CZ" w:eastAsia="cs-CZ"/>
    </w:rPr>
  </w:style>
  <w:style w:type="character" w:customStyle="1" w:styleId="ra">
    <w:name w:val="ra"/>
    <w:rsid w:val="0080706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qFormat/>
    <w:rsid w:val="0080706F"/>
    <w:pPr>
      <w:keepNext/>
      <w:numPr>
        <w:numId w:val="1"/>
      </w:numPr>
      <w:tabs>
        <w:tab w:val="clear" w:pos="2062"/>
      </w:tabs>
      <w:spacing w:after="0" w:line="240" w:lineRule="auto"/>
      <w:ind w:left="0" w:firstLine="0"/>
      <w:outlineLvl w:val="0"/>
    </w:pPr>
    <w:rPr>
      <w:rFonts w:ascii="Times New Roman" w:eastAsia="Times New Roman" w:hAnsi="Times New Roman" w:cs="Times New Roman"/>
      <w:b/>
      <w:bCs/>
      <w:sz w:val="24"/>
      <w:szCs w:val="24"/>
      <w:u w:val="single"/>
      <w:lang w:eastAsia="sk-SK"/>
    </w:rPr>
  </w:style>
  <w:style w:type="paragraph" w:styleId="Nadpis2">
    <w:name w:val="heading 2"/>
    <w:basedOn w:val="Normlny"/>
    <w:next w:val="Normlny"/>
    <w:link w:val="Nadpis2Char"/>
    <w:uiPriority w:val="9"/>
    <w:unhideWhenUsed/>
    <w:qFormat/>
    <w:rsid w:val="0080706F"/>
    <w:pPr>
      <w:keepNext/>
      <w:spacing w:before="240" w:after="60" w:line="240" w:lineRule="auto"/>
      <w:outlineLvl w:val="1"/>
    </w:pPr>
    <w:rPr>
      <w:rFonts w:ascii="Cambria" w:eastAsia="Times New Roman" w:hAnsi="Cambria" w:cs="Times New Roman"/>
      <w:b/>
      <w:bCs/>
      <w:i/>
      <w:iCs/>
      <w:sz w:val="28"/>
      <w:szCs w:val="28"/>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bubliny">
    <w:name w:val="Balloon Text"/>
    <w:basedOn w:val="Normlny"/>
    <w:link w:val="TextbublinyChar"/>
    <w:uiPriority w:val="99"/>
    <w:semiHidden/>
    <w:unhideWhenUsed/>
    <w:rsid w:val="00F22260"/>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F22260"/>
    <w:rPr>
      <w:rFonts w:ascii="Tahoma" w:hAnsi="Tahoma" w:cs="Tahoma"/>
      <w:sz w:val="16"/>
      <w:szCs w:val="16"/>
    </w:rPr>
  </w:style>
  <w:style w:type="paragraph" w:styleId="Hlavika">
    <w:name w:val="header"/>
    <w:basedOn w:val="Normlny"/>
    <w:link w:val="HlavikaChar"/>
    <w:uiPriority w:val="99"/>
    <w:unhideWhenUsed/>
    <w:rsid w:val="0080706F"/>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80706F"/>
  </w:style>
  <w:style w:type="paragraph" w:styleId="Pta">
    <w:name w:val="footer"/>
    <w:basedOn w:val="Normlny"/>
    <w:link w:val="PtaChar"/>
    <w:uiPriority w:val="99"/>
    <w:unhideWhenUsed/>
    <w:rsid w:val="0080706F"/>
    <w:pPr>
      <w:tabs>
        <w:tab w:val="center" w:pos="4536"/>
        <w:tab w:val="right" w:pos="9072"/>
      </w:tabs>
      <w:spacing w:after="0" w:line="240" w:lineRule="auto"/>
    </w:pPr>
  </w:style>
  <w:style w:type="character" w:customStyle="1" w:styleId="PtaChar">
    <w:name w:val="Päta Char"/>
    <w:basedOn w:val="Predvolenpsmoodseku"/>
    <w:link w:val="Pta"/>
    <w:uiPriority w:val="99"/>
    <w:rsid w:val="0080706F"/>
  </w:style>
  <w:style w:type="character" w:customStyle="1" w:styleId="Nadpis1Char">
    <w:name w:val="Nadpis 1 Char"/>
    <w:basedOn w:val="Predvolenpsmoodseku"/>
    <w:link w:val="Nadpis1"/>
    <w:rsid w:val="0080706F"/>
    <w:rPr>
      <w:rFonts w:ascii="Times New Roman" w:eastAsia="Times New Roman" w:hAnsi="Times New Roman" w:cs="Times New Roman"/>
      <w:b/>
      <w:bCs/>
      <w:sz w:val="24"/>
      <w:szCs w:val="24"/>
      <w:u w:val="single"/>
      <w:lang w:eastAsia="sk-SK"/>
    </w:rPr>
  </w:style>
  <w:style w:type="character" w:customStyle="1" w:styleId="Nadpis2Char">
    <w:name w:val="Nadpis 2 Char"/>
    <w:basedOn w:val="Predvolenpsmoodseku"/>
    <w:link w:val="Nadpis2"/>
    <w:uiPriority w:val="9"/>
    <w:rsid w:val="0080706F"/>
    <w:rPr>
      <w:rFonts w:ascii="Cambria" w:eastAsia="Times New Roman" w:hAnsi="Cambria" w:cs="Times New Roman"/>
      <w:b/>
      <w:bCs/>
      <w:i/>
      <w:iCs/>
      <w:sz w:val="28"/>
      <w:szCs w:val="28"/>
      <w:lang w:eastAsia="sk-SK"/>
    </w:rPr>
  </w:style>
  <w:style w:type="paragraph" w:styleId="Odsekzoznamu">
    <w:name w:val="List Paragraph"/>
    <w:basedOn w:val="Normlny"/>
    <w:uiPriority w:val="34"/>
    <w:qFormat/>
    <w:rsid w:val="0080706F"/>
    <w:pPr>
      <w:spacing w:after="0" w:line="240" w:lineRule="auto"/>
      <w:ind w:left="708"/>
    </w:pPr>
    <w:rPr>
      <w:rFonts w:ascii="Times New Roman" w:eastAsia="Times New Roman" w:hAnsi="Times New Roman" w:cs="Times New Roman"/>
      <w:sz w:val="24"/>
      <w:szCs w:val="24"/>
      <w:lang w:eastAsia="sk-SK"/>
    </w:rPr>
  </w:style>
  <w:style w:type="paragraph" w:styleId="Zkladntext">
    <w:name w:val="Body Text"/>
    <w:basedOn w:val="Normlny"/>
    <w:link w:val="ZkladntextChar"/>
    <w:rsid w:val="0080706F"/>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80706F"/>
    <w:rPr>
      <w:rFonts w:ascii="Times New Roman" w:eastAsia="Times New Roman" w:hAnsi="Times New Roman" w:cs="Times New Roman"/>
      <w:sz w:val="18"/>
      <w:szCs w:val="20"/>
    </w:rPr>
  </w:style>
  <w:style w:type="paragraph" w:customStyle="1" w:styleId="Tabulka">
    <w:name w:val="Tabulka"/>
    <w:basedOn w:val="Normlny"/>
    <w:rsid w:val="0080706F"/>
    <w:pPr>
      <w:numPr>
        <w:numId w:val="3"/>
      </w:numPr>
      <w:tabs>
        <w:tab w:val="clear" w:pos="360"/>
      </w:tabs>
      <w:spacing w:after="0" w:line="240" w:lineRule="auto"/>
      <w:ind w:left="0" w:firstLine="0"/>
    </w:pPr>
    <w:rPr>
      <w:rFonts w:ascii="Times New Roman" w:eastAsia="Times New Roman" w:hAnsi="Times New Roman" w:cs="Times New Roman"/>
      <w:color w:val="000000"/>
      <w:sz w:val="18"/>
      <w:szCs w:val="20"/>
    </w:rPr>
  </w:style>
  <w:style w:type="paragraph" w:customStyle="1" w:styleId="Pismenka">
    <w:name w:val="Pismenka"/>
    <w:basedOn w:val="Zkladntext"/>
    <w:rsid w:val="0080706F"/>
    <w:pPr>
      <w:tabs>
        <w:tab w:val="num" w:pos="360"/>
      </w:tabs>
      <w:ind w:left="360" w:hanging="360"/>
    </w:pPr>
    <w:rPr>
      <w:b/>
    </w:rPr>
  </w:style>
  <w:style w:type="paragraph" w:styleId="Textkomentra">
    <w:name w:val="annotation text"/>
    <w:basedOn w:val="Normlny"/>
    <w:link w:val="TextkomentraChar"/>
    <w:uiPriority w:val="99"/>
    <w:unhideWhenUsed/>
    <w:rsid w:val="0080706F"/>
    <w:pPr>
      <w:spacing w:after="0" w:line="240" w:lineRule="auto"/>
    </w:pPr>
    <w:rPr>
      <w:rFonts w:ascii="Times New Roman" w:eastAsia="Times New Roman" w:hAnsi="Times New Roman" w:cs="Times New Roman"/>
      <w:sz w:val="20"/>
      <w:szCs w:val="20"/>
    </w:rPr>
  </w:style>
  <w:style w:type="character" w:customStyle="1" w:styleId="TextkomentraChar">
    <w:name w:val="Text komentára Char"/>
    <w:basedOn w:val="Predvolenpsmoodseku"/>
    <w:link w:val="Textkomentra"/>
    <w:uiPriority w:val="99"/>
    <w:rsid w:val="0080706F"/>
    <w:rPr>
      <w:rFonts w:ascii="Times New Roman" w:eastAsia="Times New Roman" w:hAnsi="Times New Roman" w:cs="Times New Roman"/>
      <w:sz w:val="20"/>
      <w:szCs w:val="20"/>
    </w:rPr>
  </w:style>
  <w:style w:type="paragraph" w:customStyle="1" w:styleId="AccountingPolicy">
    <w:name w:val="Accounting Policy"/>
    <w:basedOn w:val="Normlny"/>
    <w:link w:val="AccountingPolicyChar"/>
    <w:uiPriority w:val="99"/>
    <w:rsid w:val="0080706F"/>
    <w:pPr>
      <w:tabs>
        <w:tab w:val="left" w:pos="1531"/>
        <w:tab w:val="left" w:pos="1871"/>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link w:val="AccountingPolicy"/>
    <w:uiPriority w:val="99"/>
    <w:rsid w:val="0080706F"/>
    <w:rPr>
      <w:rFonts w:ascii="Univers 45 Light" w:eastAsia="Times New Roman" w:hAnsi="Univers 45 Light" w:cs="Univers 45 Light"/>
      <w:color w:val="000000"/>
      <w:sz w:val="20"/>
      <w:szCs w:val="20"/>
      <w:lang w:val="en-NZ" w:eastAsia="en-NZ"/>
    </w:rPr>
  </w:style>
  <w:style w:type="character" w:customStyle="1" w:styleId="odstavecChar">
    <w:name w:val="odstavec Char"/>
    <w:link w:val="odstavec"/>
    <w:locked/>
    <w:rsid w:val="0080706F"/>
    <w:rPr>
      <w:bCs/>
      <w:iCs/>
      <w:sz w:val="18"/>
      <w:szCs w:val="18"/>
    </w:rPr>
  </w:style>
  <w:style w:type="paragraph" w:customStyle="1" w:styleId="odstavec">
    <w:name w:val="odstavec"/>
    <w:basedOn w:val="Normlny"/>
    <w:link w:val="odstavecChar"/>
    <w:autoRedefine/>
    <w:rsid w:val="0080706F"/>
    <w:pPr>
      <w:suppressAutoHyphens/>
      <w:spacing w:after="0" w:line="240" w:lineRule="auto"/>
      <w:ind w:left="426"/>
      <w:jc w:val="both"/>
    </w:pPr>
    <w:rPr>
      <w:bCs/>
      <w:iCs/>
      <w:sz w:val="18"/>
      <w:szCs w:val="18"/>
    </w:rPr>
  </w:style>
  <w:style w:type="paragraph" w:styleId="Zoznamsodrkami">
    <w:name w:val="List Bullet"/>
    <w:basedOn w:val="Normlny"/>
    <w:link w:val="ZoznamsodrkamiChar"/>
    <w:uiPriority w:val="99"/>
    <w:rsid w:val="0080706F"/>
    <w:pPr>
      <w:numPr>
        <w:numId w:val="8"/>
      </w:numPr>
      <w:spacing w:after="60" w:line="240" w:lineRule="auto"/>
      <w:jc w:val="both"/>
    </w:pPr>
    <w:rPr>
      <w:rFonts w:ascii="Times New Roman" w:eastAsia="Times New Roman" w:hAnsi="Times New Roman" w:cs="Times New Roman"/>
      <w:szCs w:val="20"/>
      <w:lang w:val="cs-CZ" w:eastAsia="cs-CZ"/>
    </w:rPr>
  </w:style>
  <w:style w:type="character" w:customStyle="1" w:styleId="ZoznamsodrkamiChar">
    <w:name w:val="Zoznam s odrážkami Char"/>
    <w:link w:val="Zoznamsodrkami"/>
    <w:uiPriority w:val="99"/>
    <w:locked/>
    <w:rsid w:val="0080706F"/>
    <w:rPr>
      <w:rFonts w:ascii="Times New Roman" w:eastAsia="Times New Roman" w:hAnsi="Times New Roman" w:cs="Times New Roman"/>
      <w:szCs w:val="20"/>
      <w:lang w:val="cs-CZ" w:eastAsia="cs-CZ"/>
    </w:rPr>
  </w:style>
  <w:style w:type="character" w:customStyle="1" w:styleId="ra">
    <w:name w:val="ra"/>
    <w:rsid w:val="008070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package" Target="embeddings/Pracovn__h_rok_programu_Microsoft_Excel2.xlsx"/><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package" Target="embeddings/Pracovn__h_rok_programu_Microsoft_Excel1.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Pracovn__h_rok_programu_Microsoft_Excel3.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verPageProperties xmlns="http://schemas.microsoft.com/office/2006/coverPageProps">
  <PublishDate/>
  <Abstract/>
  <CompanyAddress>Šamorínska 10, 903 01 Senec 
IČO: 50773984, DIČ: 2120480637      
</CompanyAddress>
  <CompanyPhone/>
  <CompanyFax/>
  <CompanyEmail/>
</CoverPage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5232</Words>
  <Characters>29828</Characters>
  <Application>Microsoft Office Word</Application>
  <DocSecurity>0</DocSecurity>
  <Lines>248</Lines>
  <Paragraphs>69</Paragraphs>
  <ScaleCrop>false</ScaleCrop>
  <HeadingPairs>
    <vt:vector size="2" baseType="variant">
      <vt:variant>
        <vt:lpstr>Názov</vt:lpstr>
      </vt:variant>
      <vt:variant>
        <vt:i4>1</vt:i4>
      </vt:variant>
    </vt:vector>
  </HeadingPairs>
  <TitlesOfParts>
    <vt:vector size="1" baseType="lpstr">
      <vt:lpstr/>
    </vt:vector>
  </TitlesOfParts>
  <Company>LUJZA s.r.o.</Company>
  <LinksUpToDate>false</LinksUpToDate>
  <CharactersWithSpaces>34991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Lucka</dc:creator>
  <cp:lastModifiedBy>Lucka</cp:lastModifiedBy>
  <cp:revision>2</cp:revision>
  <cp:lastPrinted>2018-03-16T14:46:00Z</cp:lastPrinted>
  <dcterms:created xsi:type="dcterms:W3CDTF">2019-03-31T11:22:00Z</dcterms:created>
  <dcterms:modified xsi:type="dcterms:W3CDTF">2019-03-31T11:22:00Z</dcterms:modified>
</cp:coreProperties>
</file>