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2FFB" w:rsidRDefault="00ED2FFB">
      <w:pPr>
        <w:pBdr>
          <w:top w:val="single" w:sz="4" w:space="0" w:color="000000"/>
          <w:left w:val="single" w:sz="4" w:space="4" w:color="000000"/>
          <w:bottom w:val="single" w:sz="4" w:space="1" w:color="000000"/>
          <w:right w:val="single" w:sz="4" w:space="6" w:color="000000"/>
        </w:pBdr>
        <w:spacing w:after="120"/>
        <w:jc w:val="center"/>
        <w:rPr>
          <w:rFonts w:ascii="Arial Narrow" w:hAnsi="Arial Narrow" w:cs="Arial Narrow"/>
          <w:sz w:val="22"/>
          <w:szCs w:val="22"/>
        </w:rPr>
      </w:pPr>
      <w:r>
        <w:rPr>
          <w:rFonts w:ascii="Arial Narrow" w:hAnsi="Arial Narrow" w:cs="Arial Narrow"/>
          <w:b/>
        </w:rPr>
        <w:t>POZNÁMKY K ÚČTOVNEJ ZÁVIERKE 201</w:t>
      </w:r>
      <w:r w:rsidR="009D6DE5">
        <w:rPr>
          <w:rFonts w:ascii="Arial Narrow" w:hAnsi="Arial Narrow" w:cs="Arial Narrow"/>
          <w:b/>
        </w:rPr>
        <w:t>8</w:t>
      </w:r>
    </w:p>
    <w:p w:rsidR="00ED2FFB" w:rsidRDefault="00ED2FFB">
      <w:pPr>
        <w:pBdr>
          <w:top w:val="single" w:sz="4" w:space="0" w:color="000000"/>
          <w:left w:val="single" w:sz="4" w:space="4" w:color="000000"/>
          <w:bottom w:val="single" w:sz="4" w:space="1" w:color="000000"/>
          <w:right w:val="single" w:sz="4" w:space="6" w:color="000000"/>
        </w:pBdr>
        <w:jc w:val="center"/>
        <w:rPr>
          <w:rFonts w:ascii="Arial Narrow" w:hAnsi="Arial Narrow" w:cs="Arial Narrow"/>
          <w:b/>
          <w:sz w:val="22"/>
          <w:szCs w:val="22"/>
        </w:rPr>
      </w:pPr>
      <w:r>
        <w:rPr>
          <w:rFonts w:ascii="Arial Narrow" w:hAnsi="Arial Narrow" w:cs="Arial Narrow"/>
          <w:sz w:val="22"/>
          <w:szCs w:val="22"/>
        </w:rPr>
        <w:t xml:space="preserve">zostavené podľa Opatrenia </w:t>
      </w:r>
      <w:proofErr w:type="spellStart"/>
      <w:r>
        <w:rPr>
          <w:rFonts w:ascii="Arial Narrow" w:hAnsi="Arial Narrow" w:cs="Arial Narrow"/>
          <w:sz w:val="22"/>
          <w:szCs w:val="22"/>
        </w:rPr>
        <w:t>č.MF</w:t>
      </w:r>
      <w:proofErr w:type="spellEnd"/>
      <w:r>
        <w:rPr>
          <w:rFonts w:ascii="Arial Narrow" w:hAnsi="Arial Narrow" w:cs="Arial Narrow"/>
          <w:sz w:val="22"/>
          <w:szCs w:val="22"/>
        </w:rPr>
        <w:t xml:space="preserve">/23378/2014-74 (FS č.12/2014), ktorým sa ustanovujú podrobnosti o individuálnej účtovnej závierke a rozsahu údajov určených z individuálnej účtovnej závierky na zverejnenie </w:t>
      </w:r>
    </w:p>
    <w:p w:rsidR="00ED2FFB" w:rsidRDefault="00ED2FFB">
      <w:pPr>
        <w:pBdr>
          <w:top w:val="single" w:sz="4" w:space="0" w:color="000000"/>
          <w:left w:val="single" w:sz="4" w:space="4" w:color="000000"/>
          <w:bottom w:val="single" w:sz="4" w:space="1" w:color="000000"/>
          <w:right w:val="single" w:sz="4" w:space="6" w:color="000000"/>
        </w:pBdr>
        <w:jc w:val="center"/>
        <w:rPr>
          <w:rFonts w:ascii="Arial Narrow" w:hAnsi="Arial Narrow" w:cs="Arial Narrow"/>
          <w:sz w:val="22"/>
          <w:szCs w:val="22"/>
        </w:rPr>
      </w:pPr>
      <w:r>
        <w:rPr>
          <w:rFonts w:ascii="Arial Narrow" w:hAnsi="Arial Narrow" w:cs="Arial Narrow"/>
          <w:b/>
          <w:sz w:val="22"/>
          <w:szCs w:val="22"/>
        </w:rPr>
        <w:t>pre malé účtovné jednotky</w:t>
      </w:r>
      <w:r>
        <w:rPr>
          <w:rFonts w:ascii="Arial Narrow" w:hAnsi="Arial Narrow" w:cs="Arial Narrow"/>
          <w:sz w:val="22"/>
          <w:szCs w:val="22"/>
        </w:rPr>
        <w:t xml:space="preserve"> </w:t>
      </w:r>
    </w:p>
    <w:p w:rsidR="00ED2FFB" w:rsidRDefault="00ED2FFB">
      <w:pPr>
        <w:rPr>
          <w:rFonts w:ascii="Arial Narrow" w:hAnsi="Arial Narrow" w:cs="Arial Narrow"/>
          <w:sz w:val="22"/>
          <w:szCs w:val="22"/>
        </w:rPr>
      </w:pPr>
    </w:p>
    <w:p w:rsidR="00ED2FFB" w:rsidRDefault="00ED2FFB">
      <w:pPr>
        <w:jc w:val="center"/>
        <w:rPr>
          <w:rFonts w:ascii="Arial Narrow" w:hAnsi="Arial Narrow" w:cs="Arial Narrow"/>
          <w:sz w:val="22"/>
          <w:szCs w:val="22"/>
        </w:rPr>
      </w:pPr>
      <w:r>
        <w:rPr>
          <w:rFonts w:ascii="Arial Narrow" w:hAnsi="Arial Narrow" w:cs="Arial Narrow"/>
          <w:b/>
          <w:sz w:val="22"/>
          <w:szCs w:val="22"/>
          <w:u w:val="single"/>
        </w:rPr>
        <w:t>Článok I – VŠEOBECNÉ INFORMÁCIE</w:t>
      </w:r>
    </w:p>
    <w:p w:rsidR="00ED2FFB" w:rsidRDefault="00ED2FFB">
      <w:pPr>
        <w:rPr>
          <w:rFonts w:ascii="Arial Narrow" w:hAnsi="Arial Narrow" w:cs="Arial Narrow"/>
          <w:sz w:val="22"/>
          <w:szCs w:val="22"/>
        </w:rPr>
      </w:pPr>
    </w:p>
    <w:p w:rsidR="00ED2FFB" w:rsidRDefault="00ED2FFB">
      <w:pPr>
        <w:rPr>
          <w:rFonts w:ascii="Arial Narrow" w:hAnsi="Arial Narrow" w:cs="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r w:rsidR="00E80409">
        <w:rPr>
          <w:rFonts w:ascii="Arial Narrow" w:hAnsi="Arial Narrow" w:cs="Arial Narrow"/>
          <w:sz w:val="22"/>
          <w:szCs w:val="22"/>
        </w:rPr>
        <w:t xml:space="preserve">  </w:t>
      </w:r>
    </w:p>
    <w:p w:rsidR="00ED2FFB" w:rsidRDefault="00ED2FFB">
      <w:pPr>
        <w:rPr>
          <w:rFonts w:ascii="Arial Narrow" w:hAnsi="Arial Narrow" w:cs="Arial Narrow"/>
          <w:sz w:val="22"/>
          <w:szCs w:val="22"/>
        </w:rPr>
      </w:pPr>
    </w:p>
    <w:tbl>
      <w:tblPr>
        <w:tblW w:w="0" w:type="auto"/>
        <w:tblInd w:w="-10" w:type="dxa"/>
        <w:tblLayout w:type="fixed"/>
        <w:tblLook w:val="0000" w:firstRow="0" w:lastRow="0" w:firstColumn="0" w:lastColumn="0" w:noHBand="0" w:noVBand="0"/>
      </w:tblPr>
      <w:tblGrid>
        <w:gridCol w:w="2636"/>
        <w:gridCol w:w="6979"/>
        <w:gridCol w:w="10"/>
      </w:tblGrid>
      <w:tr w:rsidR="00ED2FFB">
        <w:trPr>
          <w:gridAfter w:val="1"/>
          <w:wAfter w:w="10" w:type="dxa"/>
          <w:trHeight w:val="231"/>
        </w:trPr>
        <w:tc>
          <w:tcPr>
            <w:tcW w:w="2636" w:type="dxa"/>
            <w:tcBorders>
              <w:top w:val="single" w:sz="4" w:space="0" w:color="000000"/>
              <w:left w:val="single" w:sz="4" w:space="0" w:color="000000"/>
              <w:bottom w:val="single" w:sz="4" w:space="0" w:color="000000"/>
            </w:tcBorders>
            <w:shd w:val="clear" w:color="auto" w:fill="auto"/>
            <w:vAlign w:val="bottom"/>
          </w:tcPr>
          <w:p w:rsidR="00ED2FFB" w:rsidRDefault="00ED2FFB">
            <w:pPr>
              <w:jc w:val="both"/>
              <w:rPr>
                <w:rFonts w:ascii="Arial Narrow" w:hAnsi="Arial Narrow" w:cs="Arial Narrow"/>
                <w:b/>
                <w:sz w:val="22"/>
                <w:szCs w:val="22"/>
              </w:rPr>
            </w:pPr>
            <w:r>
              <w:rPr>
                <w:rFonts w:ascii="Arial Narrow" w:hAnsi="Arial Narrow" w:cs="Arial Narrow"/>
                <w:sz w:val="22"/>
                <w:szCs w:val="22"/>
              </w:rPr>
              <w:t>Obchodné meno:</w:t>
            </w:r>
          </w:p>
        </w:tc>
        <w:tc>
          <w:tcPr>
            <w:tcW w:w="69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ED2FFB" w:rsidRDefault="00ED2FFB">
            <w:pPr>
              <w:jc w:val="both"/>
            </w:pPr>
            <w:r>
              <w:rPr>
                <w:rFonts w:ascii="Arial Narrow" w:hAnsi="Arial Narrow" w:cs="Arial Narrow"/>
                <w:b/>
                <w:sz w:val="22"/>
                <w:szCs w:val="22"/>
              </w:rPr>
              <w:t xml:space="preserve">KVT spol. s </w:t>
            </w:r>
            <w:proofErr w:type="spellStart"/>
            <w:r>
              <w:rPr>
                <w:rFonts w:ascii="Arial Narrow" w:hAnsi="Arial Narrow" w:cs="Arial Narrow"/>
                <w:b/>
                <w:sz w:val="22"/>
                <w:szCs w:val="22"/>
              </w:rPr>
              <w:t>r.o</w:t>
            </w:r>
            <w:proofErr w:type="spellEnd"/>
            <w:r>
              <w:rPr>
                <w:rFonts w:ascii="Arial Narrow" w:hAnsi="Arial Narrow" w:cs="Arial Narrow"/>
                <w:b/>
                <w:sz w:val="22"/>
                <w:szCs w:val="22"/>
              </w:rPr>
              <w:t>.</w:t>
            </w:r>
          </w:p>
        </w:tc>
      </w:tr>
      <w:tr w:rsidR="00ED2FFB">
        <w:trPr>
          <w:gridAfter w:val="1"/>
          <w:wAfter w:w="10" w:type="dxa"/>
          <w:trHeight w:val="249"/>
        </w:trPr>
        <w:tc>
          <w:tcPr>
            <w:tcW w:w="2636" w:type="dxa"/>
            <w:tcBorders>
              <w:top w:val="single" w:sz="4" w:space="0" w:color="000000"/>
              <w:left w:val="single" w:sz="4" w:space="0" w:color="000000"/>
              <w:bottom w:val="single" w:sz="4" w:space="0" w:color="000000"/>
            </w:tcBorders>
            <w:shd w:val="clear" w:color="auto" w:fill="auto"/>
            <w:vAlign w:val="bottom"/>
          </w:tcPr>
          <w:p w:rsidR="00ED2FFB" w:rsidRDefault="00ED2FFB">
            <w:pPr>
              <w:jc w:val="both"/>
              <w:rPr>
                <w:rFonts w:ascii="Arial Narrow" w:hAnsi="Arial Narrow" w:cs="Arial Narrow"/>
                <w:sz w:val="22"/>
                <w:szCs w:val="22"/>
              </w:rPr>
            </w:pPr>
            <w:r>
              <w:rPr>
                <w:rFonts w:ascii="Arial Narrow" w:hAnsi="Arial Narrow" w:cs="Arial Narrow"/>
                <w:sz w:val="22"/>
                <w:szCs w:val="22"/>
              </w:rPr>
              <w:t>Sídlo:</w:t>
            </w:r>
          </w:p>
        </w:tc>
        <w:tc>
          <w:tcPr>
            <w:tcW w:w="69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ED2FFB" w:rsidRDefault="00ED2FFB">
            <w:pPr>
              <w:jc w:val="both"/>
            </w:pPr>
            <w:r>
              <w:rPr>
                <w:rFonts w:ascii="Arial Narrow" w:hAnsi="Arial Narrow" w:cs="Arial Narrow"/>
                <w:sz w:val="22"/>
                <w:szCs w:val="22"/>
              </w:rPr>
              <w:t>Rožňavská 1 83104 Bratislava</w:t>
            </w:r>
          </w:p>
        </w:tc>
      </w:tr>
      <w:tr w:rsidR="00ED2FFB">
        <w:trPr>
          <w:gridAfter w:val="1"/>
          <w:wAfter w:w="10" w:type="dxa"/>
          <w:trHeight w:val="125"/>
        </w:trPr>
        <w:tc>
          <w:tcPr>
            <w:tcW w:w="2636" w:type="dxa"/>
            <w:tcBorders>
              <w:top w:val="single" w:sz="4" w:space="0" w:color="000000"/>
              <w:left w:val="single" w:sz="4" w:space="0" w:color="000000"/>
              <w:bottom w:val="single" w:sz="4" w:space="0" w:color="000000"/>
            </w:tcBorders>
            <w:shd w:val="clear" w:color="auto" w:fill="auto"/>
            <w:vAlign w:val="bottom"/>
          </w:tcPr>
          <w:p w:rsidR="00ED2FFB" w:rsidRDefault="00ED2FFB">
            <w:pPr>
              <w:jc w:val="both"/>
              <w:rPr>
                <w:rFonts w:ascii="Arial Narrow" w:hAnsi="Arial Narrow" w:cs="Arial Narrow"/>
                <w:sz w:val="22"/>
                <w:szCs w:val="22"/>
              </w:rPr>
            </w:pPr>
            <w:r>
              <w:rPr>
                <w:rFonts w:ascii="Arial Narrow" w:hAnsi="Arial Narrow" w:cs="Arial Narrow"/>
                <w:sz w:val="22"/>
                <w:szCs w:val="22"/>
              </w:rPr>
              <w:t>Právna forma:</w:t>
            </w:r>
          </w:p>
        </w:tc>
        <w:tc>
          <w:tcPr>
            <w:tcW w:w="69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ED2FFB" w:rsidRDefault="00ED2FFB">
            <w:pPr>
              <w:jc w:val="both"/>
            </w:pPr>
            <w:r>
              <w:rPr>
                <w:rFonts w:ascii="Arial Narrow" w:hAnsi="Arial Narrow" w:cs="Arial Narrow"/>
                <w:sz w:val="22"/>
                <w:szCs w:val="22"/>
              </w:rPr>
              <w:t>Spoločnosť s ručením obmedzeným</w:t>
            </w:r>
          </w:p>
        </w:tc>
      </w:tr>
      <w:tr w:rsidR="00ED2FFB">
        <w:trPr>
          <w:trHeight w:val="143"/>
        </w:trPr>
        <w:tc>
          <w:tcPr>
            <w:tcW w:w="2636" w:type="dxa"/>
            <w:tcBorders>
              <w:top w:val="single" w:sz="4" w:space="0" w:color="000000"/>
              <w:left w:val="single" w:sz="8" w:space="0" w:color="000000"/>
              <w:bottom w:val="single" w:sz="4" w:space="0" w:color="000000"/>
            </w:tcBorders>
            <w:shd w:val="clear" w:color="auto" w:fill="auto"/>
            <w:vAlign w:val="bottom"/>
          </w:tcPr>
          <w:p w:rsidR="00ED2FFB" w:rsidRDefault="00ED2FFB">
            <w:pPr>
              <w:jc w:val="both"/>
              <w:rPr>
                <w:rFonts w:ascii="Arial Narrow" w:hAnsi="Arial Narrow" w:cs="Arial Narrow"/>
                <w:sz w:val="22"/>
                <w:szCs w:val="22"/>
              </w:rPr>
            </w:pPr>
            <w:r>
              <w:rPr>
                <w:rFonts w:ascii="Arial Narrow" w:hAnsi="Arial Narrow" w:cs="Arial Narrow"/>
                <w:sz w:val="22"/>
                <w:szCs w:val="22"/>
              </w:rPr>
              <w:t>Dátum vzniku:</w:t>
            </w:r>
          </w:p>
        </w:tc>
        <w:tc>
          <w:tcPr>
            <w:tcW w:w="6989" w:type="dxa"/>
            <w:gridSpan w:val="2"/>
            <w:tcBorders>
              <w:top w:val="single" w:sz="4" w:space="0" w:color="000000"/>
              <w:left w:val="single" w:sz="8" w:space="0" w:color="000000"/>
              <w:bottom w:val="single" w:sz="4" w:space="0" w:color="000000"/>
              <w:right w:val="single" w:sz="8" w:space="0" w:color="000000"/>
            </w:tcBorders>
            <w:shd w:val="clear" w:color="auto" w:fill="auto"/>
            <w:vAlign w:val="bottom"/>
          </w:tcPr>
          <w:p w:rsidR="00ED2FFB" w:rsidRDefault="00ED2FFB">
            <w:pPr>
              <w:jc w:val="both"/>
            </w:pPr>
            <w:r>
              <w:rPr>
                <w:rFonts w:ascii="Arial Narrow" w:hAnsi="Arial Narrow" w:cs="Arial Narrow"/>
                <w:sz w:val="22"/>
                <w:szCs w:val="22"/>
              </w:rPr>
              <w:t>Zápis do obchodného registra: 07.10.2003</w:t>
            </w:r>
          </w:p>
        </w:tc>
      </w:tr>
      <w:tr w:rsidR="00ED2FFB">
        <w:trPr>
          <w:trHeight w:val="175"/>
        </w:trPr>
        <w:tc>
          <w:tcPr>
            <w:tcW w:w="2636" w:type="dxa"/>
            <w:tcBorders>
              <w:top w:val="single" w:sz="4" w:space="0" w:color="000000"/>
              <w:left w:val="single" w:sz="8" w:space="0" w:color="000000"/>
              <w:bottom w:val="single" w:sz="4" w:space="0" w:color="000000"/>
            </w:tcBorders>
            <w:shd w:val="clear" w:color="auto" w:fill="auto"/>
            <w:vAlign w:val="bottom"/>
          </w:tcPr>
          <w:p w:rsidR="00ED2FFB" w:rsidRDefault="00ED2FFB">
            <w:pPr>
              <w:jc w:val="both"/>
              <w:rPr>
                <w:rFonts w:ascii="Arial Narrow" w:hAnsi="Arial Narrow" w:cs="Arial Narrow"/>
                <w:sz w:val="22"/>
                <w:szCs w:val="22"/>
              </w:rPr>
            </w:pPr>
            <w:r>
              <w:rPr>
                <w:rFonts w:ascii="Arial Narrow" w:hAnsi="Arial Narrow" w:cs="Arial Narrow"/>
                <w:sz w:val="22"/>
                <w:szCs w:val="22"/>
              </w:rPr>
              <w:t>Hlavný predmet podnikania:</w:t>
            </w:r>
          </w:p>
        </w:tc>
        <w:tc>
          <w:tcPr>
            <w:tcW w:w="6989" w:type="dxa"/>
            <w:gridSpan w:val="2"/>
            <w:tcBorders>
              <w:top w:val="single" w:sz="4" w:space="0" w:color="000000"/>
              <w:left w:val="single" w:sz="8" w:space="0" w:color="000000"/>
              <w:bottom w:val="single" w:sz="4" w:space="0" w:color="000000"/>
              <w:right w:val="single" w:sz="8" w:space="0" w:color="000000"/>
            </w:tcBorders>
            <w:shd w:val="clear" w:color="auto" w:fill="auto"/>
            <w:vAlign w:val="bottom"/>
          </w:tcPr>
          <w:p w:rsidR="00ED2FFB" w:rsidRDefault="00ED2FFB">
            <w:pPr>
              <w:jc w:val="both"/>
            </w:pPr>
            <w:r>
              <w:rPr>
                <w:rFonts w:ascii="Arial Narrow" w:hAnsi="Arial Narrow" w:cs="Arial Narrow"/>
                <w:sz w:val="22"/>
                <w:szCs w:val="22"/>
              </w:rPr>
              <w:t xml:space="preserve">Predaj priemyselného tovaru a doplnkových služieb. výroba, inštalácia a opravy chladiarenských zariadení výroba, inštalácia a opravy ústredného kúrenia a vetrania </w:t>
            </w:r>
            <w:r>
              <w:rPr>
                <w:rFonts w:ascii="Arial Narrow" w:hAnsi="Arial Narrow" w:cs="Arial Narrow"/>
                <w:sz w:val="22"/>
                <w:szCs w:val="22"/>
              </w:rPr>
              <w:br/>
              <w:t xml:space="preserve"> nákup a predaj klimatizačných, vzduchotechnických a chladiarenských zariadení </w:t>
            </w:r>
          </w:p>
        </w:tc>
      </w:tr>
      <w:tr w:rsidR="00ED2FFB">
        <w:trPr>
          <w:trHeight w:val="194"/>
        </w:trPr>
        <w:tc>
          <w:tcPr>
            <w:tcW w:w="2636" w:type="dxa"/>
            <w:tcBorders>
              <w:top w:val="single" w:sz="4" w:space="0" w:color="000000"/>
              <w:left w:val="single" w:sz="8" w:space="0" w:color="000000"/>
              <w:bottom w:val="single" w:sz="4" w:space="0" w:color="000000"/>
            </w:tcBorders>
            <w:shd w:val="clear" w:color="auto" w:fill="auto"/>
            <w:vAlign w:val="bottom"/>
          </w:tcPr>
          <w:p w:rsidR="00ED2FFB" w:rsidRDefault="00ED2FFB">
            <w:pPr>
              <w:jc w:val="both"/>
              <w:rPr>
                <w:rFonts w:ascii="Arial Narrow" w:hAnsi="Arial Narrow" w:cs="Arial Narrow"/>
                <w:sz w:val="22"/>
                <w:szCs w:val="22"/>
              </w:rPr>
            </w:pPr>
            <w:r>
              <w:rPr>
                <w:rFonts w:ascii="Arial Narrow" w:hAnsi="Arial Narrow" w:cs="Arial Narrow"/>
                <w:sz w:val="22"/>
                <w:szCs w:val="22"/>
              </w:rPr>
              <w:t>Subjekt verejného záujmu:</w:t>
            </w:r>
          </w:p>
        </w:tc>
        <w:tc>
          <w:tcPr>
            <w:tcW w:w="6989" w:type="dxa"/>
            <w:gridSpan w:val="2"/>
            <w:tcBorders>
              <w:top w:val="single" w:sz="4" w:space="0" w:color="000000"/>
              <w:left w:val="single" w:sz="8" w:space="0" w:color="000000"/>
              <w:bottom w:val="single" w:sz="4" w:space="0" w:color="000000"/>
              <w:right w:val="single" w:sz="8" w:space="0" w:color="000000"/>
            </w:tcBorders>
            <w:shd w:val="clear" w:color="auto" w:fill="auto"/>
            <w:vAlign w:val="bottom"/>
          </w:tcPr>
          <w:p w:rsidR="00ED2FFB" w:rsidRDefault="00ED2FFB">
            <w:pPr>
              <w:jc w:val="both"/>
            </w:pPr>
            <w:r>
              <w:rPr>
                <w:rFonts w:ascii="Arial Narrow" w:hAnsi="Arial Narrow" w:cs="Arial Narrow"/>
                <w:sz w:val="22"/>
                <w:szCs w:val="22"/>
              </w:rPr>
              <w:t xml:space="preserve">Spoločnosť KVT </w:t>
            </w:r>
            <w:proofErr w:type="spellStart"/>
            <w:r>
              <w:rPr>
                <w:rFonts w:ascii="Arial Narrow" w:hAnsi="Arial Narrow" w:cs="Arial Narrow"/>
                <w:sz w:val="22"/>
                <w:szCs w:val="22"/>
              </w:rPr>
              <w:t>spol</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sr.o</w:t>
            </w:r>
            <w:proofErr w:type="spellEnd"/>
            <w:r>
              <w:rPr>
                <w:rFonts w:ascii="Arial Narrow" w:hAnsi="Arial Narrow" w:cs="Arial Narrow"/>
                <w:sz w:val="22"/>
                <w:szCs w:val="22"/>
              </w:rPr>
              <w:t xml:space="preserve">. nie je subjektom verejného záujmu (§ 2/14 </w:t>
            </w:r>
            <w:proofErr w:type="spellStart"/>
            <w:r>
              <w:rPr>
                <w:rFonts w:ascii="Arial Narrow" w:hAnsi="Arial Narrow" w:cs="Arial Narrow"/>
                <w:sz w:val="22"/>
                <w:szCs w:val="22"/>
              </w:rPr>
              <w:t>ZoU</w:t>
            </w:r>
            <w:proofErr w:type="spellEnd"/>
            <w:r>
              <w:rPr>
                <w:rFonts w:ascii="Arial Narrow" w:hAnsi="Arial Narrow" w:cs="Arial Narrow"/>
                <w:sz w:val="22"/>
                <w:szCs w:val="22"/>
              </w:rPr>
              <w:t>).</w:t>
            </w:r>
          </w:p>
        </w:tc>
      </w:tr>
      <w:tr w:rsidR="00ED2FFB">
        <w:trPr>
          <w:trHeight w:val="194"/>
        </w:trPr>
        <w:tc>
          <w:tcPr>
            <w:tcW w:w="2636" w:type="dxa"/>
            <w:tcBorders>
              <w:top w:val="single" w:sz="4" w:space="0" w:color="000000"/>
              <w:left w:val="single" w:sz="8" w:space="0" w:color="000000"/>
              <w:bottom w:val="single" w:sz="8" w:space="0" w:color="000000"/>
            </w:tcBorders>
            <w:shd w:val="clear" w:color="auto" w:fill="auto"/>
            <w:vAlign w:val="bottom"/>
          </w:tcPr>
          <w:p w:rsidR="00ED2FFB" w:rsidRDefault="00ED2FFB">
            <w:pPr>
              <w:jc w:val="both"/>
              <w:rPr>
                <w:rFonts w:ascii="Arial Narrow" w:hAnsi="Arial Narrow" w:cs="Arial Narrow"/>
                <w:sz w:val="22"/>
                <w:szCs w:val="22"/>
              </w:rPr>
            </w:pPr>
            <w:r>
              <w:rPr>
                <w:rFonts w:ascii="Arial Narrow" w:hAnsi="Arial Narrow" w:cs="Arial Narrow"/>
                <w:sz w:val="22"/>
                <w:szCs w:val="22"/>
              </w:rPr>
              <w:t>Účtovné obdobie:</w:t>
            </w:r>
          </w:p>
        </w:tc>
        <w:tc>
          <w:tcPr>
            <w:tcW w:w="6989" w:type="dxa"/>
            <w:gridSpan w:val="2"/>
            <w:tcBorders>
              <w:top w:val="single" w:sz="4" w:space="0" w:color="000000"/>
              <w:left w:val="single" w:sz="8" w:space="0" w:color="000000"/>
              <w:bottom w:val="single" w:sz="8" w:space="0" w:color="000000"/>
              <w:right w:val="single" w:sz="8" w:space="0" w:color="000000"/>
            </w:tcBorders>
            <w:shd w:val="clear" w:color="auto" w:fill="auto"/>
            <w:vAlign w:val="bottom"/>
          </w:tcPr>
          <w:p w:rsidR="00ED2FFB" w:rsidRDefault="00ED2FFB">
            <w:pPr>
              <w:jc w:val="both"/>
            </w:pPr>
            <w:r>
              <w:rPr>
                <w:rFonts w:ascii="Arial Narrow" w:hAnsi="Arial Narrow" w:cs="Arial Narrow"/>
                <w:sz w:val="22"/>
                <w:szCs w:val="22"/>
              </w:rPr>
              <w:t>Kalendárny rok 201</w:t>
            </w:r>
            <w:r w:rsidR="009D6DE5">
              <w:rPr>
                <w:rFonts w:ascii="Arial Narrow" w:hAnsi="Arial Narrow" w:cs="Arial Narrow"/>
                <w:sz w:val="22"/>
                <w:szCs w:val="22"/>
              </w:rPr>
              <w:t>8</w:t>
            </w:r>
          </w:p>
        </w:tc>
      </w:tr>
    </w:tbl>
    <w:p w:rsidR="00ED2FFB" w:rsidRDefault="00ED2FFB">
      <w:pPr>
        <w:jc w:val="both"/>
        <w:rPr>
          <w:rFonts w:ascii="Arial Narrow" w:hAnsi="Arial Narrow" w:cs="Arial Narrow"/>
          <w:b/>
          <w:bCs/>
          <w:sz w:val="22"/>
          <w:szCs w:val="22"/>
        </w:rPr>
      </w:pPr>
    </w:p>
    <w:p w:rsidR="00ED2FFB" w:rsidRDefault="00ED2FFB">
      <w:pPr>
        <w:ind w:right="-425"/>
        <w:jc w:val="both"/>
        <w:rPr>
          <w:rFonts w:ascii="Arial Narrow" w:hAnsi="Arial Narrow" w:cs="Arial Narrow"/>
          <w:bCs/>
          <w:sz w:val="22"/>
          <w:szCs w:val="22"/>
        </w:rPr>
      </w:pPr>
      <w:r>
        <w:rPr>
          <w:rFonts w:ascii="Arial Narrow" w:hAnsi="Arial Narrow" w:cs="Arial Narrow"/>
          <w:bCs/>
          <w:sz w:val="22"/>
          <w:szCs w:val="22"/>
          <w:u w:val="single"/>
        </w:rPr>
        <w:t xml:space="preserve">Test veľkostnej skupiny účtovnej jednotky (2 </w:t>
      </w:r>
      <w:proofErr w:type="spellStart"/>
      <w:r>
        <w:rPr>
          <w:rFonts w:ascii="Arial Narrow" w:hAnsi="Arial Narrow" w:cs="Arial Narrow"/>
          <w:bCs/>
          <w:sz w:val="22"/>
          <w:szCs w:val="22"/>
          <w:u w:val="single"/>
        </w:rPr>
        <w:t>ZoU</w:t>
      </w:r>
      <w:proofErr w:type="spellEnd"/>
      <w:r>
        <w:rPr>
          <w:rFonts w:ascii="Arial Narrow" w:hAnsi="Arial Narrow" w:cs="Arial Narrow"/>
          <w:bCs/>
          <w:sz w:val="22"/>
          <w:szCs w:val="22"/>
          <w:u w:val="single"/>
        </w:rPr>
        <w:t>)</w:t>
      </w:r>
    </w:p>
    <w:p w:rsidR="00ED2FFB" w:rsidRDefault="00ED2FFB">
      <w:pPr>
        <w:jc w:val="both"/>
        <w:rPr>
          <w:rFonts w:ascii="Arial Narrow" w:hAnsi="Arial Narrow" w:cs="Arial Narrow"/>
          <w:b/>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rsidR="00ED2FFB" w:rsidRDefault="00ED2FFB">
      <w:pPr>
        <w:jc w:val="both"/>
        <w:rPr>
          <w:rFonts w:ascii="Arial Narrow" w:hAnsi="Arial Narrow" w:cs="Arial Narrow"/>
          <w:b/>
          <w:bCs/>
          <w:sz w:val="22"/>
          <w:szCs w:val="22"/>
        </w:rPr>
      </w:pPr>
    </w:p>
    <w:tbl>
      <w:tblPr>
        <w:tblW w:w="9578" w:type="dxa"/>
        <w:tblInd w:w="33" w:type="dxa"/>
        <w:tblLayout w:type="fixed"/>
        <w:tblLook w:val="0000" w:firstRow="0" w:lastRow="0" w:firstColumn="0" w:lastColumn="0" w:noHBand="0" w:noVBand="0"/>
      </w:tblPr>
      <w:tblGrid>
        <w:gridCol w:w="2197"/>
        <w:gridCol w:w="2835"/>
        <w:gridCol w:w="3260"/>
        <w:gridCol w:w="1286"/>
      </w:tblGrid>
      <w:tr w:rsidR="00ED2FFB" w:rsidTr="00CD6695">
        <w:tc>
          <w:tcPr>
            <w:tcW w:w="2197"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Narrow"/>
                <w:b/>
                <w:bCs/>
                <w:sz w:val="22"/>
                <w:szCs w:val="22"/>
              </w:rPr>
            </w:pPr>
            <w:r>
              <w:rPr>
                <w:rFonts w:ascii="Arial Narrow" w:hAnsi="Arial Narrow" w:cs="Arial Narrow"/>
                <w:b/>
                <w:bCs/>
                <w:sz w:val="22"/>
                <w:szCs w:val="22"/>
              </w:rPr>
              <w:t>Bežné účtovné obdobie</w:t>
            </w:r>
          </w:p>
          <w:p w:rsidR="001740BD" w:rsidRDefault="001740BD">
            <w:pPr>
              <w:jc w:val="center"/>
              <w:rPr>
                <w:rFonts w:ascii="Arial Narrow" w:hAnsi="Arial Narrow" w:cs="Arial Narrow"/>
                <w:b/>
                <w:bCs/>
                <w:sz w:val="22"/>
                <w:szCs w:val="22"/>
              </w:rPr>
            </w:pPr>
            <w:r>
              <w:rPr>
                <w:rFonts w:ascii="Arial Narrow" w:hAnsi="Arial Narrow" w:cs="Arial Narrow"/>
                <w:b/>
                <w:bCs/>
                <w:sz w:val="22"/>
                <w:szCs w:val="22"/>
              </w:rPr>
              <w:t>201</w:t>
            </w:r>
            <w:r w:rsidR="009D6DE5">
              <w:rPr>
                <w:rFonts w:ascii="Arial Narrow" w:hAnsi="Arial Narrow" w:cs="Arial Narrow"/>
                <w:b/>
                <w:bCs/>
                <w:sz w:val="22"/>
                <w:szCs w:val="22"/>
              </w:rPr>
              <w:t>7</w:t>
            </w:r>
          </w:p>
        </w:tc>
        <w:tc>
          <w:tcPr>
            <w:tcW w:w="3260"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p w:rsidR="001740BD" w:rsidRDefault="001740BD">
            <w:pPr>
              <w:jc w:val="center"/>
              <w:rPr>
                <w:rFonts w:ascii="Arial Narrow" w:hAnsi="Arial Narrow" w:cs="Arial Narrow"/>
                <w:b/>
                <w:bCs/>
                <w:sz w:val="22"/>
                <w:szCs w:val="22"/>
              </w:rPr>
            </w:pPr>
            <w:r>
              <w:rPr>
                <w:rFonts w:ascii="Arial Narrow" w:hAnsi="Arial Narrow" w:cs="Arial Narrow"/>
                <w:b/>
                <w:bCs/>
                <w:sz w:val="22"/>
                <w:szCs w:val="22"/>
              </w:rPr>
              <w:t>201</w:t>
            </w:r>
            <w:r w:rsidR="009D6DE5">
              <w:rPr>
                <w:rFonts w:ascii="Arial Narrow" w:hAnsi="Arial Narrow" w:cs="Arial Narrow"/>
                <w:b/>
                <w:bCs/>
                <w:sz w:val="22"/>
                <w:szCs w:val="22"/>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jc w:val="center"/>
            </w:pPr>
            <w:r>
              <w:rPr>
                <w:rFonts w:ascii="Arial Narrow" w:hAnsi="Arial Narrow" w:cs="Arial Narrow"/>
                <w:b/>
                <w:bCs/>
                <w:sz w:val="22"/>
                <w:szCs w:val="22"/>
              </w:rPr>
              <w:t>Áno/Nie</w:t>
            </w:r>
          </w:p>
        </w:tc>
      </w:tr>
      <w:tr w:rsidR="009D6DE5" w:rsidTr="00CD6695">
        <w:tc>
          <w:tcPr>
            <w:tcW w:w="2197" w:type="dxa"/>
            <w:tcBorders>
              <w:top w:val="single" w:sz="4" w:space="0" w:color="000000"/>
              <w:left w:val="single" w:sz="4" w:space="0" w:color="000000"/>
              <w:bottom w:val="single" w:sz="4" w:space="0" w:color="000000"/>
            </w:tcBorders>
            <w:shd w:val="clear" w:color="auto" w:fill="auto"/>
          </w:tcPr>
          <w:p w:rsidR="009D6DE5" w:rsidRDefault="009D6DE5" w:rsidP="009D6DE5">
            <w:pPr>
              <w:jc w:val="both"/>
              <w:rPr>
                <w:rFonts w:ascii="Arial Narrow" w:hAnsi="Arial Narrow" w:cs="Arial Narrow"/>
                <w:b/>
                <w:bCs/>
                <w:sz w:val="22"/>
                <w:szCs w:val="22"/>
              </w:rPr>
            </w:pPr>
            <w:r>
              <w:rPr>
                <w:rFonts w:ascii="Arial Narrow" w:hAnsi="Arial Narrow" w:cs="Arial Narrow"/>
                <w:bCs/>
                <w:sz w:val="22"/>
                <w:szCs w:val="22"/>
              </w:rPr>
              <w:t>Netto aktíva celkom</w:t>
            </w:r>
          </w:p>
        </w:tc>
        <w:tc>
          <w:tcPr>
            <w:tcW w:w="2835" w:type="dxa"/>
            <w:tcBorders>
              <w:top w:val="single" w:sz="4" w:space="0" w:color="000000"/>
              <w:left w:val="single" w:sz="4" w:space="0" w:color="000000"/>
              <w:bottom w:val="single" w:sz="4" w:space="0" w:color="000000"/>
            </w:tcBorders>
            <w:shd w:val="clear" w:color="auto" w:fill="auto"/>
          </w:tcPr>
          <w:p w:rsidR="009D6DE5" w:rsidRDefault="009D6DE5" w:rsidP="009D6DE5">
            <w:pPr>
              <w:snapToGrid w:val="0"/>
              <w:jc w:val="both"/>
              <w:rPr>
                <w:rFonts w:ascii="Arial Narrow" w:hAnsi="Arial Narrow" w:cs="Arial Narrow"/>
                <w:b/>
                <w:bCs/>
                <w:sz w:val="22"/>
                <w:szCs w:val="22"/>
              </w:rPr>
            </w:pPr>
            <w:r>
              <w:rPr>
                <w:rFonts w:ascii="Arial Narrow" w:hAnsi="Arial Narrow" w:cs="Arial Narrow"/>
                <w:b/>
                <w:bCs/>
                <w:sz w:val="22"/>
                <w:szCs w:val="22"/>
              </w:rPr>
              <w:t>796479</w:t>
            </w:r>
          </w:p>
        </w:tc>
        <w:tc>
          <w:tcPr>
            <w:tcW w:w="3260" w:type="dxa"/>
            <w:tcBorders>
              <w:top w:val="single" w:sz="4" w:space="0" w:color="000000"/>
              <w:left w:val="single" w:sz="4" w:space="0" w:color="000000"/>
              <w:bottom w:val="single" w:sz="4" w:space="0" w:color="000000"/>
            </w:tcBorders>
            <w:shd w:val="clear" w:color="auto" w:fill="auto"/>
          </w:tcPr>
          <w:p w:rsidR="009D6DE5" w:rsidRDefault="009D6DE5" w:rsidP="009D6DE5">
            <w:pPr>
              <w:snapToGrid w:val="0"/>
              <w:jc w:val="both"/>
              <w:rPr>
                <w:rFonts w:ascii="Arial Narrow" w:hAnsi="Arial Narrow" w:cs="Arial Narrow"/>
                <w:b/>
                <w:bCs/>
                <w:sz w:val="22"/>
                <w:szCs w:val="22"/>
              </w:rPr>
            </w:pPr>
            <w:r>
              <w:rPr>
                <w:rFonts w:ascii="Arial Narrow" w:hAnsi="Arial Narrow" w:cs="Arial Narrow"/>
                <w:b/>
                <w:bCs/>
                <w:sz w:val="22"/>
                <w:szCs w:val="22"/>
              </w:rPr>
              <w:t>547939</w:t>
            </w:r>
          </w:p>
        </w:tc>
        <w:tc>
          <w:tcPr>
            <w:tcW w:w="1286" w:type="dxa"/>
            <w:tcBorders>
              <w:top w:val="single" w:sz="4" w:space="0" w:color="000000"/>
              <w:left w:val="single" w:sz="4" w:space="0" w:color="000000"/>
              <w:bottom w:val="single" w:sz="4" w:space="0" w:color="000000"/>
              <w:right w:val="single" w:sz="4" w:space="0" w:color="000000"/>
            </w:tcBorders>
            <w:shd w:val="clear" w:color="auto" w:fill="auto"/>
          </w:tcPr>
          <w:p w:rsidR="009D6DE5" w:rsidRDefault="009D6DE5" w:rsidP="009D6DE5">
            <w:pPr>
              <w:snapToGrid w:val="0"/>
              <w:jc w:val="both"/>
            </w:pPr>
            <w:proofErr w:type="spellStart"/>
            <w:r>
              <w:rPr>
                <w:rFonts w:ascii="Arial Narrow" w:hAnsi="Arial Narrow" w:cs="Arial Narrow"/>
                <w:b/>
                <w:bCs/>
                <w:sz w:val="22"/>
                <w:szCs w:val="22"/>
              </w:rPr>
              <w:t>Ano</w:t>
            </w:r>
            <w:proofErr w:type="spellEnd"/>
          </w:p>
        </w:tc>
      </w:tr>
      <w:tr w:rsidR="009D6DE5" w:rsidTr="00CD6695">
        <w:tc>
          <w:tcPr>
            <w:tcW w:w="2197" w:type="dxa"/>
            <w:tcBorders>
              <w:top w:val="single" w:sz="4" w:space="0" w:color="000000"/>
              <w:left w:val="single" w:sz="4" w:space="0" w:color="000000"/>
              <w:bottom w:val="single" w:sz="4" w:space="0" w:color="000000"/>
            </w:tcBorders>
            <w:shd w:val="clear" w:color="auto" w:fill="auto"/>
          </w:tcPr>
          <w:p w:rsidR="009D6DE5" w:rsidRDefault="009D6DE5" w:rsidP="009D6DE5">
            <w:pPr>
              <w:jc w:val="both"/>
              <w:rPr>
                <w:rFonts w:ascii="Arial Narrow" w:hAnsi="Arial Narrow" w:cs="Arial Narrow"/>
                <w:b/>
                <w:bCs/>
                <w:sz w:val="22"/>
                <w:szCs w:val="22"/>
              </w:rPr>
            </w:pPr>
            <w:r>
              <w:rPr>
                <w:rFonts w:ascii="Arial Narrow" w:hAnsi="Arial Narrow" w:cs="Arial Narrow"/>
                <w:bCs/>
                <w:sz w:val="22"/>
                <w:szCs w:val="22"/>
              </w:rPr>
              <w:t>Čistý obrat celkom</w:t>
            </w:r>
          </w:p>
        </w:tc>
        <w:tc>
          <w:tcPr>
            <w:tcW w:w="2835" w:type="dxa"/>
            <w:tcBorders>
              <w:top w:val="single" w:sz="4" w:space="0" w:color="000000"/>
              <w:left w:val="single" w:sz="4" w:space="0" w:color="000000"/>
              <w:bottom w:val="single" w:sz="4" w:space="0" w:color="000000"/>
            </w:tcBorders>
            <w:shd w:val="clear" w:color="auto" w:fill="auto"/>
          </w:tcPr>
          <w:p w:rsidR="009D6DE5" w:rsidRDefault="009D6DE5" w:rsidP="009D6DE5">
            <w:pPr>
              <w:snapToGrid w:val="0"/>
              <w:jc w:val="both"/>
              <w:rPr>
                <w:rFonts w:ascii="Arial Narrow" w:hAnsi="Arial Narrow" w:cs="Arial Narrow"/>
                <w:b/>
                <w:bCs/>
                <w:sz w:val="22"/>
                <w:szCs w:val="22"/>
              </w:rPr>
            </w:pPr>
            <w:r>
              <w:rPr>
                <w:rFonts w:ascii="Arial Narrow" w:hAnsi="Arial Narrow" w:cs="Arial Narrow"/>
                <w:b/>
                <w:bCs/>
                <w:sz w:val="22"/>
                <w:szCs w:val="22"/>
              </w:rPr>
              <w:t>1915395</w:t>
            </w:r>
          </w:p>
        </w:tc>
        <w:tc>
          <w:tcPr>
            <w:tcW w:w="3260" w:type="dxa"/>
            <w:tcBorders>
              <w:top w:val="single" w:sz="4" w:space="0" w:color="000000"/>
              <w:left w:val="single" w:sz="4" w:space="0" w:color="000000"/>
              <w:bottom w:val="single" w:sz="4" w:space="0" w:color="000000"/>
            </w:tcBorders>
            <w:shd w:val="clear" w:color="auto" w:fill="auto"/>
          </w:tcPr>
          <w:p w:rsidR="009D6DE5" w:rsidRDefault="009D6DE5" w:rsidP="009D6DE5">
            <w:pPr>
              <w:snapToGrid w:val="0"/>
              <w:jc w:val="both"/>
              <w:rPr>
                <w:rFonts w:ascii="Arial Narrow" w:hAnsi="Arial Narrow" w:cs="Arial Narrow"/>
                <w:b/>
                <w:bCs/>
                <w:sz w:val="22"/>
                <w:szCs w:val="22"/>
              </w:rPr>
            </w:pPr>
            <w:r>
              <w:rPr>
                <w:rFonts w:ascii="Arial Narrow" w:hAnsi="Arial Narrow" w:cs="Arial Narrow"/>
                <w:b/>
                <w:bCs/>
                <w:sz w:val="22"/>
                <w:szCs w:val="22"/>
              </w:rPr>
              <w:t>1795515</w:t>
            </w:r>
          </w:p>
        </w:tc>
        <w:tc>
          <w:tcPr>
            <w:tcW w:w="1286" w:type="dxa"/>
            <w:tcBorders>
              <w:top w:val="single" w:sz="4" w:space="0" w:color="000000"/>
              <w:left w:val="single" w:sz="4" w:space="0" w:color="000000"/>
              <w:bottom w:val="single" w:sz="4" w:space="0" w:color="000000"/>
              <w:right w:val="single" w:sz="4" w:space="0" w:color="000000"/>
            </w:tcBorders>
            <w:shd w:val="clear" w:color="auto" w:fill="auto"/>
          </w:tcPr>
          <w:p w:rsidR="009D6DE5" w:rsidRDefault="009D6DE5" w:rsidP="009D6DE5">
            <w:pPr>
              <w:snapToGrid w:val="0"/>
              <w:jc w:val="both"/>
            </w:pPr>
            <w:r>
              <w:rPr>
                <w:rFonts w:ascii="Arial Narrow" w:hAnsi="Arial Narrow" w:cs="Arial Narrow"/>
                <w:b/>
                <w:bCs/>
                <w:sz w:val="22"/>
                <w:szCs w:val="22"/>
              </w:rPr>
              <w:t>Áno</w:t>
            </w:r>
          </w:p>
        </w:tc>
      </w:tr>
      <w:tr w:rsidR="009D6DE5" w:rsidTr="00CD6695">
        <w:tc>
          <w:tcPr>
            <w:tcW w:w="2197" w:type="dxa"/>
            <w:tcBorders>
              <w:top w:val="single" w:sz="4" w:space="0" w:color="000000"/>
              <w:left w:val="single" w:sz="4" w:space="0" w:color="000000"/>
              <w:bottom w:val="single" w:sz="4" w:space="0" w:color="000000"/>
            </w:tcBorders>
            <w:shd w:val="clear" w:color="auto" w:fill="auto"/>
          </w:tcPr>
          <w:p w:rsidR="009D6DE5" w:rsidRDefault="009D6DE5" w:rsidP="009D6DE5">
            <w:pPr>
              <w:jc w:val="both"/>
              <w:rPr>
                <w:rFonts w:ascii="Arial Narrow" w:hAnsi="Arial Narrow" w:cs="Arial Narrow"/>
                <w:b/>
                <w:bCs/>
                <w:sz w:val="22"/>
                <w:szCs w:val="22"/>
              </w:rPr>
            </w:pPr>
            <w:r>
              <w:rPr>
                <w:rFonts w:ascii="Arial Narrow" w:hAnsi="Arial Narrow" w:cs="Arial Narrow"/>
                <w:bCs/>
                <w:sz w:val="22"/>
                <w:szCs w:val="22"/>
              </w:rPr>
              <w:t>Počet zamestnancov</w:t>
            </w:r>
          </w:p>
        </w:tc>
        <w:tc>
          <w:tcPr>
            <w:tcW w:w="2835" w:type="dxa"/>
            <w:tcBorders>
              <w:top w:val="single" w:sz="4" w:space="0" w:color="000000"/>
              <w:left w:val="single" w:sz="4" w:space="0" w:color="000000"/>
              <w:bottom w:val="single" w:sz="4" w:space="0" w:color="000000"/>
            </w:tcBorders>
            <w:shd w:val="clear" w:color="auto" w:fill="auto"/>
          </w:tcPr>
          <w:p w:rsidR="009D6DE5" w:rsidRDefault="009D6DE5" w:rsidP="009D6DE5">
            <w:pPr>
              <w:snapToGrid w:val="0"/>
              <w:jc w:val="both"/>
              <w:rPr>
                <w:rFonts w:ascii="Arial Narrow" w:hAnsi="Arial Narrow" w:cs="Arial Narrow"/>
                <w:b/>
                <w:bCs/>
                <w:sz w:val="22"/>
                <w:szCs w:val="22"/>
              </w:rPr>
            </w:pPr>
            <w:r>
              <w:rPr>
                <w:rFonts w:ascii="Arial Narrow" w:hAnsi="Arial Narrow" w:cs="Arial Narrow"/>
                <w:b/>
                <w:bCs/>
                <w:sz w:val="22"/>
                <w:szCs w:val="22"/>
              </w:rPr>
              <w:t>10</w:t>
            </w:r>
          </w:p>
        </w:tc>
        <w:tc>
          <w:tcPr>
            <w:tcW w:w="3260" w:type="dxa"/>
            <w:tcBorders>
              <w:top w:val="single" w:sz="4" w:space="0" w:color="000000"/>
              <w:left w:val="single" w:sz="4" w:space="0" w:color="000000"/>
              <w:bottom w:val="single" w:sz="4" w:space="0" w:color="000000"/>
            </w:tcBorders>
            <w:shd w:val="clear" w:color="auto" w:fill="auto"/>
          </w:tcPr>
          <w:p w:rsidR="009D6DE5" w:rsidRDefault="009D6DE5" w:rsidP="009D6DE5">
            <w:pPr>
              <w:snapToGrid w:val="0"/>
              <w:jc w:val="both"/>
              <w:rPr>
                <w:rFonts w:ascii="Arial Narrow" w:hAnsi="Arial Narrow" w:cs="Arial Narrow"/>
                <w:b/>
                <w:bCs/>
                <w:sz w:val="22"/>
                <w:szCs w:val="22"/>
              </w:rPr>
            </w:pPr>
            <w:r>
              <w:rPr>
                <w:rFonts w:ascii="Arial Narrow" w:hAnsi="Arial Narrow" w:cs="Arial Narrow"/>
                <w:b/>
                <w:bCs/>
                <w:sz w:val="22"/>
                <w:szCs w:val="22"/>
              </w:rPr>
              <w:t>12</w:t>
            </w:r>
          </w:p>
        </w:tc>
        <w:tc>
          <w:tcPr>
            <w:tcW w:w="1286" w:type="dxa"/>
            <w:tcBorders>
              <w:top w:val="single" w:sz="4" w:space="0" w:color="000000"/>
              <w:left w:val="single" w:sz="4" w:space="0" w:color="000000"/>
              <w:bottom w:val="single" w:sz="4" w:space="0" w:color="000000"/>
              <w:right w:val="single" w:sz="4" w:space="0" w:color="000000"/>
            </w:tcBorders>
            <w:shd w:val="clear" w:color="auto" w:fill="auto"/>
          </w:tcPr>
          <w:p w:rsidR="009D6DE5" w:rsidRDefault="009D6DE5" w:rsidP="009D6DE5">
            <w:pPr>
              <w:snapToGrid w:val="0"/>
              <w:jc w:val="both"/>
              <w:rPr>
                <w:rFonts w:ascii="Arial Narrow" w:hAnsi="Arial Narrow" w:cs="Arial Narrow"/>
                <w:b/>
                <w:bCs/>
                <w:sz w:val="22"/>
                <w:szCs w:val="22"/>
              </w:rPr>
            </w:pPr>
            <w:r>
              <w:rPr>
                <w:rFonts w:ascii="Arial Narrow" w:hAnsi="Arial Narrow" w:cs="Arial Narrow"/>
                <w:b/>
                <w:bCs/>
                <w:sz w:val="22"/>
                <w:szCs w:val="22"/>
              </w:rPr>
              <w:t>Áno</w:t>
            </w:r>
          </w:p>
          <w:p w:rsidR="009D6DE5" w:rsidRDefault="009D6DE5" w:rsidP="009D6DE5">
            <w:pPr>
              <w:snapToGrid w:val="0"/>
              <w:jc w:val="both"/>
              <w:rPr>
                <w:rFonts w:ascii="Arial Narrow" w:hAnsi="Arial Narrow" w:cs="Arial Narrow"/>
                <w:b/>
                <w:bCs/>
                <w:sz w:val="22"/>
                <w:szCs w:val="22"/>
              </w:rPr>
            </w:pPr>
          </w:p>
        </w:tc>
      </w:tr>
    </w:tbl>
    <w:p w:rsidR="00ED2FFB" w:rsidRDefault="00ED2FFB">
      <w:pPr>
        <w:jc w:val="both"/>
      </w:pPr>
    </w:p>
    <w:p w:rsidR="00ED2FFB" w:rsidRDefault="00ED2FFB">
      <w:pPr>
        <w:jc w:val="both"/>
        <w:rPr>
          <w:rFonts w:ascii="Arial Narrow" w:hAnsi="Arial Narrow" w:cs="Arial Narrow"/>
          <w:b/>
          <w:bCs/>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 xml:space="preserve">preto zostavuje účtovnú závierku podľa metodiky pre túto veľkostnú skupinu (Opatrenie </w:t>
      </w:r>
      <w:proofErr w:type="spellStart"/>
      <w:r>
        <w:rPr>
          <w:rFonts w:ascii="Arial Narrow" w:hAnsi="Arial Narrow" w:cs="Arial Narrow"/>
          <w:sz w:val="22"/>
          <w:szCs w:val="22"/>
        </w:rPr>
        <w:t>č.MF</w:t>
      </w:r>
      <w:proofErr w:type="spellEnd"/>
      <w:r>
        <w:rPr>
          <w:rFonts w:ascii="Arial Narrow" w:hAnsi="Arial Narrow" w:cs="Arial Narrow"/>
          <w:sz w:val="22"/>
          <w:szCs w:val="22"/>
        </w:rPr>
        <w:t>/23378/2014-74).</w:t>
      </w:r>
    </w:p>
    <w:p w:rsidR="00ED2FFB" w:rsidRDefault="00ED2FFB">
      <w:pPr>
        <w:rPr>
          <w:rFonts w:ascii="Arial Narrow" w:hAnsi="Arial Narrow" w:cs="Arial Narrow"/>
          <w:b/>
          <w:bCs/>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rPr>
        <w:t>Dátum schválenia účtovnej závierky</w:t>
      </w:r>
      <w:r>
        <w:rPr>
          <w:rFonts w:ascii="Arial Narrow" w:hAnsi="Arial Narrow" w:cs="Arial Narrow"/>
          <w:sz w:val="22"/>
          <w:szCs w:val="22"/>
        </w:rPr>
        <w:t xml:space="preserve"> za bezprostredne predchádzajúce účtovné obdobie príslušným orgánom účtovnej jednotky:</w:t>
      </w:r>
    </w:p>
    <w:p w:rsidR="00ED2FFB" w:rsidRDefault="00F2663F">
      <w:pPr>
        <w:spacing w:after="120"/>
        <w:jc w:val="both"/>
        <w:rPr>
          <w:rFonts w:ascii="Arial Narrow" w:hAnsi="Arial Narrow" w:cs="Arial Narrow"/>
          <w:b/>
          <w:sz w:val="22"/>
          <w:szCs w:val="22"/>
        </w:rPr>
      </w:pPr>
      <w:r>
        <w:rPr>
          <w:rFonts w:ascii="Arial Narrow" w:hAnsi="Arial Narrow" w:cs="Arial Narrow"/>
          <w:sz w:val="22"/>
          <w:szCs w:val="22"/>
        </w:rPr>
        <w:t>03.12.2018</w:t>
      </w:r>
    </w:p>
    <w:p w:rsidR="00ED2FFB" w:rsidRDefault="00ED2FFB">
      <w:pPr>
        <w:numPr>
          <w:ilvl w:val="0"/>
          <w:numId w:val="7"/>
        </w:numPr>
        <w:ind w:left="0" w:right="-468" w:firstLine="0"/>
        <w:jc w:val="both"/>
        <w:rPr>
          <w:rFonts w:ascii="Arial Narrow" w:hAnsi="Arial Narrow" w:cs="Arial Narrow"/>
          <w:sz w:val="22"/>
          <w:szCs w:val="22"/>
        </w:rPr>
      </w:pPr>
      <w:r>
        <w:rPr>
          <w:rFonts w:ascii="Arial Narrow" w:hAnsi="Arial Narrow" w:cs="Arial Narrow"/>
          <w:b/>
          <w:sz w:val="22"/>
          <w:szCs w:val="22"/>
        </w:rPr>
        <w:t>Právny dôvod</w:t>
      </w:r>
      <w:r>
        <w:rPr>
          <w:rFonts w:ascii="Arial Narrow" w:hAnsi="Arial Narrow" w:cs="Arial Narrow"/>
          <w:sz w:val="22"/>
          <w:szCs w:val="22"/>
        </w:rPr>
        <w:t xml:space="preserve"> na zostavenie účtovnej závierky:</w:t>
      </w:r>
    </w:p>
    <w:p w:rsidR="00ED2FFB" w:rsidRDefault="00ED2FFB">
      <w:pPr>
        <w:ind w:right="-468"/>
        <w:jc w:val="both"/>
      </w:pPr>
      <w:proofErr w:type="spellStart"/>
      <w:r>
        <w:rPr>
          <w:rFonts w:ascii="Arial Narrow" w:hAnsi="Arial Narrow" w:cs="Arial Narrow"/>
          <w:sz w:val="22"/>
          <w:szCs w:val="22"/>
        </w:rPr>
        <w:t>Učtovná</w:t>
      </w:r>
      <w:proofErr w:type="spellEnd"/>
      <w:r>
        <w:rPr>
          <w:rFonts w:ascii="Arial Narrow" w:hAnsi="Arial Narrow" w:cs="Arial Narrow"/>
          <w:sz w:val="22"/>
          <w:szCs w:val="22"/>
        </w:rPr>
        <w:t xml:space="preserve"> závierka Spoločnosti k 31. decembru 201</w:t>
      </w:r>
      <w:r w:rsidR="00F2663F">
        <w:rPr>
          <w:rFonts w:ascii="Arial Narrow" w:hAnsi="Arial Narrow" w:cs="Arial Narrow"/>
          <w:sz w:val="22"/>
          <w:szCs w:val="22"/>
        </w:rPr>
        <w:t>8</w:t>
      </w:r>
      <w:r>
        <w:rPr>
          <w:rFonts w:ascii="Arial Narrow" w:hAnsi="Arial Narrow" w:cs="Arial Narrow"/>
          <w:sz w:val="22"/>
          <w:szCs w:val="22"/>
        </w:rPr>
        <w:t xml:space="preserve"> je zostavená ako riadna účtovná závierka za účtovné obdobie od 1. januára 201</w:t>
      </w:r>
      <w:r w:rsidR="00F2663F">
        <w:rPr>
          <w:rFonts w:ascii="Arial Narrow" w:hAnsi="Arial Narrow" w:cs="Arial Narrow"/>
          <w:sz w:val="22"/>
          <w:szCs w:val="22"/>
        </w:rPr>
        <w:t>8</w:t>
      </w:r>
      <w:r>
        <w:rPr>
          <w:rFonts w:ascii="Arial Narrow" w:hAnsi="Arial Narrow" w:cs="Arial Narrow"/>
          <w:sz w:val="22"/>
          <w:szCs w:val="22"/>
        </w:rPr>
        <w:t xml:space="preserve"> do 31. decembra 201</w:t>
      </w:r>
      <w:r w:rsidR="00F2663F">
        <w:rPr>
          <w:rFonts w:ascii="Arial Narrow" w:hAnsi="Arial Narrow" w:cs="Arial Narrow"/>
          <w:sz w:val="22"/>
          <w:szCs w:val="22"/>
        </w:rPr>
        <w:t>8</w:t>
      </w:r>
      <w:r>
        <w:rPr>
          <w:rFonts w:ascii="Arial Narrow" w:hAnsi="Arial Narrow" w:cs="Arial Narrow"/>
          <w:sz w:val="22"/>
          <w:szCs w:val="22"/>
        </w:rPr>
        <w:t>.</w:t>
      </w:r>
    </w:p>
    <w:p w:rsidR="00ED2FFB" w:rsidRDefault="00ED2FFB">
      <w:pPr>
        <w:numPr>
          <w:ilvl w:val="0"/>
          <w:numId w:val="7"/>
        </w:numPr>
        <w:ind w:left="0" w:right="-468" w:firstLine="0"/>
        <w:jc w:val="both"/>
      </w:pPr>
    </w:p>
    <w:p w:rsidR="00ED2FFB" w:rsidRDefault="00ED2FFB">
      <w:pPr>
        <w:numPr>
          <w:ilvl w:val="0"/>
          <w:numId w:val="8"/>
        </w:numPr>
        <w:jc w:val="both"/>
        <w:rPr>
          <w:rFonts w:ascii="Arial Narrow" w:hAnsi="Arial Narrow" w:cs="Arial Narrow"/>
          <w:bCs/>
          <w:sz w:val="22"/>
          <w:szCs w:val="22"/>
        </w:rPr>
      </w:pP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w:t>
      </w:r>
    </w:p>
    <w:p w:rsidR="00ED2FFB" w:rsidRDefault="00ED2FFB">
      <w:pPr>
        <w:jc w:val="both"/>
        <w:rPr>
          <w:rFonts w:ascii="Arial Narrow" w:hAnsi="Arial Narrow" w:cs="Arial Narrow"/>
          <w:sz w:val="22"/>
          <w:szCs w:val="22"/>
        </w:rPr>
      </w:pPr>
      <w:r>
        <w:rPr>
          <w:rFonts w:ascii="Arial Narrow" w:hAnsi="Arial Narrow" w:cs="Arial Narrow"/>
          <w:bCs/>
          <w:sz w:val="22"/>
          <w:szCs w:val="22"/>
        </w:rPr>
        <w:t xml:space="preserve">Účtovná jednotka nie je súčasťou konsolidovaného </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a) Obchodné meno a sídlo účtovnej jednotky, ktorá zostavuje </w:t>
      </w:r>
      <w:r>
        <w:rPr>
          <w:rFonts w:ascii="Arial Narrow" w:hAnsi="Arial Narrow" w:cs="Arial Narrow"/>
          <w:b/>
          <w:sz w:val="22"/>
          <w:szCs w:val="22"/>
        </w:rPr>
        <w:t>konsolidovanú účtovnú závierku</w:t>
      </w:r>
      <w:r>
        <w:rPr>
          <w:rFonts w:ascii="Arial Narrow" w:hAnsi="Arial Narrow" w:cs="Arial Narrow"/>
          <w:sz w:val="22"/>
          <w:szCs w:val="22"/>
        </w:rPr>
        <w:t xml:space="preserve"> za </w:t>
      </w:r>
      <w:r>
        <w:rPr>
          <w:rFonts w:ascii="Arial Narrow" w:hAnsi="Arial Narrow" w:cs="Arial Narrow"/>
          <w:sz w:val="22"/>
          <w:szCs w:val="22"/>
          <w:u w:val="single"/>
        </w:rPr>
        <w:t>najväčšiu skupinu</w:t>
      </w:r>
      <w:r>
        <w:rPr>
          <w:rFonts w:ascii="Arial Narrow" w:hAnsi="Arial Narrow" w:cs="Arial Narrow"/>
          <w:sz w:val="22"/>
          <w:szCs w:val="22"/>
        </w:rPr>
        <w:t>, ktorej súčasťou je účtovná jednotka ako dcérska účtovná jednotka (najvyšší stupeň konsolidácie):</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b) Obchodné meno a sídlo účtovnej jednotky, ktorá zostavuje </w:t>
      </w:r>
      <w:r>
        <w:rPr>
          <w:rFonts w:ascii="Arial Narrow" w:hAnsi="Arial Narrow" w:cs="Arial Narrow"/>
          <w:b/>
          <w:sz w:val="22"/>
          <w:szCs w:val="22"/>
        </w:rPr>
        <w:t>konsolidovanú účtovnú závierku</w:t>
      </w:r>
      <w:r>
        <w:rPr>
          <w:rFonts w:ascii="Arial Narrow" w:hAnsi="Arial Narrow" w:cs="Arial Narrow"/>
          <w:sz w:val="22"/>
          <w:szCs w:val="22"/>
        </w:rPr>
        <w:t xml:space="preserve"> za </w:t>
      </w:r>
      <w:r>
        <w:rPr>
          <w:rFonts w:ascii="Arial Narrow" w:hAnsi="Arial Narrow" w:cs="Arial Narrow"/>
          <w:sz w:val="22"/>
          <w:szCs w:val="22"/>
          <w:u w:val="single"/>
        </w:rPr>
        <w:t>najmenšiu skupinu</w:t>
      </w:r>
      <w:r>
        <w:rPr>
          <w:rFonts w:ascii="Arial Narrow" w:hAnsi="Arial Narrow" w:cs="Arial Narrow"/>
          <w:sz w:val="22"/>
          <w:szCs w:val="22"/>
        </w:rPr>
        <w:t>, ktorej súčasťou je účtovná jednotka ako dcérska účtovná jednotka (bezprostredne vyšší stupeň konsolidácie), a ktorá je tiež začlenená do skupiny účtovných jednotiek na najvyššom stupni konsolidácie:</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lastRenderedPageBreak/>
        <w:t xml:space="preserve">c) Adresa, kde sa môže vyžiadať kópia vyššie uvedených </w:t>
      </w:r>
      <w:r>
        <w:rPr>
          <w:rFonts w:ascii="Arial Narrow" w:hAnsi="Arial Narrow" w:cs="Arial Narrow"/>
          <w:b/>
          <w:sz w:val="22"/>
          <w:szCs w:val="22"/>
        </w:rPr>
        <w:t>konsolidovaných účtovných závierok</w:t>
      </w:r>
      <w:r>
        <w:rPr>
          <w:rFonts w:ascii="Arial Narrow" w:hAnsi="Arial Narrow" w:cs="Arial Narrow"/>
          <w:sz w:val="22"/>
          <w:szCs w:val="22"/>
        </w:rPr>
        <w:t>:</w:t>
      </w:r>
    </w:p>
    <w:p w:rsidR="00ED2FFB" w:rsidRDefault="00ED2FFB">
      <w:pPr>
        <w:spacing w:after="120"/>
        <w:jc w:val="both"/>
        <w:rPr>
          <w:rFonts w:ascii="Arial Narrow" w:hAnsi="Arial Narrow" w:cs="Arial Narrow"/>
          <w:sz w:val="22"/>
          <w:szCs w:val="22"/>
        </w:rPr>
      </w:pP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 xml:space="preserve">d) Údaj, či účtovná jednotka je materskou účtovnou jednotkou a údaj, či je oslobodená od povinnosti zostaviť </w:t>
      </w:r>
      <w:r>
        <w:rPr>
          <w:rFonts w:ascii="Arial Narrow" w:hAnsi="Arial Narrow" w:cs="Arial Narrow"/>
          <w:b/>
          <w:sz w:val="22"/>
          <w:szCs w:val="22"/>
        </w:rPr>
        <w:t>konsolidovanú účtovnú závierku</w:t>
      </w:r>
      <w:r>
        <w:rPr>
          <w:rFonts w:ascii="Arial Narrow" w:hAnsi="Arial Narrow" w:cs="Arial Narrow"/>
          <w:sz w:val="22"/>
          <w:szCs w:val="22"/>
        </w:rPr>
        <w:t xml:space="preserve"> a konsolidovanú výročnú správu podľa § 22 zákona o účtovníctve, pričom sa uvádzajú:</w:t>
      </w: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1. pri oslobodení podľa § 22 ods. 8 zákona o účtovníctve obchodné meno a sídlo materskej účtovnej jednotky zostavujúcej </w:t>
      </w:r>
      <w:r>
        <w:rPr>
          <w:rFonts w:ascii="Arial Narrow" w:hAnsi="Arial Narrow" w:cs="Arial Narrow"/>
          <w:b/>
          <w:sz w:val="22"/>
          <w:szCs w:val="22"/>
        </w:rPr>
        <w:t>konsolidovanú účtovnú závierku</w:t>
      </w:r>
      <w:r>
        <w:rPr>
          <w:rFonts w:ascii="Arial Narrow" w:hAnsi="Arial Narrow" w:cs="Arial Narrow"/>
          <w:sz w:val="22"/>
          <w:szCs w:val="22"/>
        </w:rPr>
        <w:t xml:space="preserve"> podľa osobitných predpisov (IFRS/EÚ):</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2. pri oslobodení podľa § 22 ods. 10 a 12 zákona o účtovníctve obchodné meno a sídlo dcérskych účtovných jednotiek:  </w:t>
      </w:r>
    </w:p>
    <w:p w:rsidR="00ED2FFB" w:rsidRDefault="00ED2FFB">
      <w:pPr>
        <w:spacing w:after="120"/>
        <w:jc w:val="both"/>
        <w:rPr>
          <w:rFonts w:ascii="Arial Narrow" w:hAnsi="Arial Narrow" w:cs="Arial Narrow"/>
          <w:sz w:val="22"/>
          <w:szCs w:val="22"/>
        </w:rPr>
      </w:pPr>
    </w:p>
    <w:p w:rsidR="00ED2FFB" w:rsidRDefault="00ED2FFB">
      <w:pPr>
        <w:spacing w:after="120"/>
        <w:jc w:val="both"/>
        <w:rPr>
          <w:rFonts w:ascii="Arial Narrow" w:hAnsi="Arial Narrow" w:cs="Arial Narrow"/>
          <w:b/>
          <w:bCs/>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W w:w="0" w:type="auto"/>
        <w:tblInd w:w="-5" w:type="dxa"/>
        <w:tblLayout w:type="fixed"/>
        <w:tblLook w:val="0000" w:firstRow="0" w:lastRow="0" w:firstColumn="0" w:lastColumn="0" w:noHBand="0" w:noVBand="0"/>
      </w:tblPr>
      <w:tblGrid>
        <w:gridCol w:w="4857"/>
        <w:gridCol w:w="2523"/>
        <w:gridCol w:w="2377"/>
      </w:tblGrid>
      <w:tr w:rsidR="00ED2FFB">
        <w:trPr>
          <w:trHeight w:val="537"/>
        </w:trPr>
        <w:tc>
          <w:tcPr>
            <w:tcW w:w="4857" w:type="dxa"/>
            <w:tcBorders>
              <w:top w:val="single" w:sz="4" w:space="0" w:color="000000"/>
              <w:left w:val="single" w:sz="4" w:space="0" w:color="000000"/>
              <w:bottom w:val="single" w:sz="4" w:space="0" w:color="000000"/>
            </w:tcBorders>
            <w:shd w:val="clear" w:color="auto" w:fill="auto"/>
            <w:vAlign w:val="center"/>
          </w:tcPr>
          <w:p w:rsidR="00ED2FFB" w:rsidRDefault="00ED2FFB">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523" w:type="dxa"/>
            <w:tcBorders>
              <w:top w:val="single" w:sz="4" w:space="0" w:color="000000"/>
              <w:left w:val="single" w:sz="4" w:space="0" w:color="000000"/>
              <w:bottom w:val="single" w:sz="4" w:space="0" w:color="000000"/>
            </w:tcBorders>
            <w:shd w:val="clear" w:color="auto" w:fill="auto"/>
            <w:vAlign w:val="center"/>
          </w:tcPr>
          <w:p w:rsidR="00ED2FFB" w:rsidRDefault="00ED2FFB">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jc w:val="center"/>
            </w:pPr>
            <w:r>
              <w:rPr>
                <w:rFonts w:ascii="Arial Narrow" w:hAnsi="Arial Narrow" w:cs="Arial Narrow"/>
                <w:b/>
                <w:bCs/>
                <w:sz w:val="22"/>
                <w:szCs w:val="22"/>
              </w:rPr>
              <w:t>Bezprostredne predchádzajúce účtovné obdobie</w:t>
            </w:r>
          </w:p>
        </w:tc>
      </w:tr>
      <w:tr w:rsidR="00ED2FFB">
        <w:trPr>
          <w:trHeight w:val="163"/>
        </w:trPr>
        <w:tc>
          <w:tcPr>
            <w:tcW w:w="4857" w:type="dxa"/>
            <w:tcBorders>
              <w:top w:val="single" w:sz="4" w:space="0" w:color="000000"/>
              <w:left w:val="single" w:sz="4" w:space="0" w:color="000000"/>
              <w:bottom w:val="single" w:sz="4" w:space="0" w:color="000000"/>
            </w:tcBorders>
            <w:shd w:val="clear" w:color="auto" w:fill="auto"/>
            <w:vAlign w:val="bottom"/>
          </w:tcPr>
          <w:p w:rsidR="00ED2FFB" w:rsidRDefault="00ED2FFB">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2523" w:type="dxa"/>
            <w:tcBorders>
              <w:top w:val="single" w:sz="4" w:space="0" w:color="000000"/>
              <w:left w:val="single" w:sz="4" w:space="0" w:color="000000"/>
              <w:bottom w:val="single" w:sz="4" w:space="0" w:color="000000"/>
            </w:tcBorders>
            <w:shd w:val="clear" w:color="auto" w:fill="auto"/>
            <w:vAlign w:val="bottom"/>
          </w:tcPr>
          <w:p w:rsidR="00ED2FFB" w:rsidRDefault="00ED2FFB">
            <w:pPr>
              <w:jc w:val="both"/>
              <w:rPr>
                <w:rFonts w:ascii="Arial Narrow" w:hAnsi="Arial Narrow" w:cs="Arial Narrow"/>
                <w:sz w:val="22"/>
                <w:szCs w:val="22"/>
              </w:rPr>
            </w:pPr>
            <w:r>
              <w:rPr>
                <w:rFonts w:ascii="Arial Narrow" w:hAnsi="Arial Narrow" w:cs="Arial Narrow"/>
                <w:sz w:val="22"/>
                <w:szCs w:val="22"/>
              </w:rPr>
              <w:t> </w:t>
            </w:r>
            <w:r w:rsidR="001740BD">
              <w:rPr>
                <w:rFonts w:ascii="Arial Narrow" w:hAnsi="Arial Narrow" w:cs="Arial Narrow"/>
                <w:sz w:val="22"/>
                <w:szCs w:val="22"/>
              </w:rPr>
              <w:t>1</w:t>
            </w:r>
            <w:r w:rsidR="00F2663F">
              <w:rPr>
                <w:rFonts w:ascii="Arial Narrow" w:hAnsi="Arial Narrow" w:cs="Arial Narrow"/>
                <w:sz w:val="22"/>
                <w:szCs w:val="22"/>
              </w:rPr>
              <w:t>1</w:t>
            </w:r>
          </w:p>
        </w:tc>
        <w:tc>
          <w:tcPr>
            <w:tcW w:w="2377" w:type="dxa"/>
            <w:tcBorders>
              <w:top w:val="single" w:sz="4" w:space="0" w:color="000000"/>
              <w:left w:val="single" w:sz="4" w:space="0" w:color="000000"/>
              <w:bottom w:val="single" w:sz="4" w:space="0" w:color="000000"/>
              <w:right w:val="single" w:sz="4" w:space="0" w:color="000000"/>
            </w:tcBorders>
            <w:shd w:val="clear" w:color="auto" w:fill="auto"/>
            <w:vAlign w:val="bottom"/>
          </w:tcPr>
          <w:p w:rsidR="00ED2FFB" w:rsidRDefault="00F2663F">
            <w:pPr>
              <w:jc w:val="both"/>
            </w:pPr>
            <w:r>
              <w:rPr>
                <w:rFonts w:ascii="Arial Narrow" w:hAnsi="Arial Narrow" w:cs="Arial Narrow"/>
                <w:sz w:val="22"/>
                <w:szCs w:val="22"/>
              </w:rPr>
              <w:t>10</w:t>
            </w:r>
          </w:p>
        </w:tc>
      </w:tr>
      <w:tr w:rsidR="00ED2FFB">
        <w:trPr>
          <w:trHeight w:val="163"/>
        </w:trPr>
        <w:tc>
          <w:tcPr>
            <w:tcW w:w="4857" w:type="dxa"/>
            <w:tcBorders>
              <w:left w:val="single" w:sz="4" w:space="0" w:color="000000"/>
              <w:bottom w:val="single" w:sz="4" w:space="0" w:color="000000"/>
            </w:tcBorders>
            <w:shd w:val="clear" w:color="auto" w:fill="auto"/>
            <w:vAlign w:val="bottom"/>
          </w:tcPr>
          <w:p w:rsidR="00ED2FFB" w:rsidRDefault="00ED2FFB">
            <w:pPr>
              <w:jc w:val="both"/>
            </w:pPr>
          </w:p>
        </w:tc>
        <w:tc>
          <w:tcPr>
            <w:tcW w:w="2523" w:type="dxa"/>
            <w:tcBorders>
              <w:left w:val="single" w:sz="4" w:space="0" w:color="000000"/>
              <w:bottom w:val="single" w:sz="4" w:space="0" w:color="000000"/>
            </w:tcBorders>
            <w:shd w:val="clear" w:color="auto" w:fill="auto"/>
            <w:vAlign w:val="bottom"/>
          </w:tcPr>
          <w:p w:rsidR="00ED2FFB" w:rsidRDefault="00ED2FFB">
            <w:pPr>
              <w:jc w:val="both"/>
              <w:rPr>
                <w:rFonts w:ascii="Arial Narrow" w:hAnsi="Arial Narrow" w:cs="Arial Narrow"/>
                <w:sz w:val="22"/>
                <w:szCs w:val="22"/>
              </w:rPr>
            </w:pPr>
          </w:p>
        </w:tc>
        <w:tc>
          <w:tcPr>
            <w:tcW w:w="2377" w:type="dxa"/>
            <w:tcBorders>
              <w:left w:val="single" w:sz="4" w:space="0" w:color="000000"/>
              <w:bottom w:val="single" w:sz="4" w:space="0" w:color="000000"/>
              <w:right w:val="single" w:sz="4" w:space="0" w:color="000000"/>
            </w:tcBorders>
            <w:shd w:val="clear" w:color="auto" w:fill="auto"/>
            <w:vAlign w:val="bottom"/>
          </w:tcPr>
          <w:p w:rsidR="00ED2FFB" w:rsidRDefault="00ED2FFB">
            <w:pPr>
              <w:jc w:val="both"/>
              <w:rPr>
                <w:rFonts w:ascii="Arial Narrow" w:hAnsi="Arial Narrow" w:cs="Arial Narrow"/>
                <w:sz w:val="22"/>
                <w:szCs w:val="22"/>
              </w:rPr>
            </w:pPr>
          </w:p>
        </w:tc>
      </w:tr>
    </w:tbl>
    <w:p w:rsidR="00ED2FFB" w:rsidRDefault="00ED2FFB">
      <w:pPr>
        <w:ind w:left="928" w:right="-468"/>
        <w:jc w:val="both"/>
        <w:rPr>
          <w:rFonts w:ascii="Arial Narrow" w:hAnsi="Arial Narrow" w:cs="Arial Narrow"/>
          <w:sz w:val="22"/>
          <w:szCs w:val="22"/>
        </w:rPr>
      </w:pPr>
    </w:p>
    <w:p w:rsidR="00ED2FFB" w:rsidRDefault="00ED2FFB">
      <w:pPr>
        <w:ind w:right="-468"/>
        <w:jc w:val="both"/>
        <w:rPr>
          <w:rFonts w:ascii="Arial Narrow" w:hAnsi="Arial Narrow" w:cs="Arial Narrow"/>
          <w:sz w:val="22"/>
          <w:szCs w:val="22"/>
        </w:rPr>
      </w:pPr>
    </w:p>
    <w:p w:rsidR="00ED2FFB" w:rsidRDefault="00ED2FFB">
      <w:pPr>
        <w:ind w:right="-468"/>
        <w:jc w:val="center"/>
        <w:rPr>
          <w:rFonts w:ascii="Arial Narrow" w:hAnsi="Arial Narrow" w:cs="Arial Narrow"/>
          <w:bCs/>
          <w:sz w:val="22"/>
          <w:szCs w:val="22"/>
        </w:rPr>
      </w:pPr>
      <w:r>
        <w:rPr>
          <w:rFonts w:ascii="Arial Narrow" w:hAnsi="Arial Narrow" w:cs="Arial Narrow"/>
          <w:b/>
          <w:bCs/>
          <w:sz w:val="22"/>
          <w:szCs w:val="22"/>
        </w:rPr>
        <w:t>Článok II – INFORMÁCIE O ORGÁNOCH SPOLOČNOSTI</w:t>
      </w:r>
    </w:p>
    <w:p w:rsidR="00ED2FFB" w:rsidRDefault="00ED2FFB">
      <w:pPr>
        <w:ind w:right="-468"/>
        <w:jc w:val="both"/>
        <w:rPr>
          <w:rFonts w:ascii="Arial Narrow" w:hAnsi="Arial Narrow" w:cs="Arial Narrow"/>
          <w:bCs/>
          <w:sz w:val="22"/>
          <w:szCs w:val="22"/>
        </w:rPr>
      </w:pPr>
    </w:p>
    <w:p w:rsidR="00ED2FFB" w:rsidRDefault="00ED2FFB">
      <w:pPr>
        <w:spacing w:after="120"/>
        <w:jc w:val="both"/>
      </w:pPr>
      <w:r>
        <w:rPr>
          <w:rFonts w:ascii="Arial Narrow" w:hAnsi="Arial Narrow" w:cs="Arial Narrow"/>
          <w:b/>
          <w:bCs/>
          <w:sz w:val="22"/>
          <w:szCs w:val="22"/>
          <w:u w:val="single"/>
        </w:rPr>
        <w:t>Informácie o orgánoch účtovnej jednotky</w:t>
      </w:r>
      <w:r>
        <w:rPr>
          <w:rFonts w:ascii="Arial Narrow" w:hAnsi="Arial Narrow" w:cs="Arial Narrow"/>
          <w:bCs/>
          <w:sz w:val="22"/>
          <w:szCs w:val="22"/>
        </w:rPr>
        <w:t xml:space="preserve"> – štatutárneho orgánu, dozorného orgánu a iného orgánu účtovnej jednotky, pričom sa uvádzajú najmä informácie – o podmienkach a výške jednotlivých druhov záruk alebo iných zabezpečení, o pôžičkách a ich podmienkach (výška úrokov, celková suma pôžičky, suma splatenej pôžičky, suma odpustenej pôžičky), o použití majetku účtovnej jednotky na súkromné účely; v členení na jednotlivé orgány (informácie sa neuvádzajú vtedy, ak by umožnili identifikáciu finančnej situácie konkrétnej fyzickej osoby):</w:t>
      </w:r>
    </w:p>
    <w:tbl>
      <w:tblPr>
        <w:tblW w:w="0" w:type="auto"/>
        <w:tblInd w:w="108" w:type="dxa"/>
        <w:tblLayout w:type="fixed"/>
        <w:tblLook w:val="0000" w:firstRow="0" w:lastRow="0" w:firstColumn="0" w:lastColumn="0" w:noHBand="0" w:noVBand="0"/>
      </w:tblPr>
      <w:tblGrid>
        <w:gridCol w:w="6312"/>
        <w:gridCol w:w="1701"/>
        <w:gridCol w:w="1711"/>
      </w:tblGrid>
      <w:tr w:rsidR="00ED2FFB">
        <w:trPr>
          <w:trHeight w:val="780"/>
        </w:trPr>
        <w:tc>
          <w:tcPr>
            <w:tcW w:w="6312" w:type="dxa"/>
            <w:tcBorders>
              <w:top w:val="single" w:sz="4" w:space="0" w:color="000000"/>
              <w:left w:val="single" w:sz="4" w:space="0" w:color="000000"/>
              <w:bottom w:val="single" w:sz="4" w:space="0" w:color="000000"/>
            </w:tcBorders>
            <w:shd w:val="clear" w:color="auto" w:fill="auto"/>
            <w:vAlign w:val="center"/>
          </w:tcPr>
          <w:p w:rsidR="00ED2FFB" w:rsidRDefault="00ED2FFB">
            <w:pPr>
              <w:pStyle w:val="TopHeader"/>
            </w:pPr>
            <w:r>
              <w:t>Orgány účtovnej jednotky</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pStyle w:val="TopHeader"/>
            </w:pPr>
            <w:r>
              <w:t>Bežné účtovné obdobie</w:t>
            </w:r>
          </w:p>
        </w:tc>
        <w:tc>
          <w:tcPr>
            <w:tcW w:w="17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pStyle w:val="TopHeader"/>
            </w:pPr>
            <w:r>
              <w:t>Bezprostredne predchádzajúce účtovné obdobie</w:t>
            </w:r>
          </w:p>
        </w:tc>
      </w:tr>
      <w:tr w:rsidR="00ED2FFB">
        <w:trPr>
          <w:trHeight w:val="267"/>
        </w:trPr>
        <w:tc>
          <w:tcPr>
            <w:tcW w:w="6312"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b/>
                <w:sz w:val="22"/>
                <w:szCs w:val="22"/>
              </w:rPr>
              <w:t>Štatutárny orgán</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 Žiadne</w:t>
            </w:r>
          </w:p>
        </w:tc>
        <w:tc>
          <w:tcPr>
            <w:tcW w:w="17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roofErr w:type="spellStart"/>
            <w:r>
              <w:rPr>
                <w:rFonts w:ascii="Arial Narrow" w:hAnsi="Arial Narrow" w:cs="Arial Narrow"/>
                <w:sz w:val="22"/>
                <w:szCs w:val="22"/>
              </w:rPr>
              <w:t>žiedne</w:t>
            </w:r>
            <w:proofErr w:type="spellEnd"/>
            <w:r>
              <w:rPr>
                <w:rFonts w:ascii="Arial Narrow" w:hAnsi="Arial Narrow" w:cs="Arial Narrow"/>
                <w:sz w:val="22"/>
                <w:szCs w:val="22"/>
              </w:rPr>
              <w:t> </w:t>
            </w:r>
          </w:p>
        </w:tc>
      </w:tr>
      <w:tr w:rsidR="00ED2FFB">
        <w:trPr>
          <w:trHeight w:val="144"/>
        </w:trPr>
        <w:tc>
          <w:tcPr>
            <w:tcW w:w="6312" w:type="dxa"/>
            <w:tcBorders>
              <w:top w:val="single" w:sz="4" w:space="0" w:color="000000"/>
              <w:left w:val="single" w:sz="4" w:space="0" w:color="000000"/>
              <w:bottom w:val="single" w:sz="4" w:space="0" w:color="000000"/>
            </w:tcBorders>
            <w:shd w:val="clear" w:color="auto" w:fill="auto"/>
            <w:vAlign w:val="center"/>
          </w:tcPr>
          <w:p w:rsidR="00ED2FFB" w:rsidRDefault="00ED2FFB">
            <w:pPr>
              <w:numPr>
                <w:ilvl w:val="0"/>
                <w:numId w:val="5"/>
              </w:numPr>
              <w:rPr>
                <w:rFonts w:ascii="Arial Narrow" w:hAnsi="Arial Narrow" w:cs="Arial Narrow"/>
                <w:sz w:val="22"/>
                <w:szCs w:val="22"/>
              </w:rPr>
            </w:pPr>
            <w:r>
              <w:rPr>
                <w:rFonts w:ascii="Arial Narrow" w:hAnsi="Arial Narrow" w:cs="Arial Narrow"/>
                <w:sz w:val="22"/>
                <w:szCs w:val="22"/>
              </w:rPr>
              <w:t>druh príjmu (výhody):</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 </w:t>
            </w:r>
          </w:p>
        </w:tc>
        <w:tc>
          <w:tcPr>
            <w:tcW w:w="17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r>
              <w:rPr>
                <w:rFonts w:ascii="Arial Narrow" w:hAnsi="Arial Narrow" w:cs="Arial Narrow"/>
                <w:sz w:val="22"/>
                <w:szCs w:val="22"/>
              </w:rPr>
              <w:t> </w:t>
            </w:r>
          </w:p>
        </w:tc>
      </w:tr>
      <w:tr w:rsidR="00ED2FFB">
        <w:trPr>
          <w:trHeight w:val="161"/>
        </w:trPr>
        <w:tc>
          <w:tcPr>
            <w:tcW w:w="6312"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b/>
                <w:sz w:val="22"/>
                <w:szCs w:val="22"/>
              </w:rPr>
              <w:t>Dozorný orgán</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 </w:t>
            </w:r>
          </w:p>
        </w:tc>
        <w:tc>
          <w:tcPr>
            <w:tcW w:w="17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r>
              <w:rPr>
                <w:rFonts w:ascii="Arial Narrow" w:hAnsi="Arial Narrow" w:cs="Arial Narrow"/>
                <w:sz w:val="22"/>
                <w:szCs w:val="22"/>
              </w:rPr>
              <w:t> </w:t>
            </w:r>
          </w:p>
        </w:tc>
      </w:tr>
      <w:tr w:rsidR="00ED2FFB">
        <w:trPr>
          <w:trHeight w:val="161"/>
        </w:trPr>
        <w:tc>
          <w:tcPr>
            <w:tcW w:w="6312" w:type="dxa"/>
            <w:tcBorders>
              <w:top w:val="single" w:sz="4" w:space="0" w:color="000000"/>
              <w:left w:val="single" w:sz="4" w:space="0" w:color="000000"/>
              <w:bottom w:val="single" w:sz="4" w:space="0" w:color="000000"/>
            </w:tcBorders>
            <w:shd w:val="clear" w:color="auto" w:fill="auto"/>
            <w:vAlign w:val="center"/>
          </w:tcPr>
          <w:p w:rsidR="00ED2FFB" w:rsidRDefault="00ED2FFB">
            <w:pPr>
              <w:numPr>
                <w:ilvl w:val="0"/>
                <w:numId w:val="5"/>
              </w:numPr>
              <w:rPr>
                <w:rFonts w:ascii="Arial Narrow" w:hAnsi="Arial Narrow" w:cs="Arial Narrow"/>
                <w:sz w:val="22"/>
                <w:szCs w:val="22"/>
              </w:rPr>
            </w:pPr>
            <w:r>
              <w:rPr>
                <w:rFonts w:ascii="Arial Narrow" w:hAnsi="Arial Narrow" w:cs="Arial Narrow"/>
                <w:sz w:val="22"/>
                <w:szCs w:val="22"/>
              </w:rPr>
              <w:t>druh príjmu (výhody):</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c>
          <w:tcPr>
            <w:tcW w:w="17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r>
      <w:tr w:rsidR="00ED2FFB">
        <w:trPr>
          <w:trHeight w:val="161"/>
        </w:trPr>
        <w:tc>
          <w:tcPr>
            <w:tcW w:w="6312"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b/>
                <w:sz w:val="22"/>
                <w:szCs w:val="22"/>
              </w:rPr>
              <w:t>Iný orgán účtovnej jednotky</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c>
          <w:tcPr>
            <w:tcW w:w="17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r>
      <w:tr w:rsidR="00ED2FFB">
        <w:trPr>
          <w:trHeight w:val="161"/>
        </w:trPr>
        <w:tc>
          <w:tcPr>
            <w:tcW w:w="6312" w:type="dxa"/>
            <w:tcBorders>
              <w:top w:val="single" w:sz="4" w:space="0" w:color="000000"/>
              <w:left w:val="single" w:sz="4" w:space="0" w:color="000000"/>
              <w:bottom w:val="single" w:sz="4" w:space="0" w:color="000000"/>
            </w:tcBorders>
            <w:shd w:val="clear" w:color="auto" w:fill="auto"/>
            <w:vAlign w:val="center"/>
          </w:tcPr>
          <w:p w:rsidR="00ED2FFB" w:rsidRDefault="00ED2FFB">
            <w:pPr>
              <w:numPr>
                <w:ilvl w:val="0"/>
                <w:numId w:val="5"/>
              </w:numPr>
              <w:rPr>
                <w:rFonts w:ascii="Arial Narrow" w:hAnsi="Arial Narrow" w:cs="Arial Narrow"/>
                <w:sz w:val="22"/>
                <w:szCs w:val="22"/>
              </w:rPr>
            </w:pPr>
            <w:r>
              <w:rPr>
                <w:rFonts w:ascii="Arial Narrow" w:hAnsi="Arial Narrow" w:cs="Arial Narrow"/>
                <w:sz w:val="22"/>
                <w:szCs w:val="22"/>
              </w:rPr>
              <w:t>druh príjmu (výhody):</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c>
          <w:tcPr>
            <w:tcW w:w="17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r>
    </w:tbl>
    <w:p w:rsidR="00ED2FFB" w:rsidRDefault="00ED2FFB">
      <w:pPr>
        <w:ind w:right="-468"/>
        <w:jc w:val="both"/>
        <w:rPr>
          <w:rFonts w:ascii="Arial Narrow" w:hAnsi="Arial Narrow" w:cs="Arial Narrow"/>
          <w:bCs/>
          <w:sz w:val="22"/>
          <w:szCs w:val="22"/>
        </w:rPr>
      </w:pPr>
    </w:p>
    <w:p w:rsidR="00ED2FFB" w:rsidRDefault="00ED2FFB">
      <w:pPr>
        <w:ind w:right="-468"/>
        <w:jc w:val="both"/>
        <w:rPr>
          <w:rFonts w:ascii="Arial Narrow" w:hAnsi="Arial Narrow" w:cs="Arial Narrow"/>
          <w:sz w:val="22"/>
          <w:szCs w:val="22"/>
        </w:rPr>
      </w:pPr>
    </w:p>
    <w:p w:rsidR="00ED2FFB" w:rsidRDefault="00ED2FFB">
      <w:pPr>
        <w:ind w:right="-141"/>
        <w:jc w:val="center"/>
        <w:rPr>
          <w:rFonts w:ascii="Arial Narrow" w:hAnsi="Arial Narrow" w:cs="Arial Narrow"/>
          <w:b/>
          <w:bCs/>
          <w:sz w:val="22"/>
          <w:szCs w:val="22"/>
        </w:rPr>
      </w:pPr>
      <w:r>
        <w:rPr>
          <w:rFonts w:ascii="Arial Narrow" w:hAnsi="Arial Narrow" w:cs="Arial Narrow"/>
          <w:b/>
          <w:bCs/>
          <w:sz w:val="22"/>
          <w:szCs w:val="22"/>
          <w:u w:val="single"/>
        </w:rPr>
        <w:t>Článok III – INFORMÁCIE O PRIJATÝCH POSTUPOCH</w:t>
      </w:r>
    </w:p>
    <w:p w:rsidR="00ED2FFB" w:rsidRDefault="00ED2FFB">
      <w:pPr>
        <w:ind w:right="-141"/>
        <w:jc w:val="both"/>
        <w:rPr>
          <w:rFonts w:ascii="Arial Narrow" w:hAnsi="Arial Narrow" w:cs="Arial Narrow"/>
          <w:b/>
          <w:bCs/>
          <w:sz w:val="22"/>
          <w:szCs w:val="22"/>
        </w:rPr>
      </w:pPr>
    </w:p>
    <w:p w:rsidR="00ED2FFB" w:rsidRDefault="00ED2FFB">
      <w:pPr>
        <w:numPr>
          <w:ilvl w:val="0"/>
          <w:numId w:val="9"/>
        </w:numPr>
        <w:ind w:left="0" w:right="-141" w:firstLine="0"/>
        <w:jc w:val="both"/>
        <w:rPr>
          <w:rFonts w:ascii="Arial Narrow" w:hAnsi="Arial Narrow" w:cs="Arial Narrow"/>
          <w:sz w:val="22"/>
          <w:szCs w:val="22"/>
        </w:rPr>
      </w:pPr>
      <w:r>
        <w:rPr>
          <w:rFonts w:ascii="Arial Narrow" w:hAnsi="Arial Narrow" w:cs="Arial Narrow"/>
          <w:sz w:val="22"/>
          <w:szCs w:val="22"/>
        </w:rPr>
        <w:t xml:space="preserve">Informácia, či je účtovná závierka zostavená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w:t>
      </w:r>
      <w:proofErr w:type="spellStart"/>
      <w:r>
        <w:rPr>
          <w:rFonts w:ascii="Arial Narrow" w:hAnsi="Arial Narrow" w:cs="Arial Narrow"/>
          <w:sz w:val="22"/>
          <w:szCs w:val="22"/>
        </w:rPr>
        <w:t>závierkovom</w:t>
      </w:r>
      <w:proofErr w:type="spellEnd"/>
      <w:r>
        <w:rPr>
          <w:rFonts w:ascii="Arial Narrow" w:hAnsi="Arial Narrow" w:cs="Arial Narrow"/>
          <w:sz w:val="22"/>
          <w:szCs w:val="22"/>
        </w:rPr>
        <w:t xml:space="preserve"> dni v zmysle § 7 ods. 4 zákona o účtovníctve. Ak by tento predpoklad nebol splnený, uvedie sa aj dopad do účtovnej závierky (napr. zrušenie dlhodobých rezerv):</w:t>
      </w:r>
    </w:p>
    <w:p w:rsidR="00ED2FFB" w:rsidRDefault="00ED2FFB">
      <w:pPr>
        <w:ind w:right="-141"/>
        <w:jc w:val="both"/>
        <w:rPr>
          <w:rFonts w:ascii="Arial Narrow" w:hAnsi="Arial Narrow" w:cs="Arial Narrow"/>
          <w:sz w:val="22"/>
          <w:szCs w:val="22"/>
        </w:rPr>
      </w:pPr>
      <w:r>
        <w:rPr>
          <w:rFonts w:ascii="Arial Narrow" w:hAnsi="Arial Narrow" w:cs="Arial Narrow"/>
          <w:sz w:val="22"/>
          <w:szCs w:val="22"/>
        </w:rPr>
        <w:t>Účtovná závierka bola zostavená za predpokladu nepretržitého trvania Spoločnosti (</w:t>
      </w:r>
      <w:proofErr w:type="spellStart"/>
      <w:r>
        <w:rPr>
          <w:rFonts w:ascii="Arial Narrow" w:hAnsi="Arial Narrow" w:cs="Arial Narrow"/>
          <w:sz w:val="22"/>
          <w:szCs w:val="22"/>
        </w:rPr>
        <w:t>going</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concern</w:t>
      </w:r>
      <w:proofErr w:type="spellEnd"/>
      <w:r>
        <w:rPr>
          <w:rFonts w:ascii="Arial Narrow" w:hAnsi="Arial Narrow" w:cs="Arial Narrow"/>
          <w:sz w:val="22"/>
          <w:szCs w:val="22"/>
        </w:rPr>
        <w:t>).</w:t>
      </w:r>
    </w:p>
    <w:p w:rsidR="00ED2FFB" w:rsidRDefault="00ED2FFB">
      <w:pPr>
        <w:ind w:right="-141"/>
        <w:jc w:val="both"/>
        <w:rPr>
          <w:rFonts w:ascii="Arial Narrow" w:hAnsi="Arial Narrow" w:cs="Arial Narrow"/>
          <w:sz w:val="22"/>
          <w:szCs w:val="22"/>
        </w:rPr>
      </w:pPr>
      <w:r>
        <w:rPr>
          <w:rFonts w:ascii="Arial Narrow" w:hAnsi="Arial Narrow" w:cs="Arial Narrow"/>
          <w:sz w:val="22"/>
          <w:szCs w:val="22"/>
        </w:rPr>
        <w:t xml:space="preserve"> </w:t>
      </w:r>
    </w:p>
    <w:p w:rsidR="00ED2FFB" w:rsidRDefault="00ED2FFB">
      <w:pPr>
        <w:ind w:right="-141"/>
        <w:jc w:val="both"/>
        <w:rPr>
          <w:rFonts w:ascii="Arial Narrow" w:hAnsi="Arial Narrow" w:cs="Arial Narrow"/>
          <w:sz w:val="22"/>
          <w:szCs w:val="22"/>
        </w:rPr>
      </w:pPr>
    </w:p>
    <w:p w:rsidR="00ED2FFB" w:rsidRDefault="00ED2FFB">
      <w:pPr>
        <w:numPr>
          <w:ilvl w:val="0"/>
          <w:numId w:val="10"/>
        </w:numPr>
        <w:ind w:left="0" w:right="-141" w:firstLine="0"/>
        <w:jc w:val="both"/>
        <w:rPr>
          <w:rFonts w:ascii="Arial Narrow" w:hAnsi="Arial Narrow" w:cs="Arial Narrow"/>
          <w:sz w:val="22"/>
          <w:szCs w:val="22"/>
        </w:rPr>
      </w:pPr>
      <w:r>
        <w:rPr>
          <w:rFonts w:ascii="Arial Narrow" w:hAnsi="Arial Narrow" w:cs="Arial Narrow"/>
          <w:sz w:val="22"/>
          <w:szCs w:val="22"/>
        </w:rPr>
        <w:t xml:space="preserve">Informácia o aplikácii účtovných zásad a účtovných metód, ktoré sú dôležité na posúdenie majetku, záväzkov, finančnej situácie a výsledku hospodárenia. Informácia </w:t>
      </w:r>
      <w:r>
        <w:rPr>
          <w:rFonts w:ascii="Arial Narrow" w:hAnsi="Arial Narrow" w:cs="Arial Narrow"/>
          <w:b/>
          <w:sz w:val="22"/>
          <w:szCs w:val="22"/>
        </w:rPr>
        <w:t>o zmenách účtovných zásad a zmenách účtovných metód</w:t>
      </w:r>
      <w:r>
        <w:rPr>
          <w:rFonts w:ascii="Arial Narrow" w:hAnsi="Arial Narrow" w:cs="Arial Narrow"/>
          <w:sz w:val="22"/>
          <w:szCs w:val="22"/>
        </w:rPr>
        <w:t xml:space="preserve">, a to s uvedením </w:t>
      </w:r>
      <w:r>
        <w:rPr>
          <w:rFonts w:ascii="Arial Narrow" w:hAnsi="Arial Narrow" w:cs="Arial Narrow"/>
          <w:sz w:val="22"/>
          <w:szCs w:val="22"/>
          <w:u w:val="single"/>
        </w:rPr>
        <w:t>dôvodu</w:t>
      </w:r>
      <w:r>
        <w:rPr>
          <w:rFonts w:ascii="Arial Narrow" w:hAnsi="Arial Narrow" w:cs="Arial Narrow"/>
          <w:sz w:val="22"/>
          <w:szCs w:val="22"/>
        </w:rPr>
        <w:t xml:space="preserve"> ich uplatnenia a ich </w:t>
      </w:r>
      <w:r>
        <w:rPr>
          <w:rFonts w:ascii="Arial Narrow" w:hAnsi="Arial Narrow" w:cs="Arial Narrow"/>
          <w:sz w:val="22"/>
          <w:szCs w:val="22"/>
          <w:u w:val="single"/>
        </w:rPr>
        <w:t>vplyvu na hodnotu</w:t>
      </w:r>
      <w:r>
        <w:rPr>
          <w:rFonts w:ascii="Arial Narrow" w:hAnsi="Arial Narrow" w:cs="Arial Narrow"/>
          <w:sz w:val="22"/>
          <w:szCs w:val="22"/>
        </w:rPr>
        <w:t xml:space="preserve"> majetku, záväzkov, vlastného imania a výsledku hospodárenia. Ak v dôsledku zmeny účtovných zásad a účtovných metód nie sú hodnoty za bezprostredne predchádzajúce účtovné obdobie v jednotlivých súčastiach účtovnej závierky porovnateľné, uvádza sa vysvetlenie v neporovnateľných hodnotách:</w:t>
      </w:r>
    </w:p>
    <w:p w:rsidR="00ED2FFB" w:rsidRDefault="00ED2FFB">
      <w:pPr>
        <w:ind w:right="-141"/>
        <w:jc w:val="both"/>
        <w:rPr>
          <w:rFonts w:ascii="Arial Narrow" w:hAnsi="Arial Narrow" w:cs="Arial Narrow"/>
          <w:sz w:val="22"/>
          <w:szCs w:val="22"/>
        </w:rPr>
      </w:pPr>
      <w:r>
        <w:rPr>
          <w:rFonts w:ascii="Arial Narrow" w:hAnsi="Arial Narrow" w:cs="Arial Narrow"/>
          <w:sz w:val="22"/>
          <w:szCs w:val="22"/>
        </w:rPr>
        <w:t>Účtovné metódy a všeobecné účtovné zásady boli účtovnou jednotkou konzistentne aplikované</w:t>
      </w:r>
    </w:p>
    <w:p w:rsidR="00ED2FFB" w:rsidRDefault="00ED2FFB">
      <w:pPr>
        <w:ind w:right="-141"/>
        <w:jc w:val="both"/>
        <w:rPr>
          <w:rFonts w:ascii="Arial Narrow" w:hAnsi="Arial Narrow" w:cs="Arial Narrow"/>
          <w:sz w:val="22"/>
          <w:szCs w:val="22"/>
        </w:rPr>
      </w:pPr>
    </w:p>
    <w:p w:rsidR="00ED2FFB" w:rsidRDefault="00ED2FFB">
      <w:pPr>
        <w:ind w:right="-141"/>
        <w:jc w:val="both"/>
        <w:rPr>
          <w:rFonts w:ascii="Arial Narrow" w:hAnsi="Arial Narrow" w:cs="Arial Narrow"/>
          <w:sz w:val="22"/>
          <w:szCs w:val="22"/>
        </w:rPr>
      </w:pPr>
      <w:r>
        <w:rPr>
          <w:rFonts w:ascii="Arial Narrow" w:hAnsi="Arial Narrow" w:cs="Arial Narrow"/>
          <w:sz w:val="22"/>
          <w:szCs w:val="22"/>
        </w:rPr>
        <w:lastRenderedPageBreak/>
        <w:t xml:space="preserve">3) Informácie o charaktere a účele </w:t>
      </w:r>
      <w:r>
        <w:rPr>
          <w:rFonts w:ascii="Arial Narrow" w:hAnsi="Arial Narrow" w:cs="Arial Narrow"/>
          <w:b/>
          <w:sz w:val="22"/>
          <w:szCs w:val="22"/>
        </w:rPr>
        <w:t>transakcií, ktoré sa neuvádzajú v súvahe</w:t>
      </w:r>
      <w:r>
        <w:rPr>
          <w:rFonts w:ascii="Arial Narrow" w:hAnsi="Arial Narrow" w:cs="Arial Narrow"/>
          <w:sz w:val="22"/>
          <w:szCs w:val="22"/>
        </w:rPr>
        <w:t xml:space="preserve">, pričom sa uvádza finančný vplyv týchto transakcií na účtovnú jednotku, ak sú </w:t>
      </w:r>
      <w:r>
        <w:rPr>
          <w:rFonts w:ascii="Arial Narrow" w:hAnsi="Arial Narrow" w:cs="Arial Narrow"/>
          <w:sz w:val="22"/>
          <w:szCs w:val="22"/>
          <w:u w:val="single"/>
        </w:rPr>
        <w:t>riziká alebo prínosy</w:t>
      </w:r>
      <w:r>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časovo limitované licencie a oprávnenia, podnikové kombinácie, záväzky investovať, dopad legislatívy, celkový pokles v hospodárskom segmente):    </w:t>
      </w:r>
    </w:p>
    <w:p w:rsidR="00ED2FFB" w:rsidRDefault="00ED2FFB">
      <w:pPr>
        <w:ind w:right="-141"/>
        <w:jc w:val="both"/>
        <w:rPr>
          <w:rFonts w:ascii="Arial Narrow" w:hAnsi="Arial Narrow" w:cs="Arial Narrow"/>
          <w:sz w:val="22"/>
          <w:szCs w:val="22"/>
        </w:rPr>
      </w:pPr>
    </w:p>
    <w:p w:rsidR="00ED2FFB" w:rsidRDefault="00ED2FFB">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rsidR="00ED2FFB" w:rsidRDefault="00ED2FFB">
      <w:pPr>
        <w:ind w:right="-141"/>
        <w:jc w:val="both"/>
        <w:rPr>
          <w:rFonts w:ascii="Arial" w:hAnsi="Arial" w:cs="Arial"/>
          <w:sz w:val="22"/>
          <w:szCs w:val="22"/>
        </w:rPr>
      </w:pPr>
      <w:r>
        <w:rPr>
          <w:rFonts w:ascii="Arial Narrow" w:hAnsi="Arial Narrow" w:cs="Arial Narrow"/>
          <w:sz w:val="22"/>
          <w:szCs w:val="22"/>
        </w:rPr>
        <w:t xml:space="preserve">a) Spôsob oceňovania majetku a záväzkov (§ 25 </w:t>
      </w:r>
      <w:proofErr w:type="spellStart"/>
      <w:r>
        <w:rPr>
          <w:rFonts w:ascii="Arial Narrow" w:hAnsi="Arial Narrow" w:cs="Arial Narrow"/>
          <w:sz w:val="22"/>
          <w:szCs w:val="22"/>
        </w:rPr>
        <w:t>ZoU</w:t>
      </w:r>
      <w:proofErr w:type="spellEnd"/>
      <w:r>
        <w:rPr>
          <w:rFonts w:ascii="Arial Narrow" w:hAnsi="Arial Narrow" w:cs="Arial Narrow"/>
          <w:sz w:val="22"/>
          <w:szCs w:val="22"/>
        </w:rPr>
        <w:t>):</w:t>
      </w:r>
    </w:p>
    <w:p w:rsidR="00ED2FFB" w:rsidRDefault="00ED2FFB">
      <w:pPr>
        <w:pStyle w:val="Zkladntext"/>
        <w:tabs>
          <w:tab w:val="left" w:pos="808"/>
        </w:tabs>
        <w:ind w:left="0" w:firstLine="0"/>
        <w:jc w:val="both"/>
        <w:rPr>
          <w:rFonts w:ascii="Arial" w:hAnsi="Arial" w:cs="Arial"/>
          <w:sz w:val="22"/>
          <w:szCs w:val="22"/>
        </w:rPr>
      </w:pPr>
    </w:p>
    <w:tbl>
      <w:tblPr>
        <w:tblW w:w="9616" w:type="dxa"/>
        <w:tblInd w:w="-5" w:type="dxa"/>
        <w:tblLayout w:type="fixed"/>
        <w:tblLook w:val="0000" w:firstRow="0" w:lastRow="0" w:firstColumn="0" w:lastColumn="0" w:noHBand="0" w:noVBand="0"/>
      </w:tblPr>
      <w:tblGrid>
        <w:gridCol w:w="706"/>
        <w:gridCol w:w="5300"/>
        <w:gridCol w:w="3610"/>
      </w:tblGrid>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center"/>
            </w:pPr>
            <w:r>
              <w:rPr>
                <w:rFonts w:ascii="Arial Narrow" w:hAnsi="Arial Narrow" w:cs="Arial"/>
                <w:b/>
                <w:sz w:val="22"/>
                <w:szCs w:val="22"/>
                <w:lang w:val="sk-SK"/>
              </w:rPr>
              <w:t>Spôsob oceňovania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Obstarávacia cena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Spoločnosť takýto majetok neeviduje</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Spoločnosť takýto majetok neeviduje</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rPr>
            </w:pPr>
            <w:r>
              <w:rPr>
                <w:rFonts w:ascii="Arial Narrow" w:hAnsi="Arial Narrow" w:cs="Arial"/>
                <w:sz w:val="22"/>
                <w:szCs w:val="22"/>
                <w:lang w:val="sk-SK"/>
              </w:rPr>
              <w:t>4.</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F2663F">
            <w:pPr>
              <w:pStyle w:val="Zkladntext"/>
              <w:tabs>
                <w:tab w:val="left" w:pos="808"/>
              </w:tabs>
              <w:ind w:left="0" w:firstLine="0"/>
              <w:jc w:val="both"/>
            </w:pPr>
            <w:r>
              <w:rPr>
                <w:rFonts w:ascii="Arial Narrow" w:hAnsi="Arial Narrow" w:cs="Arial"/>
                <w:sz w:val="22"/>
                <w:szCs w:val="22"/>
                <w:lang w:val="sk-SK"/>
              </w:rPr>
              <w:t>Obstarávacia cena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Spoločnosť takýto majetok neeviduje</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Spoločnosť takýto majetok neeviduje</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rPr>
            </w:pPr>
            <w:r>
              <w:rPr>
                <w:rFonts w:ascii="Arial Narrow" w:hAnsi="Arial Narrow" w:cs="Arial"/>
                <w:sz w:val="22"/>
                <w:szCs w:val="22"/>
                <w:lang w:val="sk-SK"/>
              </w:rPr>
              <w:t>7.</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Obstarávacia cena</w:t>
            </w:r>
            <w:r w:rsidR="00F2663F">
              <w:rPr>
                <w:rFonts w:ascii="Arial Narrow" w:hAnsi="Arial Narrow" w:cs="Arial"/>
                <w:sz w:val="22"/>
                <w:szCs w:val="22"/>
                <w:lang w:val="sk-SK"/>
              </w:rPr>
              <w:t xml:space="preserve">                                                                                             </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Obstarávacia cena, spôsob účtovania 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pacing w:val="1"/>
                <w:sz w:val="22"/>
                <w:szCs w:val="22"/>
                <w:lang w:val="sk-SK"/>
              </w:rPr>
            </w:pPr>
            <w:r>
              <w:rPr>
                <w:rFonts w:ascii="Arial Narrow" w:hAnsi="Arial Narrow" w:cs="Arial"/>
                <w:sz w:val="22"/>
                <w:szCs w:val="22"/>
                <w:lang w:val="sk-SK"/>
              </w:rPr>
              <w:t>9.</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Vlastné náklady</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Spoločnosť takýto majetok neeviduje</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D34F73">
            <w:pPr>
              <w:pStyle w:val="Zkladntext"/>
              <w:tabs>
                <w:tab w:val="left" w:pos="808"/>
              </w:tabs>
              <w:ind w:left="0" w:firstLine="0"/>
              <w:jc w:val="both"/>
            </w:pPr>
            <w:r>
              <w:rPr>
                <w:rFonts w:ascii="Arial Narrow" w:hAnsi="Arial Narrow" w:cs="Arial"/>
                <w:sz w:val="22"/>
                <w:szCs w:val="22"/>
                <w:lang w:val="sk-SK"/>
              </w:rPr>
              <w:t>***</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Menovitá hodnota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Obstarávacia cena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Obstarávacia cena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en-AU"/>
              </w:rPr>
            </w:pPr>
            <w:r>
              <w:rPr>
                <w:rFonts w:ascii="Arial Narrow" w:hAnsi="Arial Narrow" w:cs="Arial"/>
                <w:spacing w:val="-1"/>
                <w:sz w:val="22"/>
                <w:szCs w:val="22"/>
                <w:lang w:val="sk-SK"/>
              </w:rPr>
              <w:t>14.</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proofErr w:type="spellStart"/>
            <w:r>
              <w:rPr>
                <w:rFonts w:ascii="Arial Narrow" w:hAnsi="Arial Narrow" w:cs="Arial"/>
                <w:sz w:val="22"/>
                <w:szCs w:val="22"/>
                <w:lang w:val="en-AU"/>
              </w:rPr>
              <w:t>Časové</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rozlíšenie</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na</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strane</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aktív</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súvahy</w:t>
            </w:r>
            <w:proofErr w:type="spellEnd"/>
            <w:r>
              <w:rPr>
                <w:rFonts w:ascii="Arial Narrow" w:hAnsi="Arial Narrow" w:cs="Arial"/>
                <w:sz w:val="22"/>
                <w:szCs w:val="22"/>
                <w:lang w:val="en-AU"/>
              </w:rPr>
              <w:t>:</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Menovitá hodnota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en-AU"/>
              </w:rPr>
            </w:pPr>
            <w:r>
              <w:rPr>
                <w:rFonts w:ascii="Arial Narrow" w:hAnsi="Arial Narrow" w:cs="Arial"/>
                <w:sz w:val="22"/>
                <w:szCs w:val="22"/>
                <w:lang w:val="sk-SK"/>
              </w:rPr>
              <w:t>15.</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proofErr w:type="spellStart"/>
            <w:r>
              <w:rPr>
                <w:rFonts w:ascii="Arial Narrow" w:hAnsi="Arial Narrow" w:cs="Arial"/>
                <w:sz w:val="22"/>
                <w:szCs w:val="22"/>
                <w:lang w:val="en-AU"/>
              </w:rPr>
              <w:t>Záväzky</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vrátane</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rezerv</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dlhopisov</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pôžičiek</w:t>
            </w:r>
            <w:proofErr w:type="spellEnd"/>
            <w:r>
              <w:rPr>
                <w:rFonts w:ascii="Arial Narrow" w:hAnsi="Arial Narrow" w:cs="Arial"/>
                <w:sz w:val="22"/>
                <w:szCs w:val="22"/>
                <w:lang w:val="en-AU"/>
              </w:rPr>
              <w:t xml:space="preserve"> a </w:t>
            </w:r>
            <w:proofErr w:type="spellStart"/>
            <w:r>
              <w:rPr>
                <w:rFonts w:ascii="Arial Narrow" w:hAnsi="Arial Narrow" w:cs="Arial"/>
                <w:sz w:val="22"/>
                <w:szCs w:val="22"/>
                <w:lang w:val="en-AU"/>
              </w:rPr>
              <w:t>úverov</w:t>
            </w:r>
            <w:proofErr w:type="spellEnd"/>
            <w:r>
              <w:rPr>
                <w:rFonts w:ascii="Arial Narrow" w:hAnsi="Arial Narrow" w:cs="Arial"/>
                <w:sz w:val="22"/>
                <w:szCs w:val="22"/>
                <w:lang w:val="en-AU"/>
              </w:rPr>
              <w:t>:</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Menovitá hodnota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en-AU"/>
              </w:rPr>
            </w:pPr>
            <w:r>
              <w:rPr>
                <w:rFonts w:ascii="Arial Narrow" w:hAnsi="Arial Narrow" w:cs="Arial"/>
                <w:sz w:val="22"/>
                <w:szCs w:val="22"/>
                <w:lang w:val="sk-SK"/>
              </w:rPr>
              <w:t>16.</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proofErr w:type="spellStart"/>
            <w:r>
              <w:rPr>
                <w:rFonts w:ascii="Arial Narrow" w:hAnsi="Arial Narrow" w:cs="Arial"/>
                <w:sz w:val="22"/>
                <w:szCs w:val="22"/>
                <w:lang w:val="en-AU"/>
              </w:rPr>
              <w:t>Časové</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rozlíšenie</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na</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strane</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pasív</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súvahy</w:t>
            </w:r>
            <w:proofErr w:type="spellEnd"/>
            <w:r>
              <w:rPr>
                <w:rFonts w:ascii="Arial Narrow" w:hAnsi="Arial Narrow" w:cs="Arial"/>
                <w:sz w:val="22"/>
                <w:szCs w:val="22"/>
                <w:lang w:val="en-AU"/>
              </w:rPr>
              <w:t>:</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Menovitá hodnota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en-AU"/>
              </w:rPr>
            </w:pPr>
            <w:r>
              <w:rPr>
                <w:rFonts w:ascii="Arial Narrow" w:hAnsi="Arial Narrow" w:cs="Arial"/>
                <w:sz w:val="22"/>
                <w:szCs w:val="22"/>
                <w:lang w:val="sk-SK"/>
              </w:rPr>
              <w:t>17.</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sk-SK"/>
              </w:rPr>
            </w:pPr>
            <w:proofErr w:type="spellStart"/>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roofErr w:type="spellEnd"/>
            <w:r>
              <w:rPr>
                <w:rFonts w:ascii="Arial Narrow" w:hAnsi="Arial Narrow" w:cs="Arial"/>
                <w:sz w:val="22"/>
                <w:szCs w:val="22"/>
                <w:lang w:val="en-AU"/>
              </w:rPr>
              <w:t>:</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Menovitá hodnota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en-AU"/>
              </w:rPr>
            </w:pPr>
            <w:r>
              <w:rPr>
                <w:rFonts w:ascii="Arial Narrow" w:hAnsi="Arial Narrow" w:cs="Arial"/>
                <w:spacing w:val="-1"/>
                <w:sz w:val="22"/>
                <w:szCs w:val="22"/>
                <w:lang w:val="sk-SK"/>
              </w:rPr>
              <w:t>18.</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proofErr w:type="spellStart"/>
            <w:r>
              <w:rPr>
                <w:rFonts w:ascii="Arial Narrow" w:hAnsi="Arial Narrow" w:cs="Arial"/>
                <w:sz w:val="22"/>
                <w:szCs w:val="22"/>
                <w:lang w:val="en-AU"/>
              </w:rPr>
              <w:t>Majetok</w:t>
            </w:r>
            <w:proofErr w:type="spellEnd"/>
            <w:r>
              <w:rPr>
                <w:rFonts w:ascii="Arial Narrow" w:hAnsi="Arial Narrow" w:cs="Arial"/>
                <w:sz w:val="22"/>
                <w:szCs w:val="22"/>
                <w:lang w:val="en-AU"/>
              </w:rPr>
              <w:t xml:space="preserve"> a </w:t>
            </w:r>
            <w:proofErr w:type="spellStart"/>
            <w:r>
              <w:rPr>
                <w:rFonts w:ascii="Arial Narrow" w:hAnsi="Arial Narrow" w:cs="Arial"/>
                <w:sz w:val="22"/>
                <w:szCs w:val="22"/>
                <w:lang w:val="en-AU"/>
              </w:rPr>
              <w:t>záväzky</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zabezpečené</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derivátmi</w:t>
            </w:r>
            <w:proofErr w:type="spellEnd"/>
            <w:r>
              <w:rPr>
                <w:rFonts w:ascii="Arial Narrow" w:hAnsi="Arial Narrow" w:cs="Arial"/>
                <w:sz w:val="22"/>
                <w:szCs w:val="22"/>
                <w:lang w:val="en-AU"/>
              </w:rPr>
              <w:t xml:space="preserve">: </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Menovitá hodnota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en-AU"/>
              </w:rPr>
            </w:pPr>
            <w:r>
              <w:rPr>
                <w:rFonts w:ascii="Arial Narrow" w:hAnsi="Arial Narrow" w:cs="Arial"/>
                <w:sz w:val="22"/>
                <w:szCs w:val="22"/>
                <w:lang w:val="sk-SK"/>
              </w:rPr>
              <w:t>19.</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proofErr w:type="spellStart"/>
            <w:r>
              <w:rPr>
                <w:rFonts w:ascii="Arial Narrow" w:hAnsi="Arial Narrow" w:cs="Arial"/>
                <w:sz w:val="22"/>
                <w:szCs w:val="22"/>
                <w:lang w:val="en-AU"/>
              </w:rPr>
              <w:t>Prenajatý</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majetok</w:t>
            </w:r>
            <w:proofErr w:type="spellEnd"/>
            <w:r>
              <w:rPr>
                <w:rFonts w:ascii="Arial Narrow" w:hAnsi="Arial Narrow" w:cs="Arial"/>
                <w:sz w:val="22"/>
                <w:szCs w:val="22"/>
                <w:lang w:val="en-AU"/>
              </w:rPr>
              <w:t xml:space="preserve"> a </w:t>
            </w:r>
            <w:proofErr w:type="spellStart"/>
            <w:r>
              <w:rPr>
                <w:rFonts w:ascii="Arial Narrow" w:hAnsi="Arial Narrow" w:cs="Arial"/>
                <w:sz w:val="22"/>
                <w:szCs w:val="22"/>
                <w:lang w:val="en-AU"/>
              </w:rPr>
              <w:t>majetok</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obstaraný</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na</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základe</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zmluvy</w:t>
            </w:r>
            <w:proofErr w:type="spellEnd"/>
            <w:r>
              <w:rPr>
                <w:rFonts w:ascii="Arial Narrow" w:hAnsi="Arial Narrow" w:cs="Arial"/>
                <w:sz w:val="22"/>
                <w:szCs w:val="22"/>
                <w:lang w:val="en-AU"/>
              </w:rPr>
              <w:t xml:space="preserve"> o </w:t>
            </w:r>
            <w:proofErr w:type="spellStart"/>
            <w:r>
              <w:rPr>
                <w:rFonts w:ascii="Arial Narrow" w:hAnsi="Arial Narrow" w:cs="Arial"/>
                <w:sz w:val="22"/>
                <w:szCs w:val="22"/>
                <w:lang w:val="en-AU"/>
              </w:rPr>
              <w:t>kúpe</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prenajatej</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veci</w:t>
            </w:r>
            <w:proofErr w:type="spellEnd"/>
            <w:r>
              <w:rPr>
                <w:rFonts w:ascii="Arial Narrow" w:hAnsi="Arial Narrow" w:cs="Arial"/>
                <w:sz w:val="22"/>
                <w:szCs w:val="22"/>
                <w:lang w:val="en-AU"/>
              </w:rPr>
              <w:t>:</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pStyle w:val="Zkladntext"/>
              <w:tabs>
                <w:tab w:val="left" w:pos="808"/>
              </w:tabs>
              <w:ind w:left="0" w:firstLine="0"/>
              <w:jc w:val="both"/>
            </w:pPr>
            <w:r>
              <w:rPr>
                <w:rFonts w:ascii="Arial Narrow" w:hAnsi="Arial Narrow" w:cs="Arial"/>
                <w:sz w:val="22"/>
                <w:szCs w:val="22"/>
                <w:lang w:val="sk-SK"/>
              </w:rPr>
              <w:t>Obstarávacia cena</w:t>
            </w:r>
          </w:p>
        </w:tc>
      </w:tr>
      <w:tr w:rsidR="00ED2FFB" w:rsidTr="00DA670E">
        <w:tc>
          <w:tcPr>
            <w:tcW w:w="706" w:type="dxa"/>
            <w:tcBorders>
              <w:top w:val="single" w:sz="4" w:space="0" w:color="000000"/>
              <w:left w:val="single" w:sz="4" w:space="0" w:color="000000"/>
              <w:bottom w:val="single" w:sz="4" w:space="0" w:color="000000"/>
            </w:tcBorders>
            <w:shd w:val="clear" w:color="auto" w:fill="auto"/>
          </w:tcPr>
          <w:p w:rsidR="00ED2FFB" w:rsidRDefault="00ED2FFB">
            <w:pPr>
              <w:pStyle w:val="Zkladntext"/>
              <w:tabs>
                <w:tab w:val="left" w:pos="808"/>
              </w:tabs>
              <w:ind w:left="0" w:firstLine="0"/>
              <w:jc w:val="both"/>
              <w:rPr>
                <w:rFonts w:ascii="Arial Narrow" w:hAnsi="Arial Narrow" w:cs="Arial"/>
                <w:sz w:val="22"/>
                <w:szCs w:val="22"/>
                <w:lang w:val="en-AU"/>
              </w:rPr>
            </w:pPr>
            <w:r>
              <w:rPr>
                <w:rFonts w:ascii="Arial Narrow" w:hAnsi="Arial Narrow" w:cs="Arial"/>
                <w:sz w:val="22"/>
                <w:szCs w:val="22"/>
                <w:lang w:val="sk-SK"/>
              </w:rPr>
              <w:t>20.</w:t>
            </w:r>
          </w:p>
        </w:tc>
        <w:tc>
          <w:tcPr>
            <w:tcW w:w="5300"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proofErr w:type="spellStart"/>
            <w:r>
              <w:rPr>
                <w:rFonts w:ascii="Arial Narrow" w:hAnsi="Arial Narrow" w:cs="Arial"/>
                <w:sz w:val="22"/>
                <w:szCs w:val="22"/>
                <w:lang w:val="en-AU"/>
              </w:rPr>
              <w:t>Splatná</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daň</w:t>
            </w:r>
            <w:proofErr w:type="spellEnd"/>
            <w:r>
              <w:rPr>
                <w:rFonts w:ascii="Arial Narrow" w:hAnsi="Arial Narrow" w:cs="Arial"/>
                <w:sz w:val="22"/>
                <w:szCs w:val="22"/>
                <w:lang w:val="en-AU"/>
              </w:rPr>
              <w:t xml:space="preserve"> z </w:t>
            </w:r>
            <w:proofErr w:type="spellStart"/>
            <w:r>
              <w:rPr>
                <w:rFonts w:ascii="Arial Narrow" w:hAnsi="Arial Narrow" w:cs="Arial"/>
                <w:sz w:val="22"/>
                <w:szCs w:val="22"/>
                <w:lang w:val="en-AU"/>
              </w:rPr>
              <w:t>príjmov</w:t>
            </w:r>
            <w:proofErr w:type="spellEnd"/>
            <w:r>
              <w:rPr>
                <w:rFonts w:ascii="Arial Narrow" w:hAnsi="Arial Narrow" w:cs="Arial"/>
                <w:sz w:val="22"/>
                <w:szCs w:val="22"/>
                <w:lang w:val="en-AU"/>
              </w:rPr>
              <w:t xml:space="preserve"> a </w:t>
            </w:r>
            <w:proofErr w:type="spellStart"/>
            <w:r>
              <w:rPr>
                <w:rFonts w:ascii="Arial Narrow" w:hAnsi="Arial Narrow" w:cs="Arial"/>
                <w:sz w:val="22"/>
                <w:szCs w:val="22"/>
                <w:lang w:val="en-AU"/>
              </w:rPr>
              <w:t>odložená</w:t>
            </w:r>
            <w:proofErr w:type="spellEnd"/>
            <w:r>
              <w:rPr>
                <w:rFonts w:ascii="Arial Narrow" w:hAnsi="Arial Narrow" w:cs="Arial"/>
                <w:sz w:val="22"/>
                <w:szCs w:val="22"/>
                <w:lang w:val="en-AU"/>
              </w:rPr>
              <w:t xml:space="preserve"> </w:t>
            </w:r>
            <w:proofErr w:type="spellStart"/>
            <w:r>
              <w:rPr>
                <w:rFonts w:ascii="Arial Narrow" w:hAnsi="Arial Narrow" w:cs="Arial"/>
                <w:sz w:val="22"/>
                <w:szCs w:val="22"/>
                <w:lang w:val="en-AU"/>
              </w:rPr>
              <w:t>daň</w:t>
            </w:r>
            <w:proofErr w:type="spellEnd"/>
            <w:r>
              <w:rPr>
                <w:rFonts w:ascii="Arial Narrow" w:hAnsi="Arial Narrow" w:cs="Arial"/>
                <w:sz w:val="22"/>
                <w:szCs w:val="22"/>
                <w:lang w:val="en-AU"/>
              </w:rPr>
              <w:t xml:space="preserve"> z </w:t>
            </w:r>
            <w:proofErr w:type="spellStart"/>
            <w:r>
              <w:rPr>
                <w:rFonts w:ascii="Arial Narrow" w:hAnsi="Arial Narrow" w:cs="Arial"/>
                <w:sz w:val="22"/>
                <w:szCs w:val="22"/>
                <w:lang w:val="en-AU"/>
              </w:rPr>
              <w:t>príjmov</w:t>
            </w:r>
            <w:proofErr w:type="spellEnd"/>
            <w:r>
              <w:rPr>
                <w:rFonts w:ascii="Arial Narrow" w:hAnsi="Arial Narrow" w:cs="Arial"/>
                <w:sz w:val="22"/>
                <w:szCs w:val="22"/>
                <w:lang w:val="en-AU"/>
              </w:rPr>
              <w:t>:</w:t>
            </w:r>
          </w:p>
        </w:tc>
        <w:tc>
          <w:tcPr>
            <w:tcW w:w="3610" w:type="dxa"/>
            <w:tcBorders>
              <w:top w:val="single" w:sz="4" w:space="0" w:color="000000"/>
              <w:left w:val="single" w:sz="4" w:space="0" w:color="000000"/>
              <w:bottom w:val="single" w:sz="4" w:space="0" w:color="000000"/>
              <w:right w:val="single" w:sz="4" w:space="0" w:color="000000"/>
            </w:tcBorders>
            <w:shd w:val="clear" w:color="auto" w:fill="auto"/>
          </w:tcPr>
          <w:p w:rsidR="00ED2FFB" w:rsidRPr="001740BD" w:rsidRDefault="00ED2FFB">
            <w:pPr>
              <w:pStyle w:val="Zkladntext"/>
              <w:tabs>
                <w:tab w:val="left" w:pos="808"/>
              </w:tabs>
              <w:ind w:left="0" w:firstLine="0"/>
              <w:jc w:val="both"/>
              <w:rPr>
                <w:lang w:val="sk-SK"/>
              </w:rPr>
            </w:pPr>
            <w:r>
              <w:rPr>
                <w:rFonts w:ascii="Arial Narrow" w:hAnsi="Arial Narrow" w:cs="Arial"/>
                <w:sz w:val="22"/>
                <w:szCs w:val="22"/>
                <w:lang w:val="sk-SK"/>
              </w:rPr>
              <w:t>Menovitá hodnota o odloženej dani neúčtuje</w:t>
            </w:r>
          </w:p>
        </w:tc>
      </w:tr>
    </w:tbl>
    <w:p w:rsidR="00DA670E" w:rsidRDefault="00D34F73" w:rsidP="00DA670E">
      <w:pPr>
        <w:jc w:val="both"/>
        <w:rPr>
          <w:rFonts w:ascii="Arial Narrow" w:hAnsi="Arial Narrow" w:cs="Arial Narrow"/>
          <w:sz w:val="22"/>
        </w:rPr>
      </w:pPr>
      <w:r>
        <w:rPr>
          <w:rFonts w:ascii="Arial Narrow" w:hAnsi="Arial Narrow" w:cs="Arial Narrow"/>
          <w:sz w:val="22"/>
        </w:rPr>
        <w:t xml:space="preserve">*** 11 </w:t>
      </w:r>
      <w:r w:rsidR="00DA670E">
        <w:rPr>
          <w:rFonts w:ascii="Arial Narrow" w:hAnsi="Arial Narrow" w:cs="Arial Narrow"/>
          <w:sz w:val="22"/>
        </w:rPr>
        <w:t>Spoločnosť účtuje o zákazkovej výrobe a nemá zákazkovú výstavbu nehnuteľnosti určenej na predaj.</w:t>
      </w:r>
    </w:p>
    <w:p w:rsidR="00ED2FFB" w:rsidRDefault="00DA670E" w:rsidP="00DA670E">
      <w:pPr>
        <w:jc w:val="both"/>
        <w:rPr>
          <w:rFonts w:ascii="Arial Narrow" w:hAnsi="Arial Narrow" w:cs="Arial Narrow"/>
          <w:sz w:val="22"/>
          <w:szCs w:val="22"/>
        </w:rPr>
      </w:pPr>
      <w:r w:rsidRPr="00AF63A2">
        <w:rPr>
          <w:rFonts w:ascii="Arial Narrow" w:hAnsi="Arial Narrow" w:cs="Arial Narrow"/>
          <w:sz w:val="22"/>
        </w:rPr>
        <w:t>Spoločnosť účtuje o zákazkovej výrobe podľa metódy stupňa dokončenia zákazk</w:t>
      </w:r>
      <w:r>
        <w:rPr>
          <w:rFonts w:ascii="Arial Narrow" w:hAnsi="Arial Narrow" w:cs="Arial Narrow"/>
          <w:sz w:val="22"/>
        </w:rPr>
        <w:t xml:space="preserve">y. Vypočítava pre každú zákazku </w:t>
      </w:r>
      <w:r w:rsidRPr="00AF63A2">
        <w:rPr>
          <w:rFonts w:ascii="Arial Narrow" w:hAnsi="Arial Narrow" w:cs="Arial Narrow"/>
          <w:sz w:val="22"/>
        </w:rPr>
        <w:t xml:space="preserve">jednotlivo stupeň dokončenia zákazky ako pomer skutočne vynaložených nákladov ku rozpočtovaným nákladom. Takto vypočítané % dokončenosti zákazky použije pre výpočet tržieb podľa stupňa dokončenia zákazky a to tak, že ním násobí rozpočtované tržby. Získanú hodnotu tržieb podľa stupňa dokončenia zákazky porovná so skutočnou fakturáciou tržieb. Rozdiel zaúčtuje ako zníženie / zvýšenie tržieb prostredníctvom účtu 316 </w:t>
      </w: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rsidR="00ED2FFB" w:rsidRDefault="00ED2FFB">
      <w:pPr>
        <w:spacing w:after="120"/>
        <w:jc w:val="both"/>
        <w:rPr>
          <w:rFonts w:ascii="Arial Narrow" w:hAnsi="Arial Narrow" w:cs="Arial Narrow"/>
          <w:sz w:val="22"/>
          <w:szCs w:val="22"/>
          <w:u w:val="single"/>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rsidR="00ED2FFB" w:rsidRDefault="00ED2FFB">
      <w:pPr>
        <w:spacing w:after="120"/>
        <w:jc w:val="both"/>
        <w:rPr>
          <w:rFonts w:ascii="Arial Narrow" w:hAnsi="Arial Narrow" w:cs="Arial Narrow"/>
          <w:sz w:val="22"/>
          <w:szCs w:val="22"/>
          <w:u w:val="single"/>
        </w:rPr>
      </w:pPr>
      <w:r>
        <w:rPr>
          <w:rFonts w:ascii="Arial Narrow" w:hAnsi="Arial Narrow" w:cs="Arial Narrow"/>
          <w:sz w:val="22"/>
          <w:szCs w:val="22"/>
          <w:u w:val="single"/>
        </w:rPr>
        <w:t>Komentár k oceňovaniu majetku a záväzkov</w:t>
      </w:r>
      <w:r>
        <w:rPr>
          <w:rFonts w:ascii="Arial Narrow" w:hAnsi="Arial Narrow" w:cs="Arial Narrow"/>
          <w:sz w:val="22"/>
          <w:szCs w:val="22"/>
        </w:rPr>
        <w:t xml:space="preserve">: </w:t>
      </w:r>
    </w:p>
    <w:p w:rsidR="00ED2FFB" w:rsidRDefault="00ED2FFB">
      <w:pPr>
        <w:numPr>
          <w:ilvl w:val="0"/>
          <w:numId w:val="3"/>
        </w:numPr>
        <w:spacing w:after="120"/>
        <w:ind w:left="227" w:hanging="227"/>
        <w:jc w:val="both"/>
        <w:rPr>
          <w:rFonts w:ascii="Arial Narrow" w:hAnsi="Arial Narrow" w:cs="Arial Narrow"/>
          <w:sz w:val="22"/>
          <w:szCs w:val="22"/>
          <w:u w:val="single"/>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w:t>
      </w:r>
      <w:proofErr w:type="spellStart"/>
      <w:r>
        <w:rPr>
          <w:rFonts w:ascii="Arial Narrow" w:hAnsi="Arial Narrow" w:cs="Arial Narrow"/>
          <w:sz w:val="22"/>
          <w:szCs w:val="22"/>
        </w:rPr>
        <w:t>Z.z</w:t>
      </w:r>
      <w:proofErr w:type="spellEnd"/>
      <w:r>
        <w:rPr>
          <w:rFonts w:ascii="Arial Narrow" w:hAnsi="Arial Narrow" w:cs="Arial Narrow"/>
          <w:sz w:val="22"/>
          <w:szCs w:val="22"/>
        </w:rPr>
        <w:t xml:space="preserve">. o cenných papieroch v znení neskorších predpisov – sú to napr. cenné papiere (akcie, dlhopisy, dočasné listy), deriváty (opcie, </w:t>
      </w:r>
      <w:proofErr w:type="spellStart"/>
      <w:r>
        <w:rPr>
          <w:rFonts w:ascii="Arial Narrow" w:hAnsi="Arial Narrow" w:cs="Arial Narrow"/>
          <w:sz w:val="22"/>
          <w:szCs w:val="22"/>
        </w:rPr>
        <w:t>futures</w:t>
      </w:r>
      <w:proofErr w:type="spellEnd"/>
      <w:r>
        <w:rPr>
          <w:rFonts w:ascii="Arial Narrow" w:hAnsi="Arial Narrow" w:cs="Arial Narrow"/>
          <w:sz w:val="22"/>
          <w:szCs w:val="22"/>
        </w:rPr>
        <w:t>, swapy, forwardy), nástroje peňažného trhu (pokladničné poukážky, vkladové listy).</w:t>
      </w:r>
    </w:p>
    <w:p w:rsidR="00ED2FFB" w:rsidRDefault="00ED2FFB">
      <w:pPr>
        <w:numPr>
          <w:ilvl w:val="0"/>
          <w:numId w:val="3"/>
        </w:numPr>
        <w:spacing w:after="120"/>
        <w:ind w:left="227" w:hanging="227"/>
        <w:jc w:val="both"/>
        <w:rPr>
          <w:rFonts w:ascii="Arial Narrow" w:hAnsi="Arial Narrow" w:cs="Arial Narrow"/>
          <w:sz w:val="22"/>
          <w:szCs w:val="22"/>
          <w:u w:val="single"/>
        </w:rPr>
      </w:pPr>
      <w:r>
        <w:rPr>
          <w:rFonts w:ascii="Arial Narrow" w:hAnsi="Arial Narrow" w:cs="Arial Narrow"/>
          <w:sz w:val="22"/>
          <w:szCs w:val="22"/>
          <w:u w:val="single"/>
        </w:rPr>
        <w:lastRenderedPageBreak/>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rsidR="00ED2FFB" w:rsidRDefault="00ED2FFB">
      <w:pPr>
        <w:numPr>
          <w:ilvl w:val="0"/>
          <w:numId w:val="3"/>
        </w:numPr>
        <w:spacing w:after="120"/>
        <w:ind w:left="227" w:hanging="227"/>
        <w:jc w:val="both"/>
        <w:rPr>
          <w:rFonts w:ascii="Arial Narrow" w:hAnsi="Arial Narrow" w:cs="Arial Narrow"/>
          <w:sz w:val="22"/>
          <w:szCs w:val="22"/>
          <w:u w:val="single"/>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 xml:space="preserve">metódu </w:t>
      </w:r>
      <w:proofErr w:type="spellStart"/>
      <w:r>
        <w:rPr>
          <w:rFonts w:ascii="Arial Narrow" w:hAnsi="Arial Narrow" w:cs="Arial Narrow"/>
          <w:sz w:val="22"/>
          <w:szCs w:val="22"/>
          <w:u w:val="single"/>
        </w:rPr>
        <w:t>odúročenia</w:t>
      </w:r>
      <w:proofErr w:type="spellEnd"/>
      <w:r>
        <w:rPr>
          <w:rFonts w:ascii="Arial Narrow" w:hAnsi="Arial Narrow" w:cs="Arial Narrow"/>
          <w:sz w:val="22"/>
          <w:szCs w:val="22"/>
          <w:u w:val="single"/>
        </w:rPr>
        <w:t xml:space="preserve"> na súčasnú hodnotu</w:t>
      </w:r>
      <w:r>
        <w:rPr>
          <w:rFonts w:ascii="Arial Narrow" w:hAnsi="Arial Narrow" w:cs="Arial Narrow"/>
          <w:sz w:val="22"/>
          <w:szCs w:val="22"/>
        </w:rPr>
        <w:t xml:space="preserve"> (§ 18/8 PU; § 21/6 PU).</w:t>
      </w:r>
    </w:p>
    <w:p w:rsidR="00ED2FFB" w:rsidRDefault="00ED2FFB">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rsidR="00ED2FFB" w:rsidRDefault="00ED2FFB">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w:t>
      </w:r>
      <w:proofErr w:type="spellStart"/>
      <w:r>
        <w:rPr>
          <w:rFonts w:ascii="Arial Narrow" w:hAnsi="Arial Narrow" w:cs="Arial Narrow"/>
          <w:sz w:val="22"/>
          <w:szCs w:val="22"/>
        </w:rPr>
        <w:t>ZoU</w:t>
      </w:r>
      <w:proofErr w:type="spellEnd"/>
      <w:r>
        <w:rPr>
          <w:rFonts w:ascii="Arial Narrow" w:hAnsi="Arial Narrow" w:cs="Arial Narrow"/>
          <w:sz w:val="22"/>
          <w:szCs w:val="22"/>
        </w:rPr>
        <w:t>), ani k </w:t>
      </w:r>
      <w:proofErr w:type="spellStart"/>
      <w:r>
        <w:rPr>
          <w:rFonts w:ascii="Arial Narrow" w:hAnsi="Arial Narrow" w:cs="Arial Narrow"/>
          <w:sz w:val="22"/>
          <w:szCs w:val="22"/>
        </w:rPr>
        <w:t>závierkovému</w:t>
      </w:r>
      <w:proofErr w:type="spellEnd"/>
      <w:r>
        <w:rPr>
          <w:rFonts w:ascii="Arial Narrow" w:hAnsi="Arial Narrow" w:cs="Arial Narrow"/>
          <w:sz w:val="22"/>
          <w:szCs w:val="22"/>
        </w:rPr>
        <w:t xml:space="preserve"> dňu (§ 27 </w:t>
      </w:r>
      <w:proofErr w:type="spellStart"/>
      <w:r>
        <w:rPr>
          <w:rFonts w:ascii="Arial Narrow" w:hAnsi="Arial Narrow" w:cs="Arial Narrow"/>
          <w:sz w:val="22"/>
          <w:szCs w:val="22"/>
        </w:rPr>
        <w:t>ZoU</w:t>
      </w:r>
      <w:proofErr w:type="spellEnd"/>
      <w:r>
        <w:rPr>
          <w:rFonts w:ascii="Arial Narrow" w:hAnsi="Arial Narrow" w:cs="Arial Narrow"/>
          <w:sz w:val="22"/>
          <w:szCs w:val="22"/>
        </w:rPr>
        <w:t xml:space="preserve">)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rsidR="00ED2FFB" w:rsidRDefault="00ED2FFB">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w:t>
      </w:r>
      <w:proofErr w:type="spellStart"/>
      <w:r>
        <w:rPr>
          <w:rFonts w:ascii="Arial Narrow" w:hAnsi="Arial Narrow" w:cs="Arial Narrow"/>
          <w:sz w:val="22"/>
          <w:szCs w:val="22"/>
        </w:rPr>
        <w:t>ZoU</w:t>
      </w:r>
      <w:proofErr w:type="spellEnd"/>
      <w:r>
        <w:rPr>
          <w:rFonts w:ascii="Arial Narrow" w:hAnsi="Arial Narrow" w:cs="Arial Narrow"/>
          <w:sz w:val="22"/>
          <w:szCs w:val="22"/>
        </w:rPr>
        <w:t>; § 22/1 PU).</w:t>
      </w:r>
    </w:p>
    <w:p w:rsidR="00ED2FFB" w:rsidRDefault="00ED2FFB">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w:t>
      </w:r>
      <w:proofErr w:type="spellStart"/>
      <w:r>
        <w:rPr>
          <w:rFonts w:ascii="Arial Narrow" w:hAnsi="Arial Narrow" w:cs="Arial Narrow"/>
          <w:sz w:val="22"/>
          <w:szCs w:val="22"/>
        </w:rPr>
        <w:t>ZoU</w:t>
      </w:r>
      <w:proofErr w:type="spellEnd"/>
      <w:r>
        <w:rPr>
          <w:rFonts w:ascii="Arial Narrow" w:hAnsi="Arial Narrow" w:cs="Arial Narrow"/>
          <w:sz w:val="22"/>
          <w:szCs w:val="22"/>
        </w:rPr>
        <w:t>).</w:t>
      </w:r>
    </w:p>
    <w:p w:rsidR="00ED2FFB" w:rsidRDefault="00ED2FFB">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w:t>
      </w:r>
      <w:proofErr w:type="spellStart"/>
      <w:r>
        <w:rPr>
          <w:rFonts w:ascii="Arial Narrow" w:hAnsi="Arial Narrow" w:cs="Arial Narrow"/>
          <w:sz w:val="22"/>
          <w:szCs w:val="22"/>
        </w:rPr>
        <w:t>ZoU</w:t>
      </w:r>
      <w:proofErr w:type="spellEnd"/>
      <w:r>
        <w:rPr>
          <w:rFonts w:ascii="Arial Narrow" w:hAnsi="Arial Narrow" w:cs="Arial Narrow"/>
          <w:sz w:val="22"/>
          <w:szCs w:val="22"/>
        </w:rPr>
        <w:t>).</w:t>
      </w:r>
      <w:r>
        <w:rPr>
          <w:rFonts w:ascii="Arial Narrow" w:hAnsi="Arial Narrow" w:cs="Arial Narrow"/>
          <w:b/>
          <w:sz w:val="22"/>
          <w:szCs w:val="22"/>
        </w:rPr>
        <w:t xml:space="preserve"> </w:t>
      </w:r>
    </w:p>
    <w:p w:rsidR="00ED2FFB" w:rsidRDefault="00ED2FFB">
      <w:pPr>
        <w:spacing w:after="120"/>
        <w:jc w:val="both"/>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w:t>
      </w:r>
      <w:proofErr w:type="spellStart"/>
      <w:r>
        <w:rPr>
          <w:rFonts w:ascii="Arial Narrow" w:hAnsi="Arial Narrow" w:cs="Arial Narrow"/>
          <w:sz w:val="22"/>
          <w:szCs w:val="22"/>
        </w:rPr>
        <w:t>ZoU</w:t>
      </w:r>
      <w:proofErr w:type="spellEnd"/>
      <w:r>
        <w:rPr>
          <w:rFonts w:ascii="Arial Narrow" w:hAnsi="Arial Narrow" w:cs="Arial Narrow"/>
          <w:sz w:val="22"/>
          <w:szCs w:val="22"/>
        </w:rPr>
        <w:t>).</w:t>
      </w:r>
    </w:p>
    <w:p w:rsidR="00ED2FFB" w:rsidRDefault="00ED2FFB"/>
    <w:p w:rsidR="00ED2FFB" w:rsidRDefault="00ED2FFB">
      <w:pPr>
        <w:pStyle w:val="Nadpis2"/>
        <w:tabs>
          <w:tab w:val="left" w:pos="1005"/>
        </w:tabs>
        <w:jc w:val="both"/>
        <w:rPr>
          <w:rFonts w:ascii="Arial Narrow" w:hAnsi="Arial Narrow" w:cs="Arial"/>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W w:w="0" w:type="auto"/>
        <w:tblInd w:w="-5" w:type="dxa"/>
        <w:tblLayout w:type="fixed"/>
        <w:tblLook w:val="0000" w:firstRow="0" w:lastRow="0" w:firstColumn="0" w:lastColumn="0" w:noHBand="0" w:noVBand="0"/>
      </w:tblPr>
      <w:tblGrid>
        <w:gridCol w:w="4218"/>
        <w:gridCol w:w="1013"/>
        <w:gridCol w:w="2107"/>
        <w:gridCol w:w="2278"/>
      </w:tblGrid>
      <w:tr w:rsidR="00ED2FFB">
        <w:tc>
          <w:tcPr>
            <w:tcW w:w="4218"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b/>
                <w:sz w:val="22"/>
                <w:szCs w:val="22"/>
              </w:rPr>
            </w:pPr>
            <w:r>
              <w:rPr>
                <w:rFonts w:ascii="Arial Narrow" w:hAnsi="Arial Narrow" w:cs="Arial"/>
                <w:b/>
                <w:sz w:val="22"/>
                <w:szCs w:val="22"/>
              </w:rPr>
              <w:t>Dlhodobý hmotný a nehmotný</w:t>
            </w:r>
          </w:p>
          <w:p w:rsidR="00ED2FFB" w:rsidRDefault="00ED2FFB">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b/>
                <w:sz w:val="22"/>
                <w:szCs w:val="22"/>
              </w:rPr>
            </w:pPr>
            <w:r>
              <w:rPr>
                <w:rFonts w:ascii="Arial Narrow" w:hAnsi="Arial Narrow" w:cs="Arial"/>
                <w:b/>
                <w:sz w:val="22"/>
                <w:szCs w:val="22"/>
              </w:rPr>
              <w:t>číslo</w:t>
            </w:r>
          </w:p>
          <w:p w:rsidR="00ED2FFB" w:rsidRDefault="00ED2FFB">
            <w:pPr>
              <w:jc w:val="center"/>
              <w:rPr>
                <w:rFonts w:ascii="Arial Narrow" w:hAnsi="Arial Narrow" w:cs="Arial"/>
                <w:b/>
                <w:sz w:val="22"/>
                <w:szCs w:val="22"/>
              </w:rPr>
            </w:pPr>
            <w:r>
              <w:rPr>
                <w:rFonts w:ascii="Arial Narrow" w:hAnsi="Arial Narrow" w:cs="Arial"/>
                <w:b/>
                <w:sz w:val="22"/>
                <w:szCs w:val="22"/>
              </w:rPr>
              <w:t>účtu</w:t>
            </w:r>
          </w:p>
        </w:tc>
        <w:tc>
          <w:tcPr>
            <w:tcW w:w="2107"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b/>
                <w:sz w:val="22"/>
                <w:szCs w:val="22"/>
              </w:rPr>
            </w:pPr>
            <w:r>
              <w:rPr>
                <w:rFonts w:ascii="Arial Narrow" w:hAnsi="Arial Narrow" w:cs="Arial"/>
                <w:b/>
                <w:sz w:val="22"/>
                <w:szCs w:val="22"/>
              </w:rPr>
              <w:t>doba odpisovania</w:t>
            </w:r>
          </w:p>
          <w:p w:rsidR="00ED2FFB" w:rsidRDefault="00ED2FFB">
            <w:pPr>
              <w:jc w:val="center"/>
              <w:rPr>
                <w:rFonts w:ascii="Arial Narrow" w:hAnsi="Arial Narrow" w:cs="Arial"/>
                <w:b/>
                <w:sz w:val="22"/>
                <w:szCs w:val="22"/>
              </w:rPr>
            </w:pPr>
            <w:r>
              <w:rPr>
                <w:rFonts w:ascii="Arial Narrow" w:hAnsi="Arial Narrow" w:cs="Arial"/>
                <w:b/>
                <w:sz w:val="22"/>
                <w:szCs w:val="22"/>
              </w:rPr>
              <w:t>(počet rokov)</w:t>
            </w:r>
          </w:p>
        </w:tc>
        <w:tc>
          <w:tcPr>
            <w:tcW w:w="2278"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jc w:val="center"/>
              <w:rPr>
                <w:rFonts w:ascii="Arial Narrow" w:hAnsi="Arial Narrow" w:cs="Arial"/>
                <w:b/>
                <w:sz w:val="22"/>
                <w:szCs w:val="22"/>
              </w:rPr>
            </w:pPr>
            <w:r>
              <w:rPr>
                <w:rFonts w:ascii="Arial Narrow" w:hAnsi="Arial Narrow" w:cs="Arial"/>
                <w:b/>
                <w:sz w:val="22"/>
                <w:szCs w:val="22"/>
              </w:rPr>
              <w:t xml:space="preserve">odpisová sadzba </w:t>
            </w:r>
          </w:p>
          <w:p w:rsidR="00ED2FFB" w:rsidRDefault="00ED2FFB">
            <w:pPr>
              <w:jc w:val="center"/>
            </w:pPr>
            <w:r>
              <w:rPr>
                <w:rFonts w:ascii="Arial Narrow" w:hAnsi="Arial Narrow" w:cs="Arial"/>
                <w:b/>
                <w:sz w:val="22"/>
                <w:szCs w:val="22"/>
              </w:rPr>
              <w:t>(%)</w:t>
            </w:r>
          </w:p>
        </w:tc>
      </w:tr>
      <w:tr w:rsidR="00ED2FFB">
        <w:tc>
          <w:tcPr>
            <w:tcW w:w="4218"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r>
              <w:rPr>
                <w:rFonts w:ascii="Arial Narrow" w:hAnsi="Arial Narrow" w:cs="Arial"/>
                <w:sz w:val="22"/>
                <w:szCs w:val="22"/>
              </w:rPr>
              <w:t>Software</w:t>
            </w:r>
          </w:p>
        </w:tc>
        <w:tc>
          <w:tcPr>
            <w:tcW w:w="1013"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r>
              <w:rPr>
                <w:rFonts w:ascii="Arial Narrow" w:hAnsi="Arial Narrow" w:cs="Arial"/>
                <w:sz w:val="22"/>
                <w:szCs w:val="22"/>
              </w:rPr>
              <w:t>013</w:t>
            </w:r>
          </w:p>
        </w:tc>
        <w:tc>
          <w:tcPr>
            <w:tcW w:w="2107"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r>
              <w:rPr>
                <w:rFonts w:ascii="Arial Narrow" w:hAnsi="Arial Narrow" w:cs="Arial"/>
                <w:sz w:val="22"/>
                <w:szCs w:val="22"/>
              </w:rPr>
              <w:t>3</w:t>
            </w:r>
          </w:p>
        </w:tc>
        <w:tc>
          <w:tcPr>
            <w:tcW w:w="2278"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jc w:val="center"/>
            </w:pPr>
            <w:r>
              <w:rPr>
                <w:rFonts w:ascii="Arial Narrow" w:hAnsi="Arial Narrow" w:cs="Arial"/>
                <w:sz w:val="22"/>
                <w:szCs w:val="22"/>
              </w:rPr>
              <w:t>33</w:t>
            </w:r>
          </w:p>
        </w:tc>
      </w:tr>
      <w:tr w:rsidR="00ED2FFB">
        <w:tc>
          <w:tcPr>
            <w:tcW w:w="4218"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r>
              <w:rPr>
                <w:rFonts w:ascii="Arial Narrow" w:hAnsi="Arial Narrow" w:cs="Arial"/>
                <w:sz w:val="22"/>
                <w:szCs w:val="22"/>
              </w:rPr>
              <w:t>Dopravné prostriedky</w:t>
            </w:r>
          </w:p>
        </w:tc>
        <w:tc>
          <w:tcPr>
            <w:tcW w:w="1013"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r>
              <w:rPr>
                <w:rFonts w:ascii="Arial Narrow" w:hAnsi="Arial Narrow" w:cs="Arial"/>
                <w:sz w:val="22"/>
                <w:szCs w:val="22"/>
              </w:rPr>
              <w:t>22</w:t>
            </w:r>
          </w:p>
        </w:tc>
        <w:tc>
          <w:tcPr>
            <w:tcW w:w="2107"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r>
              <w:rPr>
                <w:rFonts w:ascii="Arial Narrow" w:hAnsi="Arial Narrow" w:cs="Arial"/>
                <w:sz w:val="22"/>
                <w:szCs w:val="22"/>
              </w:rPr>
              <w:t>4</w:t>
            </w:r>
          </w:p>
        </w:tc>
        <w:tc>
          <w:tcPr>
            <w:tcW w:w="2278"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jc w:val="center"/>
            </w:pPr>
            <w:r>
              <w:rPr>
                <w:rFonts w:ascii="Arial Narrow" w:hAnsi="Arial Narrow" w:cs="Arial"/>
                <w:sz w:val="22"/>
                <w:szCs w:val="22"/>
              </w:rPr>
              <w:t>25</w:t>
            </w:r>
          </w:p>
        </w:tc>
      </w:tr>
      <w:tr w:rsidR="00ED2FFB">
        <w:tc>
          <w:tcPr>
            <w:tcW w:w="4218"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r>
              <w:rPr>
                <w:rFonts w:ascii="Arial Narrow" w:hAnsi="Arial Narrow" w:cs="Arial"/>
                <w:sz w:val="22"/>
                <w:szCs w:val="22"/>
              </w:rPr>
              <w:t>Drobný dlhodobý hmotný majetok</w:t>
            </w:r>
          </w:p>
        </w:tc>
        <w:tc>
          <w:tcPr>
            <w:tcW w:w="1013"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r>
              <w:rPr>
                <w:rFonts w:ascii="Arial Narrow" w:hAnsi="Arial Narrow" w:cs="Arial"/>
                <w:sz w:val="22"/>
                <w:szCs w:val="22"/>
              </w:rPr>
              <w:t>22</w:t>
            </w:r>
          </w:p>
        </w:tc>
        <w:tc>
          <w:tcPr>
            <w:tcW w:w="2107"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r>
              <w:rPr>
                <w:rFonts w:ascii="Arial Narrow" w:hAnsi="Arial Narrow" w:cs="Arial"/>
                <w:sz w:val="22"/>
                <w:szCs w:val="22"/>
              </w:rPr>
              <w:t>2</w:t>
            </w:r>
          </w:p>
        </w:tc>
        <w:tc>
          <w:tcPr>
            <w:tcW w:w="2278"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jc w:val="center"/>
            </w:pPr>
            <w:r>
              <w:rPr>
                <w:rFonts w:ascii="Arial Narrow" w:hAnsi="Arial Narrow" w:cs="Arial"/>
                <w:sz w:val="22"/>
                <w:szCs w:val="22"/>
              </w:rPr>
              <w:t>50</w:t>
            </w:r>
          </w:p>
        </w:tc>
      </w:tr>
      <w:tr w:rsidR="00ED2FFB">
        <w:tc>
          <w:tcPr>
            <w:tcW w:w="4218" w:type="dxa"/>
            <w:tcBorders>
              <w:top w:val="single" w:sz="4" w:space="0" w:color="000000"/>
              <w:left w:val="single" w:sz="4" w:space="0" w:color="000000"/>
              <w:bottom w:val="single" w:sz="4" w:space="0" w:color="000000"/>
            </w:tcBorders>
            <w:shd w:val="clear" w:color="auto" w:fill="auto"/>
          </w:tcPr>
          <w:p w:rsidR="00ED2FFB" w:rsidRDefault="00ED2FFB">
            <w:pPr>
              <w:jc w:val="both"/>
            </w:pPr>
          </w:p>
        </w:tc>
        <w:tc>
          <w:tcPr>
            <w:tcW w:w="1013"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p>
        </w:tc>
        <w:tc>
          <w:tcPr>
            <w:tcW w:w="2107"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p>
        </w:tc>
        <w:tc>
          <w:tcPr>
            <w:tcW w:w="2278"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jc w:val="center"/>
            </w:pPr>
          </w:p>
        </w:tc>
      </w:tr>
      <w:tr w:rsidR="00ED2FFB">
        <w:tc>
          <w:tcPr>
            <w:tcW w:w="4218"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p>
        </w:tc>
        <w:tc>
          <w:tcPr>
            <w:tcW w:w="1013"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p>
        </w:tc>
        <w:tc>
          <w:tcPr>
            <w:tcW w:w="2107"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p>
        </w:tc>
        <w:tc>
          <w:tcPr>
            <w:tcW w:w="2278"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jc w:val="center"/>
            </w:pPr>
          </w:p>
        </w:tc>
      </w:tr>
      <w:tr w:rsidR="00ED2FFB">
        <w:tc>
          <w:tcPr>
            <w:tcW w:w="4218"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p>
        </w:tc>
        <w:tc>
          <w:tcPr>
            <w:tcW w:w="1013"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p>
        </w:tc>
        <w:tc>
          <w:tcPr>
            <w:tcW w:w="2107"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p>
        </w:tc>
        <w:tc>
          <w:tcPr>
            <w:tcW w:w="2278"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jc w:val="center"/>
            </w:pPr>
          </w:p>
        </w:tc>
      </w:tr>
      <w:tr w:rsidR="00ED2FFB">
        <w:tc>
          <w:tcPr>
            <w:tcW w:w="4218" w:type="dxa"/>
            <w:tcBorders>
              <w:top w:val="single" w:sz="4" w:space="0" w:color="000000"/>
              <w:left w:val="single" w:sz="4" w:space="0" w:color="000000"/>
              <w:bottom w:val="single" w:sz="4" w:space="0" w:color="000000"/>
            </w:tcBorders>
            <w:shd w:val="clear" w:color="auto" w:fill="auto"/>
          </w:tcPr>
          <w:p w:rsidR="00ED2FFB" w:rsidRDefault="00ED2FFB">
            <w:pPr>
              <w:jc w:val="both"/>
              <w:rPr>
                <w:rFonts w:ascii="Arial Narrow" w:hAnsi="Arial Narrow" w:cs="Arial"/>
                <w:sz w:val="22"/>
                <w:szCs w:val="22"/>
              </w:rPr>
            </w:pPr>
          </w:p>
        </w:tc>
        <w:tc>
          <w:tcPr>
            <w:tcW w:w="1013"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p>
        </w:tc>
        <w:tc>
          <w:tcPr>
            <w:tcW w:w="2107" w:type="dxa"/>
            <w:tcBorders>
              <w:top w:val="single" w:sz="4" w:space="0" w:color="000000"/>
              <w:left w:val="single" w:sz="4" w:space="0" w:color="000000"/>
              <w:bottom w:val="single" w:sz="4" w:space="0" w:color="000000"/>
            </w:tcBorders>
            <w:shd w:val="clear" w:color="auto" w:fill="auto"/>
          </w:tcPr>
          <w:p w:rsidR="00ED2FFB" w:rsidRDefault="00ED2FFB">
            <w:pPr>
              <w:jc w:val="center"/>
              <w:rPr>
                <w:rFonts w:ascii="Arial Narrow" w:hAnsi="Arial Narrow" w:cs="Arial"/>
                <w:sz w:val="22"/>
                <w:szCs w:val="22"/>
              </w:rPr>
            </w:pPr>
          </w:p>
        </w:tc>
        <w:tc>
          <w:tcPr>
            <w:tcW w:w="2278"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jc w:val="center"/>
            </w:pPr>
          </w:p>
        </w:tc>
      </w:tr>
    </w:tbl>
    <w:p w:rsidR="00ED2FFB" w:rsidRDefault="00ED2FFB">
      <w:pPr>
        <w:jc w:val="both"/>
        <w:rPr>
          <w:rFonts w:ascii="Arial Narrow" w:hAnsi="Arial Narrow" w:cs="Arial Narrow"/>
          <w:sz w:val="22"/>
          <w:szCs w:val="22"/>
          <w:u w:val="single"/>
        </w:rPr>
      </w:pPr>
      <w:r>
        <w:rPr>
          <w:rFonts w:ascii="Arial Narrow" w:hAnsi="Arial Narrow" w:cs="Arial"/>
          <w:sz w:val="22"/>
          <w:szCs w:val="22"/>
        </w:rPr>
        <w:t xml:space="preserve"> </w:t>
      </w:r>
    </w:p>
    <w:p w:rsidR="00ED2FFB" w:rsidRDefault="00ED2FFB">
      <w:pPr>
        <w:spacing w:after="120"/>
        <w:rPr>
          <w:rFonts w:ascii="Arial Narrow" w:hAnsi="Arial Narrow" w:cs="Arial"/>
          <w:sz w:val="22"/>
          <w:szCs w:val="22"/>
        </w:rPr>
      </w:pPr>
      <w:r>
        <w:rPr>
          <w:rFonts w:ascii="Arial Narrow" w:hAnsi="Arial Narrow" w:cs="Arial Narrow"/>
          <w:sz w:val="22"/>
          <w:szCs w:val="22"/>
          <w:u w:val="single"/>
        </w:rPr>
        <w:t>Komentár k odpisovému plánu</w:t>
      </w:r>
      <w:r>
        <w:rPr>
          <w:rFonts w:ascii="Arial Narrow" w:hAnsi="Arial Narrow" w:cs="Arial Narrow"/>
          <w:sz w:val="22"/>
          <w:szCs w:val="22"/>
        </w:rPr>
        <w:t xml:space="preserve">: </w:t>
      </w:r>
    </w:p>
    <w:p w:rsidR="00ED2FFB" w:rsidRDefault="00ED2FFB">
      <w:pPr>
        <w:numPr>
          <w:ilvl w:val="0"/>
          <w:numId w:val="2"/>
        </w:numPr>
        <w:spacing w:after="120"/>
        <w:ind w:left="227" w:hanging="227"/>
        <w:jc w:val="both"/>
        <w:rPr>
          <w:rFonts w:ascii="Arial Narrow" w:hAnsi="Arial Narrow" w:cs="Arial"/>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rsidR="00ED2FFB" w:rsidRDefault="00ED2FFB">
      <w:pPr>
        <w:numPr>
          <w:ilvl w:val="0"/>
          <w:numId w:val="2"/>
        </w:numPr>
        <w:spacing w:after="120"/>
        <w:ind w:left="227" w:hanging="227"/>
        <w:jc w:val="both"/>
        <w:rPr>
          <w:rFonts w:ascii="Arial Narrow" w:hAnsi="Arial Narrow" w:cs="Arial"/>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Pohoda (taktiež daňové odpisy podľa zákona o dani z príjmov).</w:t>
      </w:r>
    </w:p>
    <w:p w:rsidR="00ED2FFB" w:rsidRDefault="00ED2FFB">
      <w:pPr>
        <w:numPr>
          <w:ilvl w:val="0"/>
          <w:numId w:val="2"/>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rsidR="00ED2FFB" w:rsidRDefault="00ED2FFB">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rsidR="00ED2FFB" w:rsidRDefault="00ED2FFB">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sidR="00F766C9">
        <w:rPr>
          <w:rFonts w:ascii="Arial Narrow" w:hAnsi="Arial Narrow" w:cs="Arial Narrow"/>
          <w:sz w:val="22"/>
          <w:szCs w:val="22"/>
          <w:u w:val="single"/>
        </w:rPr>
        <w:t>ne</w:t>
      </w:r>
      <w:r>
        <w:rPr>
          <w:rFonts w:ascii="Arial Narrow" w:hAnsi="Arial Narrow" w:cs="Arial Narrow"/>
          <w:sz w:val="22"/>
          <w:szCs w:val="22"/>
          <w:u w:val="single"/>
        </w:rPr>
        <w:t>používa kategóriu drobného dlhodobého nehmotného majetku</w:t>
      </w:r>
      <w:r>
        <w:rPr>
          <w:rFonts w:ascii="Arial Narrow" w:hAnsi="Arial Narrow" w:cs="Arial Narrow"/>
          <w:sz w:val="22"/>
          <w:szCs w:val="22"/>
        </w:rPr>
        <w:t xml:space="preserve"> - položky pod 2 400 eur jednotkovej ceny so životnosťou nad jeden rok (§ 13/2 PU).</w:t>
      </w:r>
    </w:p>
    <w:p w:rsidR="00ED2FFB" w:rsidRDefault="00ED2FFB">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používa kategóriu drobného dlhodobého hmotného majetku</w:t>
      </w:r>
      <w:r>
        <w:rPr>
          <w:rFonts w:ascii="Arial Narrow" w:hAnsi="Arial Narrow" w:cs="Arial Narrow"/>
          <w:sz w:val="22"/>
          <w:szCs w:val="22"/>
        </w:rPr>
        <w:t xml:space="preserve"> - položky pod 1 700 eur jednotkovej ceny  nad 500 € jednotkovej ceny so životnosťou nad jeden rok (§ 13/6 PU). Odpisuje 24 mesiacov</w:t>
      </w:r>
    </w:p>
    <w:p w:rsidR="00ED2FFB" w:rsidRDefault="00ED2FFB">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rsidR="00ED2FFB" w:rsidRDefault="00ED2FFB">
      <w:pPr>
        <w:numPr>
          <w:ilvl w:val="0"/>
          <w:numId w:val="2"/>
        </w:numPr>
        <w:spacing w:after="120"/>
        <w:jc w:val="both"/>
        <w:rPr>
          <w:rFonts w:ascii="Arial Narrow" w:hAnsi="Arial Narrow" w:cs="Arial Narrow"/>
          <w:sz w:val="22"/>
          <w:szCs w:val="22"/>
        </w:rPr>
      </w:pPr>
      <w:r>
        <w:rPr>
          <w:rFonts w:ascii="Arial Narrow" w:hAnsi="Arial Narrow" w:cs="Arial Narrow"/>
          <w:sz w:val="22"/>
          <w:szCs w:val="22"/>
        </w:rPr>
        <w:lastRenderedPageBreak/>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rsidR="00ED2FFB" w:rsidRDefault="00ED2FFB">
      <w:pPr>
        <w:spacing w:after="120"/>
        <w:jc w:val="both"/>
        <w:rPr>
          <w:rFonts w:ascii="Arial Narrow" w:hAnsi="Arial Narrow" w:cs="Arial Narrow"/>
          <w:sz w:val="22"/>
          <w:szCs w:val="22"/>
        </w:rPr>
      </w:pPr>
    </w:p>
    <w:p w:rsidR="00ED2FFB" w:rsidRDefault="00ED2FFB">
      <w:pPr>
        <w:pStyle w:val="Nadpis2"/>
        <w:jc w:val="both"/>
        <w:rPr>
          <w:rFonts w:ascii="Arial Narrow" w:hAnsi="Arial Narrow" w:cs="Arial Narrow"/>
          <w:b w:val="0"/>
          <w:bCs w:val="0"/>
          <w:sz w:val="22"/>
          <w:szCs w:val="22"/>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w:t>
      </w:r>
    </w:p>
    <w:p w:rsidR="00ED2FFB" w:rsidRDefault="00ED2FFB">
      <w:pPr>
        <w:pStyle w:val="Nadpis2"/>
        <w:jc w:val="both"/>
        <w:rPr>
          <w:rFonts w:ascii="Arial Narrow" w:hAnsi="Arial Narrow" w:cs="Arial Narrow"/>
          <w:sz w:val="22"/>
          <w:szCs w:val="22"/>
        </w:rPr>
      </w:pPr>
      <w:r>
        <w:rPr>
          <w:rFonts w:ascii="Arial Narrow" w:hAnsi="Arial Narrow" w:cs="Arial Narrow"/>
          <w:b w:val="0"/>
          <w:bCs w:val="0"/>
          <w:sz w:val="22"/>
          <w:szCs w:val="22"/>
        </w:rPr>
        <w:t xml:space="preserve"> ocenenie: Spoločnosti neboli poskytnuté dotácie</w:t>
      </w:r>
    </w:p>
    <w:p w:rsidR="00ED2FFB" w:rsidRDefault="00ED2FFB">
      <w:pPr>
        <w:jc w:val="both"/>
        <w:rPr>
          <w:rFonts w:ascii="Arial Narrow" w:hAnsi="Arial Narrow" w:cs="Arial Narrow"/>
          <w:sz w:val="22"/>
          <w:szCs w:val="22"/>
        </w:rPr>
      </w:pPr>
      <w:r>
        <w:rPr>
          <w:rFonts w:ascii="Arial Narrow" w:hAnsi="Arial Narrow" w:cs="Arial Narrow"/>
          <w:sz w:val="22"/>
          <w:szCs w:val="22"/>
        </w:rPr>
        <w:t>Spoločnosť účtuje o zákazkovej výrobe a nemá zákazkovú výstavbu nehnuteľnosti určenej na predaj.</w:t>
      </w:r>
    </w:p>
    <w:p w:rsidR="00ED2FFB" w:rsidRDefault="00ED2FFB">
      <w:pPr>
        <w:jc w:val="both"/>
        <w:rPr>
          <w:rFonts w:ascii="Arial Narrow" w:hAnsi="Arial Narrow" w:cs="Arial Narrow"/>
          <w:sz w:val="22"/>
          <w:szCs w:val="22"/>
        </w:rPr>
      </w:pPr>
      <w:r>
        <w:rPr>
          <w:rFonts w:ascii="Arial Narrow" w:hAnsi="Arial Narrow" w:cs="Arial Narrow"/>
          <w:sz w:val="22"/>
          <w:szCs w:val="22"/>
        </w:rPr>
        <w:t>Spoločnosť účtuje o zákazkovej výrobe podľa metódy stupňa dokončenia zákazky. Vypočítava pre každú zákazku jednotlivo stupeň dokončenia zákazky ako pomer skutočne vynaložených nákladov ku rozpočtovaným nákladom. Takto vypočítané % dokončenosti zákazky použije pre výpočet tržieb podľa stupňa dokončenia zákazky a to tak, že ním násobí rozpočtované tržby. Získanú hodnotu tržieb podľa stupňa dokončenia zákazky porovná so skutočnou fakturáciou tržieb. Rozdiel zaúčtuje ako zníženie / zvýšenie tržieb prostredníctvom účtu 316 v analytickom členení.</w:t>
      </w:r>
    </w:p>
    <w:p w:rsidR="00ED2FFB" w:rsidRDefault="00ED2FFB">
      <w:pPr>
        <w:jc w:val="both"/>
        <w:rPr>
          <w:rFonts w:ascii="Arial Narrow" w:hAnsi="Arial Narrow" w:cs="Arial Narrow"/>
          <w:iCs/>
          <w:sz w:val="22"/>
          <w:szCs w:val="22"/>
        </w:rPr>
      </w:pPr>
      <w:r>
        <w:rPr>
          <w:rFonts w:ascii="Arial Narrow" w:hAnsi="Arial Narrow" w:cs="Arial Narrow"/>
          <w:sz w:val="22"/>
          <w:szCs w:val="22"/>
        </w:rPr>
        <w:t xml:space="preserve">Spoločnosť vypočíta stupeň dokončenia zákazky jednotlivo pre každú zákazku a následne posúdi a rozhodne pre každú zákazku samostatne zaúčtovanie úpravy tržieb podľa stupňa </w:t>
      </w:r>
      <w:proofErr w:type="spellStart"/>
      <w:r>
        <w:rPr>
          <w:rFonts w:ascii="Arial Narrow" w:hAnsi="Arial Narrow" w:cs="Arial Narrow"/>
          <w:sz w:val="22"/>
          <w:szCs w:val="22"/>
        </w:rPr>
        <w:t>dokončeniai</w:t>
      </w:r>
      <w:proofErr w:type="spellEnd"/>
      <w:r>
        <w:rPr>
          <w:rFonts w:ascii="Arial Narrow" w:hAnsi="Arial Narrow" w:cs="Arial Narrow"/>
          <w:sz w:val="22"/>
          <w:szCs w:val="22"/>
        </w:rPr>
        <w:t xml:space="preserve"> zákazky. </w:t>
      </w:r>
    </w:p>
    <w:p w:rsidR="00ED2FFB" w:rsidRDefault="00ED2FFB">
      <w:pPr>
        <w:rPr>
          <w:rFonts w:ascii="Arial Narrow" w:hAnsi="Arial Narrow" w:cs="Arial Narrow"/>
          <w:sz w:val="22"/>
          <w:szCs w:val="22"/>
        </w:rPr>
      </w:pPr>
      <w:r>
        <w:rPr>
          <w:rFonts w:ascii="Arial Narrow" w:hAnsi="Arial Narrow" w:cs="Arial Narrow"/>
          <w:iCs/>
          <w:sz w:val="22"/>
          <w:szCs w:val="22"/>
        </w:rPr>
        <w:t>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závierky.</w:t>
      </w:r>
    </w:p>
    <w:p w:rsidR="00ED2FFB" w:rsidRDefault="00ED2FFB">
      <w:pPr>
        <w:jc w:val="both"/>
        <w:rPr>
          <w:rFonts w:ascii="Arial Narrow" w:hAnsi="Arial Narrow" w:cs="Arial Narrow"/>
          <w:sz w:val="22"/>
          <w:szCs w:val="22"/>
        </w:rPr>
      </w:pPr>
    </w:p>
    <w:p w:rsidR="00ED2FFB" w:rsidRDefault="00ED2FFB">
      <w:pPr>
        <w:pStyle w:val="Nadpis2"/>
        <w:jc w:val="both"/>
        <w:rPr>
          <w:rFonts w:ascii="Arial Narrow" w:hAnsi="Arial Narrow" w:cs="Arial Narrow"/>
          <w:b w:val="0"/>
          <w:bCs w:val="0"/>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p w:rsidR="00ED2FFB" w:rsidRDefault="00ED2FFB">
      <w:pPr>
        <w:jc w:val="both"/>
      </w:pPr>
      <w:r>
        <w:rPr>
          <w:rFonts w:ascii="Arial Narrow" w:hAnsi="Arial Narrow" w:cs="Arial Narrow"/>
          <w:sz w:val="22"/>
          <w:szCs w:val="22"/>
        </w:rPr>
        <w:t xml:space="preserve">Spoločnosť neúčtovala o </w:t>
      </w:r>
      <w:proofErr w:type="spellStart"/>
      <w:r>
        <w:rPr>
          <w:rFonts w:ascii="Arial Narrow" w:hAnsi="Arial Narrow" w:cs="Arial Narrow"/>
          <w:sz w:val="22"/>
          <w:szCs w:val="22"/>
        </w:rPr>
        <w:t>význanmných</w:t>
      </w:r>
      <w:proofErr w:type="spellEnd"/>
      <w:r>
        <w:rPr>
          <w:rFonts w:ascii="Arial Narrow" w:hAnsi="Arial Narrow" w:cs="Arial Narrow"/>
          <w:sz w:val="22"/>
          <w:szCs w:val="22"/>
        </w:rPr>
        <w:t xml:space="preserve"> opravách minulého obdobia</w:t>
      </w:r>
    </w:p>
    <w:p w:rsidR="00ED2FFB" w:rsidRDefault="00ED2FFB">
      <w:pPr>
        <w:jc w:val="both"/>
      </w:pPr>
    </w:p>
    <w:tbl>
      <w:tblPr>
        <w:tblW w:w="0" w:type="auto"/>
        <w:tblInd w:w="-5" w:type="dxa"/>
        <w:tblLayout w:type="fixed"/>
        <w:tblLook w:val="0000" w:firstRow="0" w:lastRow="0" w:firstColumn="0" w:lastColumn="0" w:noHBand="0" w:noVBand="0"/>
      </w:tblPr>
      <w:tblGrid>
        <w:gridCol w:w="3075"/>
        <w:gridCol w:w="1040"/>
        <w:gridCol w:w="1039"/>
        <w:gridCol w:w="1928"/>
        <w:gridCol w:w="2529"/>
      </w:tblGrid>
      <w:tr w:rsidR="00ED2FFB">
        <w:tc>
          <w:tcPr>
            <w:tcW w:w="3075" w:type="dxa"/>
            <w:tcBorders>
              <w:top w:val="single" w:sz="4" w:space="0" w:color="000000"/>
              <w:left w:val="single" w:sz="4" w:space="0" w:color="000000"/>
              <w:bottom w:val="single" w:sz="4" w:space="0" w:color="000000"/>
            </w:tcBorders>
            <w:shd w:val="clear" w:color="auto" w:fill="auto"/>
          </w:tcPr>
          <w:p w:rsidR="00ED2FFB" w:rsidRDefault="00ED2FFB">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1040" w:type="dxa"/>
            <w:tcBorders>
              <w:top w:val="single" w:sz="4" w:space="0" w:color="000000"/>
              <w:left w:val="single" w:sz="4" w:space="0" w:color="000000"/>
              <w:bottom w:val="single" w:sz="4" w:space="0" w:color="000000"/>
            </w:tcBorders>
            <w:shd w:val="clear" w:color="auto" w:fill="auto"/>
          </w:tcPr>
          <w:p w:rsidR="00ED2FFB" w:rsidRDefault="00ED2FFB">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1039" w:type="dxa"/>
            <w:tcBorders>
              <w:top w:val="single" w:sz="4" w:space="0" w:color="000000"/>
              <w:left w:val="single" w:sz="4" w:space="0" w:color="000000"/>
              <w:bottom w:val="single" w:sz="4" w:space="0" w:color="000000"/>
            </w:tcBorders>
            <w:shd w:val="clear" w:color="auto" w:fill="auto"/>
          </w:tcPr>
          <w:p w:rsidR="00ED2FFB" w:rsidRDefault="00ED2FFB">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928" w:type="dxa"/>
            <w:tcBorders>
              <w:top w:val="single" w:sz="4" w:space="0" w:color="000000"/>
              <w:left w:val="single" w:sz="4" w:space="0" w:color="000000"/>
              <w:bottom w:val="single" w:sz="4" w:space="0" w:color="000000"/>
            </w:tcBorders>
            <w:shd w:val="clear" w:color="auto" w:fill="auto"/>
          </w:tcPr>
          <w:p w:rsidR="00ED2FFB" w:rsidRDefault="00ED2FFB">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2529"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spacing w:after="120"/>
              <w:ind w:right="-471"/>
            </w:pPr>
            <w:r>
              <w:rPr>
                <w:rFonts w:ascii="Arial Narrow" w:hAnsi="Arial Narrow" w:cs="Arial Narrow"/>
                <w:b/>
                <w:sz w:val="22"/>
                <w:szCs w:val="22"/>
              </w:rPr>
              <w:t xml:space="preserve"> Vplyv na vlastné imanie</w:t>
            </w:r>
          </w:p>
        </w:tc>
      </w:tr>
      <w:tr w:rsidR="00ED2FFB">
        <w:tc>
          <w:tcPr>
            <w:tcW w:w="3075" w:type="dxa"/>
            <w:tcBorders>
              <w:top w:val="single" w:sz="4" w:space="0" w:color="000000"/>
              <w:left w:val="single" w:sz="4" w:space="0" w:color="000000"/>
              <w:bottom w:val="single" w:sz="4" w:space="0" w:color="000000"/>
            </w:tcBorders>
            <w:shd w:val="clear" w:color="auto" w:fill="auto"/>
          </w:tcPr>
          <w:p w:rsidR="00ED2FFB" w:rsidRDefault="0088198B">
            <w:pPr>
              <w:snapToGrid w:val="0"/>
              <w:spacing w:after="120"/>
              <w:ind w:right="-471"/>
              <w:jc w:val="both"/>
              <w:rPr>
                <w:rFonts w:ascii="Arial Narrow" w:hAnsi="Arial Narrow" w:cs="Arial Narrow"/>
                <w:b/>
                <w:sz w:val="22"/>
                <w:szCs w:val="22"/>
              </w:rPr>
            </w:pPr>
            <w:r>
              <w:rPr>
                <w:rFonts w:ascii="Arial Narrow" w:hAnsi="Arial Narrow" w:cs="Arial Narrow"/>
                <w:b/>
                <w:sz w:val="22"/>
                <w:szCs w:val="22"/>
              </w:rPr>
              <w:t xml:space="preserve">Nezaúčtovaná </w:t>
            </w:r>
            <w:proofErr w:type="spellStart"/>
            <w:r>
              <w:rPr>
                <w:rFonts w:ascii="Arial Narrow" w:hAnsi="Arial Narrow" w:cs="Arial Narrow"/>
                <w:b/>
                <w:sz w:val="22"/>
                <w:szCs w:val="22"/>
              </w:rPr>
              <w:t>rozpracovanost</w:t>
            </w:r>
            <w:proofErr w:type="spellEnd"/>
          </w:p>
        </w:tc>
        <w:tc>
          <w:tcPr>
            <w:tcW w:w="1040" w:type="dxa"/>
            <w:tcBorders>
              <w:top w:val="single" w:sz="4" w:space="0" w:color="000000"/>
              <w:left w:val="single" w:sz="4" w:space="0" w:color="000000"/>
              <w:bottom w:val="single" w:sz="4" w:space="0" w:color="000000"/>
            </w:tcBorders>
            <w:shd w:val="clear" w:color="auto" w:fill="auto"/>
          </w:tcPr>
          <w:p w:rsidR="00ED2FFB" w:rsidRDefault="0088198B">
            <w:pPr>
              <w:snapToGrid w:val="0"/>
              <w:spacing w:after="120"/>
              <w:ind w:right="-471"/>
              <w:jc w:val="both"/>
              <w:rPr>
                <w:rFonts w:ascii="Arial Narrow" w:hAnsi="Arial Narrow" w:cs="Arial Narrow"/>
                <w:sz w:val="22"/>
                <w:szCs w:val="22"/>
              </w:rPr>
            </w:pPr>
            <w:r>
              <w:rPr>
                <w:rFonts w:ascii="Arial Narrow" w:hAnsi="Arial Narrow" w:cs="Arial Narrow"/>
                <w:sz w:val="22"/>
                <w:szCs w:val="22"/>
              </w:rPr>
              <w:t>20604</w:t>
            </w:r>
          </w:p>
        </w:tc>
        <w:tc>
          <w:tcPr>
            <w:tcW w:w="1039" w:type="dxa"/>
            <w:tcBorders>
              <w:top w:val="single" w:sz="4" w:space="0" w:color="000000"/>
              <w:left w:val="single" w:sz="4" w:space="0" w:color="000000"/>
              <w:bottom w:val="single" w:sz="4" w:space="0" w:color="000000"/>
            </w:tcBorders>
            <w:shd w:val="clear" w:color="auto" w:fill="auto"/>
          </w:tcPr>
          <w:p w:rsidR="00841CF7" w:rsidRDefault="00841CF7">
            <w:pPr>
              <w:snapToGrid w:val="0"/>
              <w:spacing w:after="120"/>
              <w:ind w:right="-471"/>
              <w:jc w:val="both"/>
              <w:rPr>
                <w:rFonts w:ascii="Arial Narrow" w:hAnsi="Arial Narrow" w:cs="Arial Narrow"/>
                <w:sz w:val="22"/>
                <w:szCs w:val="22"/>
              </w:rPr>
            </w:pPr>
            <w:r>
              <w:rPr>
                <w:rFonts w:ascii="Arial Narrow" w:hAnsi="Arial Narrow" w:cs="Arial Narrow"/>
                <w:sz w:val="22"/>
                <w:szCs w:val="22"/>
              </w:rPr>
              <w:t>428/316</w:t>
            </w:r>
          </w:p>
        </w:tc>
        <w:tc>
          <w:tcPr>
            <w:tcW w:w="1928"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2529" w:type="dxa"/>
            <w:tcBorders>
              <w:top w:val="single" w:sz="4" w:space="0" w:color="000000"/>
              <w:left w:val="single" w:sz="4" w:space="0" w:color="000000"/>
              <w:bottom w:val="single" w:sz="4" w:space="0" w:color="000000"/>
              <w:right w:val="single" w:sz="4" w:space="0" w:color="000000"/>
            </w:tcBorders>
            <w:shd w:val="clear" w:color="auto" w:fill="auto"/>
          </w:tcPr>
          <w:p w:rsidR="0094558E" w:rsidRDefault="00841CF7">
            <w:pPr>
              <w:snapToGrid w:val="0"/>
              <w:spacing w:after="120"/>
              <w:ind w:right="-471"/>
              <w:jc w:val="both"/>
              <w:rPr>
                <w:rFonts w:ascii="Arial Narrow" w:hAnsi="Arial Narrow" w:cs="Arial Narrow"/>
                <w:sz w:val="22"/>
                <w:szCs w:val="22"/>
              </w:rPr>
            </w:pPr>
            <w:r>
              <w:rPr>
                <w:rFonts w:ascii="Arial Narrow" w:hAnsi="Arial Narrow" w:cs="Arial Narrow"/>
                <w:sz w:val="22"/>
                <w:szCs w:val="22"/>
              </w:rPr>
              <w:t>-</w:t>
            </w:r>
            <w:r w:rsidR="0094558E">
              <w:rPr>
                <w:rFonts w:ascii="Arial Narrow" w:hAnsi="Arial Narrow" w:cs="Arial Narrow"/>
                <w:sz w:val="22"/>
                <w:szCs w:val="22"/>
              </w:rPr>
              <w:t>20604</w:t>
            </w:r>
          </w:p>
        </w:tc>
      </w:tr>
      <w:tr w:rsidR="00ED2FFB">
        <w:tc>
          <w:tcPr>
            <w:tcW w:w="3075"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1040"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1039" w:type="dxa"/>
            <w:tcBorders>
              <w:top w:val="single" w:sz="4" w:space="0" w:color="000000"/>
              <w:left w:val="single" w:sz="4" w:space="0" w:color="000000"/>
              <w:bottom w:val="single" w:sz="4" w:space="0" w:color="000000"/>
            </w:tcBorders>
            <w:shd w:val="clear" w:color="auto" w:fill="auto"/>
          </w:tcPr>
          <w:p w:rsidR="00F22722" w:rsidRDefault="00F22722">
            <w:pPr>
              <w:snapToGrid w:val="0"/>
              <w:spacing w:after="120"/>
              <w:ind w:right="-471"/>
              <w:jc w:val="both"/>
              <w:rPr>
                <w:rFonts w:ascii="Arial Narrow" w:hAnsi="Arial Narrow" w:cs="Arial Narrow"/>
                <w:sz w:val="22"/>
                <w:szCs w:val="22"/>
              </w:rPr>
            </w:pPr>
          </w:p>
        </w:tc>
        <w:tc>
          <w:tcPr>
            <w:tcW w:w="1928"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2529"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r>
    </w:tbl>
    <w:p w:rsidR="00ED2FFB" w:rsidRDefault="00ED2FFB">
      <w:pPr>
        <w:ind w:right="-468"/>
        <w:jc w:val="both"/>
        <w:rPr>
          <w:rFonts w:ascii="Arial Narrow" w:hAnsi="Arial Narrow" w:cs="Arial Narrow"/>
          <w:sz w:val="22"/>
          <w:szCs w:val="22"/>
        </w:rPr>
      </w:pPr>
    </w:p>
    <w:p w:rsidR="00ED2FFB" w:rsidRDefault="00ED2FFB">
      <w:pPr>
        <w:spacing w:after="120"/>
        <w:jc w:val="both"/>
        <w:rPr>
          <w:rFonts w:ascii="Arial Narrow" w:hAnsi="Arial Narrow" w:cs="Arial Narrow"/>
          <w:sz w:val="22"/>
          <w:szCs w:val="22"/>
        </w:rPr>
      </w:pPr>
      <w:r>
        <w:rPr>
          <w:rFonts w:ascii="Arial Narrow" w:hAnsi="Arial Narrow" w:cs="Arial Narrow"/>
          <w:sz w:val="22"/>
          <w:szCs w:val="22"/>
          <w:u w:val="single"/>
        </w:rPr>
        <w:t>Vysvetlivky k oprave chýb minulých účtovných období:</w:t>
      </w:r>
    </w:p>
    <w:p w:rsidR="00ED2FFB" w:rsidRDefault="00ED2FFB">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Po schválení účtovnej závierky na valnom zhromaždení už nemožno otvárať účtovné knihy minulých účtovných období a prípadné opravy sa vykonajú v bežnom účtovnom období (§ 16/10,11 </w:t>
      </w:r>
      <w:proofErr w:type="spellStart"/>
      <w:r>
        <w:rPr>
          <w:rFonts w:ascii="Arial Narrow" w:hAnsi="Arial Narrow" w:cs="Arial Narrow"/>
          <w:sz w:val="22"/>
          <w:szCs w:val="22"/>
        </w:rPr>
        <w:t>ZoU</w:t>
      </w:r>
      <w:proofErr w:type="spellEnd"/>
      <w:r>
        <w:rPr>
          <w:rFonts w:ascii="Arial Narrow" w:hAnsi="Arial Narrow" w:cs="Arial Narrow"/>
          <w:sz w:val="22"/>
          <w:szCs w:val="22"/>
        </w:rPr>
        <w:t>).</w:t>
      </w:r>
    </w:p>
    <w:p w:rsidR="00ED2FFB" w:rsidRDefault="00ED2FFB">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Opravy nevýznamných nákladov a nevýznamných výnosov minulých účtovných období sa účtujú ako výsledkové účtovné prípady bežného účtovného obdobia (§ 5/1 PU).  </w:t>
      </w:r>
    </w:p>
    <w:p w:rsidR="00ED2FFB" w:rsidRDefault="00ED2FFB">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Významné opravy chýb minulých účtovných období sa účtujú (§ 59/13 PU) - voči minulým výsledkom hospodárenia (voči vlastnému imaniu na účet 428 alebo 429). </w:t>
      </w:r>
    </w:p>
    <w:p w:rsidR="00ED2FFB" w:rsidRDefault="00ED2FFB">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Hranicu významnosti si UJ stanoví individuálne v internej účtovnej smernici (napr. 1 tisícina z brutto aktív).</w:t>
      </w:r>
    </w:p>
    <w:p w:rsidR="00ED2FFB" w:rsidRDefault="00ED2FFB">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Pri ukladaní pokuty za nesprávnosti v účtovníctve prihliadne daňový úrad aj na to, či UJ písomne ohlásila obsah a sumu vykonanej opravy chýb minulých účtovných období (§ 38/5 </w:t>
      </w:r>
      <w:proofErr w:type="spellStart"/>
      <w:r>
        <w:rPr>
          <w:rFonts w:ascii="Arial Narrow" w:hAnsi="Arial Narrow" w:cs="Arial Narrow"/>
          <w:sz w:val="22"/>
          <w:szCs w:val="22"/>
        </w:rPr>
        <w:t>ZoU</w:t>
      </w:r>
      <w:proofErr w:type="spellEnd"/>
      <w:r>
        <w:rPr>
          <w:rFonts w:ascii="Arial Narrow" w:hAnsi="Arial Narrow" w:cs="Arial Narrow"/>
          <w:sz w:val="22"/>
          <w:szCs w:val="22"/>
        </w:rPr>
        <w:t>).</w:t>
      </w:r>
    </w:p>
    <w:p w:rsidR="00ED2FFB" w:rsidRDefault="00ED2FFB">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Opravy chýb minulých účtovných období sa daňovo vysporiadajú podľa pravidiel v zákone o dani z príjmov (§ 17/15,29 ZDP) a pravidiel v daňovom poriadku (§ 16). </w:t>
      </w:r>
    </w:p>
    <w:p w:rsidR="00ED2FFB" w:rsidRDefault="00ED2FFB">
      <w:pPr>
        <w:jc w:val="both"/>
        <w:rPr>
          <w:rFonts w:ascii="Arial Narrow" w:hAnsi="Arial Narrow" w:cs="Arial Narrow"/>
          <w:sz w:val="22"/>
          <w:szCs w:val="22"/>
        </w:rPr>
      </w:pPr>
    </w:p>
    <w:p w:rsidR="00ED2FFB" w:rsidRDefault="00ED2FFB">
      <w:pPr>
        <w:ind w:right="-468"/>
        <w:jc w:val="center"/>
        <w:rPr>
          <w:rFonts w:ascii="Arial Narrow" w:hAnsi="Arial Narrow" w:cs="Arial Narrow"/>
          <w:sz w:val="22"/>
          <w:szCs w:val="22"/>
        </w:rPr>
      </w:pPr>
      <w:r>
        <w:rPr>
          <w:rFonts w:ascii="Arial Narrow" w:hAnsi="Arial Narrow" w:cs="Arial Narrow"/>
          <w:b/>
          <w:bCs/>
          <w:sz w:val="22"/>
          <w:szCs w:val="22"/>
          <w:u w:val="single"/>
        </w:rPr>
        <w:t>Článok IV – INFORMÁCIE, KTORÉ VYSVETĽUJÚ A DOPĹŇAJÚ SÚVAHU A VÝKAZ ZISKOV A STRÁT</w:t>
      </w:r>
    </w:p>
    <w:p w:rsidR="00ED2FFB" w:rsidRDefault="00ED2FFB">
      <w:pPr>
        <w:ind w:right="-468"/>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a) Dlhodobý nehmotný majetok, ktorým je </w:t>
      </w:r>
      <w:proofErr w:type="spellStart"/>
      <w:r>
        <w:rPr>
          <w:rFonts w:ascii="Arial Narrow" w:hAnsi="Arial Narrow" w:cs="Arial Narrow"/>
          <w:sz w:val="22"/>
          <w:szCs w:val="22"/>
          <w:u w:val="single"/>
        </w:rPr>
        <w:t>goodwill</w:t>
      </w:r>
      <w:proofErr w:type="spellEnd"/>
      <w:r>
        <w:rPr>
          <w:rFonts w:ascii="Arial Narrow" w:hAnsi="Arial Narrow" w:cs="Arial Narrow"/>
          <w:sz w:val="22"/>
          <w:szCs w:val="22"/>
          <w:u w:val="single"/>
        </w:rPr>
        <w:t xml:space="preserve"> alebo záporný </w:t>
      </w:r>
      <w:proofErr w:type="spellStart"/>
      <w:r>
        <w:rPr>
          <w:rFonts w:ascii="Arial Narrow" w:hAnsi="Arial Narrow" w:cs="Arial Narrow"/>
          <w:sz w:val="22"/>
          <w:szCs w:val="22"/>
          <w:u w:val="single"/>
        </w:rPr>
        <w:t>goodwill</w:t>
      </w:r>
      <w:proofErr w:type="spellEnd"/>
      <w:r>
        <w:rPr>
          <w:rFonts w:ascii="Arial Narrow" w:hAnsi="Arial Narrow" w:cs="Arial Narrow"/>
          <w:b/>
          <w:sz w:val="22"/>
          <w:szCs w:val="22"/>
        </w:rPr>
        <w:t xml:space="preserve"> - </w:t>
      </w:r>
      <w:r>
        <w:rPr>
          <w:rFonts w:ascii="Arial Narrow" w:hAnsi="Arial Narrow" w:cs="Arial Narrow"/>
          <w:sz w:val="22"/>
          <w:szCs w:val="22"/>
        </w:rPr>
        <w:t>dôvod jeho vzniku, spôsob výpočtu a prehodnotenie opodstatnenosti jeho výšky a odpisu jeho hodnoty:</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b/>
          <w:sz w:val="22"/>
          <w:szCs w:val="22"/>
          <w:u w:val="single"/>
        </w:rPr>
      </w:pPr>
      <w:r>
        <w:rPr>
          <w:rFonts w:ascii="Arial Narrow" w:hAnsi="Arial Narrow" w:cs="Arial Narrow"/>
          <w:sz w:val="22"/>
          <w:szCs w:val="22"/>
        </w:rPr>
        <w:lastRenderedPageBreak/>
        <w:t xml:space="preserve">[Vysvetlivky: Záporný </w:t>
      </w:r>
      <w:proofErr w:type="spellStart"/>
      <w:r>
        <w:rPr>
          <w:rFonts w:ascii="Arial Narrow" w:hAnsi="Arial Narrow" w:cs="Arial Narrow"/>
          <w:sz w:val="22"/>
          <w:szCs w:val="22"/>
        </w:rPr>
        <w:t>goodwill</w:t>
      </w:r>
      <w:proofErr w:type="spellEnd"/>
      <w:r>
        <w:rPr>
          <w:rFonts w:ascii="Arial Narrow" w:hAnsi="Arial Narrow" w:cs="Arial Narrow"/>
          <w:sz w:val="22"/>
          <w:szCs w:val="22"/>
        </w:rPr>
        <w:t xml:space="preserve"> sa účtovne odpíše do výnosov (075/551) </w:t>
      </w:r>
      <w:proofErr w:type="spellStart"/>
      <w:r>
        <w:rPr>
          <w:rFonts w:ascii="Arial Narrow" w:hAnsi="Arial Narrow" w:cs="Arial Narrow"/>
          <w:sz w:val="22"/>
          <w:szCs w:val="22"/>
        </w:rPr>
        <w:t>jednorázovo</w:t>
      </w:r>
      <w:proofErr w:type="spellEnd"/>
      <w:r>
        <w:rPr>
          <w:rFonts w:ascii="Arial Narrow" w:hAnsi="Arial Narrow" w:cs="Arial Narrow"/>
          <w:sz w:val="22"/>
          <w:szCs w:val="22"/>
        </w:rPr>
        <w:t xml:space="preserve"> v roku jeho vzniku (§ 37 PU). Daňovo sa </w:t>
      </w:r>
      <w:proofErr w:type="spellStart"/>
      <w:r>
        <w:rPr>
          <w:rFonts w:ascii="Arial Narrow" w:hAnsi="Arial Narrow" w:cs="Arial Narrow"/>
          <w:sz w:val="22"/>
          <w:szCs w:val="22"/>
        </w:rPr>
        <w:t>goodwill</w:t>
      </w:r>
      <w:proofErr w:type="spellEnd"/>
      <w:r>
        <w:rPr>
          <w:rFonts w:ascii="Arial Narrow" w:hAnsi="Arial Narrow" w:cs="Arial Narrow"/>
          <w:sz w:val="22"/>
          <w:szCs w:val="22"/>
        </w:rPr>
        <w:t xml:space="preserve"> z podnikových kombinácií spravidla odpisuje najdlhšie počas 7 rokov podľa pravidiel v zákone o dani z príjmov (§ 17/11; § 17a - 17e ZDP)]</w:t>
      </w:r>
    </w:p>
    <w:p w:rsidR="00ED2FFB" w:rsidRDefault="00ED2FFB">
      <w:pPr>
        <w:spacing w:after="120"/>
        <w:ind w:right="-471"/>
        <w:jc w:val="both"/>
        <w:rPr>
          <w:rFonts w:ascii="Arial Narrow" w:hAnsi="Arial Narrow" w:cs="Arial Narrow"/>
          <w:b/>
          <w:sz w:val="22"/>
          <w:szCs w:val="22"/>
          <w:u w:val="single"/>
        </w:rPr>
      </w:pP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 xml:space="preserve">2) Informácie o významných </w:t>
      </w:r>
      <w:r>
        <w:rPr>
          <w:rFonts w:ascii="Arial Narrow" w:hAnsi="Arial Narrow" w:cs="Arial Narrow"/>
          <w:sz w:val="22"/>
          <w:szCs w:val="22"/>
          <w:u w:val="single"/>
        </w:rPr>
        <w:t>položkách derivátov, majetku a záväzkoch zabezpečených derivátmi (§ 16 PU):</w:t>
      </w:r>
      <w:r>
        <w:rPr>
          <w:rFonts w:ascii="Arial Narrow" w:hAnsi="Arial Narrow" w:cs="Arial Narrow"/>
          <w:sz w:val="22"/>
          <w:szCs w:val="22"/>
        </w:rPr>
        <w:t xml:space="preserve"> </w:t>
      </w:r>
    </w:p>
    <w:p w:rsidR="00ED2FFB" w:rsidRDefault="00ED2FFB">
      <w:pPr>
        <w:spacing w:after="120"/>
        <w:jc w:val="both"/>
        <w:rPr>
          <w:rFonts w:ascii="Arial Narrow" w:hAnsi="Arial Narrow" w:cs="Arial Narrow"/>
          <w:sz w:val="22"/>
          <w:szCs w:val="22"/>
        </w:rPr>
      </w:pPr>
    </w:p>
    <w:p w:rsidR="00ED2FFB" w:rsidRDefault="00ED2FFB">
      <w:pPr>
        <w:spacing w:after="120"/>
        <w:jc w:val="both"/>
        <w:rPr>
          <w:rFonts w:ascii="Arial Narrow" w:hAnsi="Arial Narrow" w:cs="Arial Narrow"/>
          <w:b/>
          <w:sz w:val="22"/>
          <w:szCs w:val="22"/>
        </w:rPr>
      </w:pPr>
      <w:r>
        <w:rPr>
          <w:rFonts w:ascii="Arial Narrow" w:hAnsi="Arial Narrow" w:cs="Arial Narrow"/>
          <w:sz w:val="22"/>
          <w:szCs w:val="22"/>
        </w:rPr>
        <w:t xml:space="preserve">Pritom sa uvádza forma tohto zabezpečenia a uvádza sa zmena reálnej hodnoty v priebehu účtovného obdobia (§ 27 </w:t>
      </w:r>
      <w:proofErr w:type="spellStart"/>
      <w:r>
        <w:rPr>
          <w:rFonts w:ascii="Arial Narrow" w:hAnsi="Arial Narrow" w:cs="Arial Narrow"/>
          <w:sz w:val="22"/>
          <w:szCs w:val="22"/>
        </w:rPr>
        <w:t>ZoU</w:t>
      </w:r>
      <w:proofErr w:type="spellEnd"/>
      <w:r>
        <w:rPr>
          <w:rFonts w:ascii="Arial Narrow" w:hAnsi="Arial Narrow" w:cs="Arial Narrow"/>
          <w:sz w:val="22"/>
          <w:szCs w:val="22"/>
        </w:rPr>
        <w:t>). Pre každý druh derivátov sa uvádza informácia o rozsahu a povahe týchto derivátov vrátane významných podmienok, ktoré môžu ovplyvniť sumu, načasovanie a mieru istoty budúcich peňažných tokov a </w:t>
      </w:r>
      <w:r>
        <w:rPr>
          <w:rFonts w:ascii="Arial Narrow" w:hAnsi="Arial Narrow" w:cs="Arial Narrow"/>
          <w:sz w:val="22"/>
          <w:szCs w:val="22"/>
          <w:u w:val="single"/>
        </w:rPr>
        <w:t>v tabuľkovej forme</w:t>
      </w:r>
      <w:r>
        <w:rPr>
          <w:rFonts w:ascii="Arial Narrow" w:hAnsi="Arial Narrow" w:cs="Arial Narrow"/>
          <w:sz w:val="22"/>
          <w:szCs w:val="22"/>
        </w:rPr>
        <w:t xml:space="preserve"> informácia zobrazujúca pohyby v oceňovacích rozdieloch </w:t>
      </w:r>
      <w:r>
        <w:rPr>
          <w:rFonts w:ascii="Arial Narrow" w:hAnsi="Arial Narrow" w:cs="Arial Narrow"/>
          <w:sz w:val="22"/>
          <w:szCs w:val="22"/>
          <w:u w:val="single"/>
        </w:rPr>
        <w:t>z ocenenia reálnou hodnotou</w:t>
      </w:r>
      <w:r>
        <w:rPr>
          <w:rFonts w:ascii="Arial Narrow" w:hAnsi="Arial Narrow" w:cs="Arial Narrow"/>
          <w:sz w:val="22"/>
          <w:szCs w:val="22"/>
        </w:rPr>
        <w:t xml:space="preserve"> počas účtovného obdobia.</w:t>
      </w:r>
    </w:p>
    <w:tbl>
      <w:tblPr>
        <w:tblW w:w="0" w:type="auto"/>
        <w:tblInd w:w="-5" w:type="dxa"/>
        <w:tblLayout w:type="fixed"/>
        <w:tblLook w:val="0000" w:firstRow="0" w:lastRow="0" w:firstColumn="0" w:lastColumn="0" w:noHBand="0" w:noVBand="0"/>
      </w:tblPr>
      <w:tblGrid>
        <w:gridCol w:w="3655"/>
        <w:gridCol w:w="1135"/>
        <w:gridCol w:w="1135"/>
        <w:gridCol w:w="1844"/>
        <w:gridCol w:w="1846"/>
      </w:tblGrid>
      <w:tr w:rsidR="00ED2FFB">
        <w:trPr>
          <w:trHeight w:val="153"/>
        </w:trPr>
        <w:tc>
          <w:tcPr>
            <w:tcW w:w="3655" w:type="dxa"/>
            <w:tcBorders>
              <w:top w:val="single" w:sz="4" w:space="0" w:color="000000"/>
              <w:left w:val="single" w:sz="4" w:space="0" w:color="000000"/>
              <w:bottom w:val="single" w:sz="4" w:space="0" w:color="000000"/>
            </w:tcBorders>
            <w:shd w:val="clear" w:color="auto" w:fill="auto"/>
          </w:tcPr>
          <w:p w:rsidR="00ED2FFB" w:rsidRDefault="00ED2FFB">
            <w:pPr>
              <w:spacing w:after="120"/>
              <w:ind w:right="-471"/>
              <w:rPr>
                <w:rFonts w:ascii="Arial Narrow" w:hAnsi="Arial Narrow" w:cs="Arial Narrow"/>
                <w:b/>
                <w:sz w:val="22"/>
                <w:szCs w:val="22"/>
              </w:rPr>
            </w:pPr>
            <w:r>
              <w:rPr>
                <w:rFonts w:ascii="Arial Narrow" w:hAnsi="Arial Narrow" w:cs="Arial Narrow"/>
                <w:b/>
                <w:sz w:val="22"/>
                <w:szCs w:val="22"/>
              </w:rPr>
              <w:t xml:space="preserve">      Názov položky derivátov</w:t>
            </w:r>
          </w:p>
        </w:tc>
        <w:tc>
          <w:tcPr>
            <w:tcW w:w="1135" w:type="dxa"/>
            <w:tcBorders>
              <w:top w:val="single" w:sz="4" w:space="0" w:color="000000"/>
              <w:left w:val="single" w:sz="4" w:space="0" w:color="000000"/>
              <w:bottom w:val="single" w:sz="4" w:space="0" w:color="000000"/>
            </w:tcBorders>
            <w:shd w:val="clear" w:color="auto" w:fill="auto"/>
          </w:tcPr>
          <w:p w:rsidR="00ED2FFB" w:rsidRDefault="00ED2FFB">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1135" w:type="dxa"/>
            <w:tcBorders>
              <w:top w:val="single" w:sz="4" w:space="0" w:color="000000"/>
              <w:left w:val="single" w:sz="4" w:space="0" w:color="000000"/>
              <w:bottom w:val="single" w:sz="4" w:space="0" w:color="000000"/>
            </w:tcBorders>
            <w:shd w:val="clear" w:color="auto" w:fill="auto"/>
          </w:tcPr>
          <w:p w:rsidR="00ED2FFB" w:rsidRDefault="00ED2FFB">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844" w:type="dxa"/>
            <w:tcBorders>
              <w:top w:val="single" w:sz="4" w:space="0" w:color="000000"/>
              <w:left w:val="single" w:sz="4" w:space="0" w:color="000000"/>
              <w:bottom w:val="single" w:sz="4" w:space="0" w:color="000000"/>
            </w:tcBorders>
            <w:shd w:val="clear" w:color="auto" w:fill="auto"/>
          </w:tcPr>
          <w:p w:rsidR="00ED2FFB" w:rsidRDefault="00ED2FFB">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spacing w:after="120"/>
              <w:ind w:right="-471"/>
            </w:pPr>
            <w:r>
              <w:rPr>
                <w:rFonts w:ascii="Arial Narrow" w:hAnsi="Arial Narrow" w:cs="Arial Narrow"/>
                <w:b/>
                <w:sz w:val="22"/>
                <w:szCs w:val="22"/>
              </w:rPr>
              <w:t xml:space="preserve">  Vplyv na imanie</w:t>
            </w:r>
          </w:p>
        </w:tc>
      </w:tr>
      <w:tr w:rsidR="00ED2FFB">
        <w:trPr>
          <w:trHeight w:val="62"/>
        </w:trPr>
        <w:tc>
          <w:tcPr>
            <w:tcW w:w="3655"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rPr>
                <w:rFonts w:ascii="Arial Narrow" w:hAnsi="Arial Narrow" w:cs="Arial Narrow"/>
                <w:sz w:val="22"/>
                <w:szCs w:val="22"/>
              </w:rPr>
            </w:pPr>
          </w:p>
        </w:tc>
        <w:tc>
          <w:tcPr>
            <w:tcW w:w="1135"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1135"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1844"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r>
      <w:tr w:rsidR="00ED2FFB">
        <w:trPr>
          <w:trHeight w:val="109"/>
        </w:trPr>
        <w:tc>
          <w:tcPr>
            <w:tcW w:w="3655"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rPr>
                <w:rFonts w:ascii="Arial Narrow" w:hAnsi="Arial Narrow" w:cs="Arial Narrow"/>
                <w:sz w:val="22"/>
                <w:szCs w:val="22"/>
              </w:rPr>
            </w:pPr>
          </w:p>
        </w:tc>
        <w:tc>
          <w:tcPr>
            <w:tcW w:w="1135"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1135"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1844" w:type="dxa"/>
            <w:tcBorders>
              <w:top w:val="single" w:sz="4" w:space="0" w:color="000000"/>
              <w:left w:val="single" w:sz="4" w:space="0" w:color="000000"/>
              <w:bottom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rsidR="00ED2FFB" w:rsidRDefault="00ED2FFB">
            <w:pPr>
              <w:snapToGrid w:val="0"/>
              <w:spacing w:after="120"/>
              <w:ind w:right="-471"/>
              <w:jc w:val="both"/>
              <w:rPr>
                <w:rFonts w:ascii="Arial Narrow" w:hAnsi="Arial Narrow" w:cs="Arial Narrow"/>
                <w:sz w:val="22"/>
                <w:szCs w:val="22"/>
              </w:rPr>
            </w:pPr>
          </w:p>
        </w:tc>
      </w:tr>
    </w:tbl>
    <w:p w:rsidR="00ED2FFB" w:rsidRDefault="00ED2FFB">
      <w:pPr>
        <w:spacing w:before="120" w:after="120"/>
        <w:ind w:right="-471"/>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Prvotné ocenenie reálnou hodnotou (§ 25 </w:t>
      </w:r>
      <w:proofErr w:type="spellStart"/>
      <w:r>
        <w:rPr>
          <w:rFonts w:ascii="Arial Narrow" w:hAnsi="Arial Narrow" w:cs="Arial Narrow"/>
          <w:sz w:val="22"/>
          <w:szCs w:val="22"/>
        </w:rPr>
        <w:t>ZoU</w:t>
      </w:r>
      <w:proofErr w:type="spellEnd"/>
      <w:r>
        <w:rPr>
          <w:rFonts w:ascii="Arial Narrow" w:hAnsi="Arial Narrow" w:cs="Arial Narrow"/>
          <w:sz w:val="22"/>
          <w:szCs w:val="22"/>
        </w:rPr>
        <w:t>) počas účtovného obdobia – bez náplne.</w:t>
      </w: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[Vysvetlivky:</w:t>
      </w:r>
      <w:r>
        <w:rPr>
          <w:rFonts w:ascii="Arial Narrow" w:hAnsi="Arial Narrow" w:cs="Arial Narrow"/>
          <w:b/>
          <w:sz w:val="22"/>
          <w:szCs w:val="22"/>
        </w:rPr>
        <w:t xml:space="preserve"> </w:t>
      </w:r>
      <w:r>
        <w:rPr>
          <w:rFonts w:ascii="Arial Narrow" w:hAnsi="Arial Narrow" w:cs="Arial Narrow"/>
          <w:sz w:val="22"/>
          <w:szCs w:val="22"/>
          <w:u w:val="single"/>
        </w:rPr>
        <w:t>Reálnou hodnotou</w:t>
      </w:r>
      <w:r>
        <w:rPr>
          <w:rFonts w:ascii="Arial Narrow" w:hAnsi="Arial Narrow" w:cs="Arial Narrow"/>
          <w:sz w:val="22"/>
          <w:szCs w:val="22"/>
        </w:rPr>
        <w:t xml:space="preserve"> – sa k </w:t>
      </w:r>
      <w:proofErr w:type="spellStart"/>
      <w:r>
        <w:rPr>
          <w:rFonts w:ascii="Arial Narrow" w:hAnsi="Arial Narrow" w:cs="Arial Narrow"/>
          <w:sz w:val="22"/>
          <w:szCs w:val="22"/>
        </w:rPr>
        <w:t>závierkovému</w:t>
      </w:r>
      <w:proofErr w:type="spellEnd"/>
      <w:r>
        <w:rPr>
          <w:rFonts w:ascii="Arial Narrow" w:hAnsi="Arial Narrow" w:cs="Arial Narrow"/>
          <w:sz w:val="22"/>
          <w:szCs w:val="22"/>
        </w:rPr>
        <w:t xml:space="preserve"> dňu oceňujú, okrem iného, aj deriváty a majetok a záväzky zabezpečené derivátmi (§ 27/1 </w:t>
      </w:r>
      <w:proofErr w:type="spellStart"/>
      <w:r>
        <w:rPr>
          <w:rFonts w:ascii="Arial Narrow" w:hAnsi="Arial Narrow" w:cs="Arial Narrow"/>
          <w:sz w:val="22"/>
          <w:szCs w:val="22"/>
        </w:rPr>
        <w:t>ZoU</w:t>
      </w:r>
      <w:proofErr w:type="spellEnd"/>
      <w:r>
        <w:rPr>
          <w:rFonts w:ascii="Arial Narrow" w:hAnsi="Arial Narrow" w:cs="Arial Narrow"/>
          <w:sz w:val="22"/>
          <w:szCs w:val="22"/>
        </w:rPr>
        <w:t>); precenenie na reálnu hodnotu k </w:t>
      </w:r>
      <w:proofErr w:type="spellStart"/>
      <w:r>
        <w:rPr>
          <w:rFonts w:ascii="Arial Narrow" w:hAnsi="Arial Narrow" w:cs="Arial Narrow"/>
          <w:sz w:val="22"/>
          <w:szCs w:val="22"/>
        </w:rPr>
        <w:t>závierkovému</w:t>
      </w:r>
      <w:proofErr w:type="spellEnd"/>
      <w:r>
        <w:rPr>
          <w:rFonts w:ascii="Arial Narrow" w:hAnsi="Arial Narrow" w:cs="Arial Narrow"/>
          <w:sz w:val="22"/>
          <w:szCs w:val="22"/>
        </w:rPr>
        <w:t xml:space="preserve"> dňu sa účtuje (§ 16 PU) - výsledkovo (účty 56x, 66x) alebo súvahovo (účet 414)].</w:t>
      </w:r>
    </w:p>
    <w:p w:rsidR="00ED2FFB" w:rsidRDefault="00ED2FFB">
      <w:pPr>
        <w:spacing w:after="120"/>
        <w:ind w:right="-141"/>
        <w:jc w:val="both"/>
        <w:rPr>
          <w:rFonts w:ascii="Arial Narrow" w:hAnsi="Arial Narrow" w:cs="Arial Narrow"/>
          <w:sz w:val="22"/>
          <w:szCs w:val="22"/>
        </w:rPr>
      </w:pPr>
    </w:p>
    <w:p w:rsidR="00ED2FFB" w:rsidRDefault="00ED2FFB">
      <w:pPr>
        <w:spacing w:after="120"/>
        <w:ind w:right="-141"/>
        <w:jc w:val="both"/>
      </w:pPr>
      <w:r>
        <w:rPr>
          <w:rFonts w:ascii="Arial Narrow" w:hAnsi="Arial Narrow" w:cs="Arial Narrow"/>
          <w:sz w:val="22"/>
          <w:szCs w:val="22"/>
        </w:rPr>
        <w:t xml:space="preserve">3a)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W w:w="0" w:type="auto"/>
        <w:tblInd w:w="108" w:type="dxa"/>
        <w:tblLayout w:type="fixed"/>
        <w:tblLook w:val="0000" w:firstRow="0" w:lastRow="0" w:firstColumn="0" w:lastColumn="0" w:noHBand="0" w:noVBand="0"/>
      </w:tblPr>
      <w:tblGrid>
        <w:gridCol w:w="4785"/>
        <w:gridCol w:w="2553"/>
        <w:gridCol w:w="2386"/>
      </w:tblGrid>
      <w:tr w:rsidR="00ED2FFB">
        <w:trPr>
          <w:trHeight w:val="693"/>
        </w:trPr>
        <w:tc>
          <w:tcPr>
            <w:tcW w:w="4785" w:type="dxa"/>
            <w:tcBorders>
              <w:top w:val="single" w:sz="4" w:space="0" w:color="000000"/>
              <w:left w:val="single" w:sz="4" w:space="0" w:color="000000"/>
              <w:bottom w:val="single" w:sz="4" w:space="0" w:color="000000"/>
            </w:tcBorders>
            <w:shd w:val="clear" w:color="auto" w:fill="auto"/>
            <w:vAlign w:val="center"/>
          </w:tcPr>
          <w:p w:rsidR="00ED2FFB" w:rsidRDefault="00ED2FFB">
            <w:pPr>
              <w:pStyle w:val="TopHeader"/>
            </w:pPr>
            <w:r>
              <w:t>Názov položky</w:t>
            </w:r>
          </w:p>
        </w:tc>
        <w:tc>
          <w:tcPr>
            <w:tcW w:w="2553" w:type="dxa"/>
            <w:tcBorders>
              <w:top w:val="single" w:sz="4" w:space="0" w:color="000000"/>
              <w:left w:val="single" w:sz="4" w:space="0" w:color="000000"/>
              <w:bottom w:val="single" w:sz="4" w:space="0" w:color="000000"/>
            </w:tcBorders>
            <w:shd w:val="clear" w:color="auto" w:fill="auto"/>
            <w:vAlign w:val="center"/>
          </w:tcPr>
          <w:p w:rsidR="00ED2FFB" w:rsidRDefault="00ED2FFB">
            <w:pPr>
              <w:pStyle w:val="TopHeader"/>
            </w:pPr>
            <w:r>
              <w:t>Bežné účtovné obdobie</w:t>
            </w:r>
          </w:p>
        </w:tc>
        <w:tc>
          <w:tcPr>
            <w:tcW w:w="23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pStyle w:val="TopHeader"/>
            </w:pPr>
            <w:r>
              <w:t>Bezprostredne predchádzajúce účtovné obdobie</w:t>
            </w:r>
          </w:p>
        </w:tc>
      </w:tr>
      <w:tr w:rsidR="00ED2FFB">
        <w:trPr>
          <w:trHeight w:val="207"/>
        </w:trPr>
        <w:tc>
          <w:tcPr>
            <w:tcW w:w="4785"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b/>
                <w:bCs/>
                <w:sz w:val="22"/>
                <w:szCs w:val="22"/>
              </w:rPr>
            </w:pPr>
            <w:r>
              <w:rPr>
                <w:rFonts w:ascii="Arial Narrow" w:hAnsi="Arial Narrow" w:cs="Arial Narrow"/>
                <w:bCs/>
                <w:sz w:val="22"/>
                <w:szCs w:val="22"/>
              </w:rPr>
              <w:t>Záväzky so zostatkovou dobou splatnosti nad 5 rokov</w:t>
            </w:r>
          </w:p>
        </w:tc>
        <w:tc>
          <w:tcPr>
            <w:tcW w:w="2553" w:type="dxa"/>
            <w:tcBorders>
              <w:top w:val="single" w:sz="4" w:space="0" w:color="000000"/>
              <w:left w:val="single" w:sz="4" w:space="0" w:color="000000"/>
              <w:bottom w:val="single" w:sz="4" w:space="0" w:color="000000"/>
            </w:tcBorders>
            <w:shd w:val="clear" w:color="auto" w:fill="auto"/>
            <w:vAlign w:val="center"/>
          </w:tcPr>
          <w:p w:rsidR="00ED2FFB" w:rsidRDefault="00ED2FFB">
            <w:pPr>
              <w:snapToGrid w:val="0"/>
              <w:rPr>
                <w:rFonts w:ascii="Arial Narrow" w:hAnsi="Arial Narrow" w:cs="Arial Narrow"/>
                <w:b/>
                <w:bCs/>
                <w:sz w:val="22"/>
                <w:szCs w:val="22"/>
              </w:rPr>
            </w:pPr>
          </w:p>
        </w:tc>
        <w:tc>
          <w:tcPr>
            <w:tcW w:w="23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rPr>
                <w:rFonts w:ascii="Arial Narrow" w:hAnsi="Arial Narrow" w:cs="Arial Narrow"/>
                <w:b/>
                <w:bCs/>
                <w:sz w:val="22"/>
                <w:szCs w:val="22"/>
              </w:rPr>
            </w:pPr>
          </w:p>
        </w:tc>
      </w:tr>
    </w:tbl>
    <w:p w:rsidR="00ED2FFB" w:rsidRDefault="00ED2FFB">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w:t>
      </w:r>
      <w:proofErr w:type="spellStart"/>
      <w:r>
        <w:rPr>
          <w:rFonts w:ascii="Arial Narrow" w:hAnsi="Arial Narrow" w:cs="Arial Narrow"/>
          <w:sz w:val="22"/>
          <w:szCs w:val="22"/>
        </w:rPr>
        <w:t>závierkovým</w:t>
      </w:r>
      <w:proofErr w:type="spellEnd"/>
      <w:r>
        <w:rPr>
          <w:rFonts w:ascii="Arial Narrow" w:hAnsi="Arial Narrow" w:cs="Arial Narrow"/>
          <w:sz w:val="22"/>
          <w:szCs w:val="22"/>
        </w:rPr>
        <w:t xml:space="preserve"> dňom (§ 12 PU).]</w:t>
      </w:r>
    </w:p>
    <w:p w:rsidR="00ED2FFB" w:rsidRDefault="00ED2FFB">
      <w:pPr>
        <w:spacing w:before="120"/>
        <w:ind w:right="-471"/>
        <w:jc w:val="both"/>
        <w:rPr>
          <w:rFonts w:ascii="Arial Narrow" w:hAnsi="Arial Narrow" w:cs="Arial Narrow"/>
          <w:sz w:val="22"/>
          <w:szCs w:val="22"/>
        </w:rPr>
      </w:pPr>
    </w:p>
    <w:p w:rsidR="00ED2FFB" w:rsidRDefault="00ED2FFB">
      <w:pPr>
        <w:spacing w:after="120"/>
        <w:ind w:right="-141"/>
        <w:jc w:val="both"/>
      </w:pPr>
      <w:r>
        <w:rPr>
          <w:rFonts w:ascii="Arial Narrow" w:hAnsi="Arial Narrow" w:cs="Arial Narrow"/>
          <w:sz w:val="22"/>
          <w:szCs w:val="22"/>
        </w:rPr>
        <w:t xml:space="preserve">3b) Celková suma </w:t>
      </w:r>
      <w:r>
        <w:rPr>
          <w:rFonts w:ascii="Arial Narrow" w:hAnsi="Arial Narrow" w:cs="Arial Narrow"/>
          <w:sz w:val="22"/>
          <w:szCs w:val="22"/>
          <w:u w:val="single"/>
        </w:rPr>
        <w:t>zabezpečených záväzkov</w:t>
      </w:r>
      <w:r>
        <w:rPr>
          <w:rFonts w:ascii="Arial Narrow" w:hAnsi="Arial Narrow" w:cs="Arial Narrow"/>
          <w:sz w:val="22"/>
          <w:szCs w:val="22"/>
        </w:rPr>
        <w:t xml:space="preserve"> – opis a spôsob zabezpečenia záväzkov: </w:t>
      </w:r>
    </w:p>
    <w:tbl>
      <w:tblPr>
        <w:tblW w:w="0" w:type="auto"/>
        <w:tblInd w:w="70" w:type="dxa"/>
        <w:tblLayout w:type="fixed"/>
        <w:tblCellMar>
          <w:left w:w="70" w:type="dxa"/>
          <w:right w:w="70" w:type="dxa"/>
        </w:tblCellMar>
        <w:tblLook w:val="0000" w:firstRow="0" w:lastRow="0" w:firstColumn="0" w:lastColumn="0" w:noHBand="0" w:noVBand="0"/>
      </w:tblPr>
      <w:tblGrid>
        <w:gridCol w:w="4396"/>
        <w:gridCol w:w="2831"/>
        <w:gridCol w:w="2421"/>
      </w:tblGrid>
      <w:tr w:rsidR="00ED2FFB">
        <w:tc>
          <w:tcPr>
            <w:tcW w:w="4396" w:type="dxa"/>
            <w:vMerge w:val="restart"/>
            <w:tcBorders>
              <w:top w:val="single" w:sz="4" w:space="0" w:color="000000"/>
              <w:left w:val="single" w:sz="4" w:space="0" w:color="000000"/>
              <w:bottom w:val="single" w:sz="4" w:space="0" w:color="000000"/>
            </w:tcBorders>
            <w:shd w:val="clear" w:color="auto" w:fill="auto"/>
            <w:vAlign w:val="center"/>
          </w:tcPr>
          <w:p w:rsidR="00ED2FFB" w:rsidRDefault="00ED2FFB">
            <w:pPr>
              <w:pStyle w:val="TopHeader"/>
            </w:pPr>
            <w:r>
              <w:t>Zabezpečené záväzky</w:t>
            </w:r>
          </w:p>
        </w:tc>
        <w:tc>
          <w:tcPr>
            <w:tcW w:w="52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pStyle w:val="TopHeader"/>
            </w:pPr>
            <w:r>
              <w:t>Bežné účtovné obdobie</w:t>
            </w:r>
          </w:p>
        </w:tc>
      </w:tr>
      <w:tr w:rsidR="00ED2FFB">
        <w:tc>
          <w:tcPr>
            <w:tcW w:w="4396" w:type="dxa"/>
            <w:vMerge/>
            <w:tcBorders>
              <w:top w:val="single" w:sz="4" w:space="0" w:color="000000"/>
              <w:left w:val="single" w:sz="4" w:space="0" w:color="000000"/>
              <w:bottom w:val="single" w:sz="4" w:space="0" w:color="000000"/>
            </w:tcBorders>
            <w:shd w:val="clear" w:color="auto" w:fill="auto"/>
            <w:vAlign w:val="center"/>
          </w:tcPr>
          <w:p w:rsidR="00ED2FFB" w:rsidRDefault="00ED2FFB">
            <w:pPr>
              <w:pStyle w:val="TopHeader"/>
              <w:snapToGrid w:val="0"/>
              <w:jc w:val="both"/>
            </w:pPr>
          </w:p>
        </w:tc>
        <w:tc>
          <w:tcPr>
            <w:tcW w:w="2831" w:type="dxa"/>
            <w:tcBorders>
              <w:top w:val="single" w:sz="4" w:space="0" w:color="000000"/>
              <w:left w:val="single" w:sz="4" w:space="0" w:color="000000"/>
              <w:bottom w:val="single" w:sz="4" w:space="0" w:color="000000"/>
            </w:tcBorders>
            <w:shd w:val="clear" w:color="auto" w:fill="auto"/>
            <w:vAlign w:val="center"/>
          </w:tcPr>
          <w:p w:rsidR="00ED2FFB" w:rsidRDefault="00ED2FFB">
            <w:pPr>
              <w:pStyle w:val="TopHeader"/>
            </w:pPr>
            <w:r>
              <w:t xml:space="preserve">Spôsob </w:t>
            </w:r>
          </w:p>
          <w:p w:rsidR="00ED2FFB" w:rsidRDefault="00ED2FFB">
            <w:pPr>
              <w:pStyle w:val="TopHeader"/>
            </w:pPr>
            <w:r>
              <w:t>zabezpečenia</w:t>
            </w:r>
          </w:p>
        </w:tc>
        <w:tc>
          <w:tcPr>
            <w:tcW w:w="2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pStyle w:val="TopHeader"/>
            </w:pPr>
            <w:r>
              <w:t>Hodnota záväzkov</w:t>
            </w:r>
          </w:p>
        </w:tc>
      </w:tr>
      <w:tr w:rsidR="00ED2FFB">
        <w:trPr>
          <w:trHeight w:val="69"/>
        </w:trPr>
        <w:tc>
          <w:tcPr>
            <w:tcW w:w="4396" w:type="dxa"/>
            <w:tcBorders>
              <w:top w:val="single" w:sz="4" w:space="0" w:color="000000"/>
              <w:left w:val="single" w:sz="4" w:space="0" w:color="000000"/>
              <w:bottom w:val="single" w:sz="4" w:space="0" w:color="000000"/>
            </w:tcBorders>
            <w:shd w:val="clear" w:color="auto" w:fill="auto"/>
            <w:vAlign w:val="center"/>
          </w:tcPr>
          <w:p w:rsidR="00ED2FFB" w:rsidRDefault="00ED2FFB">
            <w:pPr>
              <w:jc w:val="both"/>
              <w:rPr>
                <w:rFonts w:ascii="Arial Narrow" w:hAnsi="Arial Narrow" w:cs="Arial Narrow"/>
                <w:sz w:val="22"/>
                <w:szCs w:val="22"/>
              </w:rPr>
            </w:pPr>
            <w:r>
              <w:rPr>
                <w:rFonts w:ascii="Arial Narrow" w:hAnsi="Arial Narrow" w:cs="Arial Narrow"/>
                <w:sz w:val="22"/>
                <w:szCs w:val="22"/>
              </w:rPr>
              <w:t>Záväzky zabezpečené záložným právom</w:t>
            </w:r>
          </w:p>
        </w:tc>
        <w:tc>
          <w:tcPr>
            <w:tcW w:w="2831" w:type="dxa"/>
            <w:tcBorders>
              <w:top w:val="single" w:sz="4" w:space="0" w:color="000000"/>
              <w:left w:val="single" w:sz="4" w:space="0" w:color="000000"/>
              <w:bottom w:val="single" w:sz="4" w:space="0" w:color="000000"/>
            </w:tcBorders>
            <w:shd w:val="clear" w:color="auto" w:fill="auto"/>
            <w:vAlign w:val="center"/>
          </w:tcPr>
          <w:p w:rsidR="00ED2FFB" w:rsidRDefault="00ED2FFB">
            <w:pPr>
              <w:spacing w:line="360" w:lineRule="auto"/>
              <w:jc w:val="center"/>
              <w:rPr>
                <w:rFonts w:ascii="Arial Narrow" w:hAnsi="Arial Narrow" w:cs="Arial Narrow"/>
                <w:sz w:val="22"/>
                <w:szCs w:val="22"/>
              </w:rPr>
            </w:pPr>
            <w:r>
              <w:rPr>
                <w:rFonts w:ascii="Arial Narrow" w:hAnsi="Arial Narrow" w:cs="Arial Narrow"/>
                <w:sz w:val="22"/>
                <w:szCs w:val="22"/>
              </w:rPr>
              <w:t>záložné právo</w:t>
            </w:r>
          </w:p>
        </w:tc>
        <w:tc>
          <w:tcPr>
            <w:tcW w:w="2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spacing w:line="360" w:lineRule="auto"/>
              <w:jc w:val="both"/>
              <w:rPr>
                <w:rFonts w:ascii="Arial Narrow" w:hAnsi="Arial Narrow" w:cs="Arial Narrow"/>
                <w:sz w:val="22"/>
                <w:szCs w:val="22"/>
              </w:rPr>
            </w:pPr>
          </w:p>
        </w:tc>
      </w:tr>
      <w:tr w:rsidR="00ED2FFB">
        <w:trPr>
          <w:trHeight w:val="117"/>
        </w:trPr>
        <w:tc>
          <w:tcPr>
            <w:tcW w:w="4396" w:type="dxa"/>
            <w:tcBorders>
              <w:top w:val="single" w:sz="4" w:space="0" w:color="000000"/>
              <w:left w:val="single" w:sz="4" w:space="0" w:color="000000"/>
              <w:bottom w:val="single" w:sz="4" w:space="0" w:color="000000"/>
            </w:tcBorders>
            <w:shd w:val="clear" w:color="auto" w:fill="auto"/>
            <w:vAlign w:val="center"/>
          </w:tcPr>
          <w:p w:rsidR="00ED2FFB" w:rsidRDefault="00ED2FFB">
            <w:pPr>
              <w:jc w:val="both"/>
              <w:rPr>
                <w:rFonts w:ascii="Arial Narrow" w:hAnsi="Arial Narrow" w:cs="Arial Narrow"/>
                <w:sz w:val="22"/>
                <w:szCs w:val="22"/>
              </w:rPr>
            </w:pPr>
            <w:r>
              <w:rPr>
                <w:rFonts w:ascii="Arial Narrow" w:hAnsi="Arial Narrow" w:cs="Arial Narrow"/>
                <w:sz w:val="22"/>
                <w:szCs w:val="22"/>
              </w:rPr>
              <w:t xml:space="preserve">Záväzky zabezpečené iným spôsobom </w:t>
            </w:r>
          </w:p>
        </w:tc>
        <w:tc>
          <w:tcPr>
            <w:tcW w:w="2831" w:type="dxa"/>
            <w:tcBorders>
              <w:top w:val="single" w:sz="4" w:space="0" w:color="000000"/>
              <w:left w:val="single" w:sz="4" w:space="0" w:color="000000"/>
              <w:bottom w:val="single" w:sz="4" w:space="0" w:color="000000"/>
            </w:tcBorders>
            <w:shd w:val="clear" w:color="auto" w:fill="auto"/>
            <w:vAlign w:val="center"/>
          </w:tcPr>
          <w:p w:rsidR="00ED2FFB" w:rsidRDefault="00ED2FFB">
            <w:pPr>
              <w:snapToGrid w:val="0"/>
              <w:spacing w:line="360" w:lineRule="auto"/>
              <w:jc w:val="center"/>
              <w:rPr>
                <w:rFonts w:ascii="Arial Narrow" w:hAnsi="Arial Narrow" w:cs="Arial Narrow"/>
                <w:sz w:val="22"/>
                <w:szCs w:val="22"/>
              </w:rPr>
            </w:pPr>
          </w:p>
        </w:tc>
        <w:tc>
          <w:tcPr>
            <w:tcW w:w="2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spacing w:line="360" w:lineRule="auto"/>
              <w:jc w:val="both"/>
              <w:rPr>
                <w:rFonts w:ascii="Arial Narrow" w:hAnsi="Arial Narrow" w:cs="Arial Narrow"/>
                <w:sz w:val="22"/>
                <w:szCs w:val="22"/>
              </w:rPr>
            </w:pPr>
          </w:p>
        </w:tc>
      </w:tr>
      <w:tr w:rsidR="00ED2FFB">
        <w:trPr>
          <w:trHeight w:val="117"/>
        </w:trPr>
        <w:tc>
          <w:tcPr>
            <w:tcW w:w="4396" w:type="dxa"/>
            <w:tcBorders>
              <w:top w:val="single" w:sz="4" w:space="0" w:color="000000"/>
              <w:left w:val="single" w:sz="4" w:space="0" w:color="000000"/>
              <w:bottom w:val="single" w:sz="4" w:space="0" w:color="000000"/>
            </w:tcBorders>
            <w:shd w:val="clear" w:color="auto" w:fill="auto"/>
            <w:vAlign w:val="center"/>
          </w:tcPr>
          <w:p w:rsidR="00ED2FFB" w:rsidRDefault="00ED2FFB">
            <w:pPr>
              <w:jc w:val="both"/>
              <w:rPr>
                <w:rFonts w:ascii="Arial Narrow" w:hAnsi="Arial Narrow" w:cs="Arial Narrow"/>
                <w:sz w:val="22"/>
                <w:szCs w:val="22"/>
              </w:rPr>
            </w:pPr>
            <w:r>
              <w:rPr>
                <w:rFonts w:ascii="Arial Narrow" w:hAnsi="Arial Narrow" w:cs="Arial Narrow"/>
                <w:b/>
                <w:sz w:val="22"/>
                <w:szCs w:val="22"/>
              </w:rPr>
              <w:t>Celková suma zabezpečených záväzkov:</w:t>
            </w:r>
          </w:p>
        </w:tc>
        <w:tc>
          <w:tcPr>
            <w:tcW w:w="2831" w:type="dxa"/>
            <w:tcBorders>
              <w:top w:val="single" w:sz="4" w:space="0" w:color="000000"/>
              <w:left w:val="single" w:sz="4" w:space="0" w:color="000000"/>
              <w:bottom w:val="single" w:sz="4" w:space="0" w:color="000000"/>
            </w:tcBorders>
            <w:shd w:val="clear" w:color="auto" w:fill="auto"/>
            <w:vAlign w:val="center"/>
          </w:tcPr>
          <w:p w:rsidR="00ED2FFB" w:rsidRDefault="00ED2FFB">
            <w:pPr>
              <w:spacing w:line="360" w:lineRule="auto"/>
              <w:jc w:val="center"/>
              <w:rPr>
                <w:rFonts w:ascii="Arial Narrow" w:hAnsi="Arial Narrow" w:cs="Arial Narrow"/>
                <w:sz w:val="22"/>
                <w:szCs w:val="22"/>
              </w:rPr>
            </w:pPr>
            <w:r>
              <w:rPr>
                <w:rFonts w:ascii="Arial Narrow" w:hAnsi="Arial Narrow" w:cs="Arial Narrow"/>
                <w:sz w:val="22"/>
                <w:szCs w:val="22"/>
              </w:rPr>
              <w:t>x</w:t>
            </w:r>
          </w:p>
        </w:tc>
        <w:tc>
          <w:tcPr>
            <w:tcW w:w="2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spacing w:line="360" w:lineRule="auto"/>
              <w:jc w:val="both"/>
              <w:rPr>
                <w:rFonts w:ascii="Arial Narrow" w:hAnsi="Arial Narrow" w:cs="Arial Narrow"/>
                <w:sz w:val="22"/>
                <w:szCs w:val="22"/>
              </w:rPr>
            </w:pPr>
          </w:p>
        </w:tc>
      </w:tr>
    </w:tbl>
    <w:p w:rsidR="00ED2FFB" w:rsidRDefault="00ED2FFB">
      <w:pPr>
        <w:ind w:right="-468"/>
        <w:jc w:val="both"/>
        <w:rPr>
          <w:rFonts w:ascii="Arial Narrow" w:hAnsi="Arial Narrow" w:cs="Arial Narrow"/>
          <w:sz w:val="22"/>
          <w:szCs w:val="22"/>
        </w:rPr>
      </w:pP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a) dôvod nadobudnutia vlastných akcií počas účtovného obdobia:</w:t>
      </w: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b2) počet a protihodnota, za ktorú sa vlastné akcie počas účtovného obdobia nadobudli a počet a protihodnota, za ktorú sa vlastné akcie počas účtovného obdobia previedli na inú osobu:</w:t>
      </w:r>
    </w:p>
    <w:p w:rsidR="00ED2FFB" w:rsidRDefault="00ED2FFB">
      <w:pPr>
        <w:spacing w:after="120"/>
        <w:ind w:right="-471"/>
        <w:jc w:val="both"/>
        <w:rPr>
          <w:rFonts w:ascii="Arial Narrow" w:hAnsi="Arial Narrow" w:cs="Arial Narrow"/>
          <w:b/>
          <w:sz w:val="22"/>
          <w:szCs w:val="22"/>
          <w:u w:val="single"/>
        </w:rPr>
      </w:pPr>
      <w:r>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p>
    <w:p w:rsidR="00ED2FFB" w:rsidRDefault="00ED2FFB">
      <w:pPr>
        <w:spacing w:after="120"/>
        <w:ind w:right="-471"/>
        <w:jc w:val="both"/>
        <w:rPr>
          <w:rFonts w:ascii="Arial Narrow" w:hAnsi="Arial Narrow" w:cs="Arial Narrow"/>
          <w:b/>
          <w:sz w:val="22"/>
          <w:szCs w:val="22"/>
          <w:u w:val="single"/>
        </w:rPr>
      </w:pPr>
    </w:p>
    <w:p w:rsidR="00ED2FFB" w:rsidRDefault="00ED2FFB">
      <w:pPr>
        <w:jc w:val="both"/>
        <w:rPr>
          <w:rFonts w:ascii="Arial Narrow" w:hAnsi="Arial Narrow" w:cs="Arial Narrow"/>
          <w:b/>
          <w:sz w:val="22"/>
          <w:szCs w:val="22"/>
          <w:u w:val="single"/>
        </w:rPr>
      </w:pPr>
      <w:r>
        <w:rPr>
          <w:rFonts w:ascii="Arial Narrow" w:hAnsi="Arial Narrow" w:cs="Arial Narrow"/>
          <w:sz w:val="22"/>
          <w:szCs w:val="22"/>
        </w:rPr>
        <w:t xml:space="preserve">5) Informácie o sume a dôvodoch vzniku jednotlivých položiek </w:t>
      </w:r>
      <w:r>
        <w:rPr>
          <w:rFonts w:ascii="Arial Narrow" w:hAnsi="Arial Narrow" w:cs="Arial Narrow"/>
          <w:b/>
          <w:sz w:val="22"/>
          <w:szCs w:val="22"/>
        </w:rPr>
        <w:t>nákladov alebo výnosov</w:t>
      </w:r>
      <w:r>
        <w:rPr>
          <w:rFonts w:ascii="Arial Narrow" w:hAnsi="Arial Narrow" w:cs="Arial Narrow"/>
          <w:sz w:val="22"/>
          <w:szCs w:val="22"/>
        </w:rPr>
        <w:t xml:space="preserve">, ktoré majú </w:t>
      </w:r>
      <w:r>
        <w:rPr>
          <w:rFonts w:ascii="Arial Narrow" w:hAnsi="Arial Narrow" w:cs="Arial Narrow"/>
          <w:sz w:val="22"/>
          <w:szCs w:val="22"/>
          <w:u w:val="single"/>
        </w:rPr>
        <w:t>výnimočný rozsah alebo výskyt</w:t>
      </w:r>
      <w:r>
        <w:rPr>
          <w:rFonts w:ascii="Arial Narrow" w:hAnsi="Arial Narrow" w:cs="Arial Narrow"/>
          <w:sz w:val="22"/>
          <w:szCs w:val="22"/>
        </w:rPr>
        <w:t xml:space="preserve"> (napr. výnosy z predaja podniku alebo jeho časti, náklady z dôvodu predaja podniku alebo jeho časti, škody z dôvodu živelných pohrôm):</w:t>
      </w:r>
    </w:p>
    <w:p w:rsidR="00ED2FFB" w:rsidRDefault="00ED2FFB">
      <w:pPr>
        <w:spacing w:after="120"/>
        <w:ind w:right="-471"/>
        <w:jc w:val="both"/>
        <w:rPr>
          <w:rFonts w:ascii="Arial Narrow" w:hAnsi="Arial Narrow" w:cs="Arial Narrow"/>
          <w:b/>
          <w:sz w:val="22"/>
          <w:szCs w:val="22"/>
          <w:u w:val="single"/>
        </w:rPr>
      </w:pPr>
    </w:p>
    <w:p w:rsidR="00ED2FFB" w:rsidRDefault="00ED2FFB">
      <w:pPr>
        <w:spacing w:after="120"/>
        <w:ind w:right="-471"/>
        <w:jc w:val="center"/>
        <w:rPr>
          <w:rFonts w:ascii="Arial Narrow" w:hAnsi="Arial Narrow" w:cs="Arial Narrow"/>
          <w:sz w:val="22"/>
          <w:szCs w:val="22"/>
        </w:rPr>
      </w:pPr>
      <w:r>
        <w:rPr>
          <w:rFonts w:ascii="Arial Narrow" w:hAnsi="Arial Narrow" w:cs="Arial Narrow"/>
          <w:b/>
          <w:bCs/>
          <w:sz w:val="22"/>
          <w:szCs w:val="22"/>
        </w:rPr>
        <w:t>Článok V – INFORMÁCIE O INÝCH AKTÍVACH A INÝCH PASÍVACH</w:t>
      </w: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p>
    <w:p w:rsidR="00ED2FFB" w:rsidRDefault="00ED2FFB">
      <w:pPr>
        <w:jc w:val="both"/>
        <w:rPr>
          <w:rFonts w:ascii="Arial Narrow" w:hAnsi="Arial Narrow" w:cs="Arial Narrow"/>
          <w:sz w:val="22"/>
          <w:szCs w:val="22"/>
        </w:rPr>
      </w:pP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p>
    <w:p w:rsidR="00ED2FFB" w:rsidRDefault="00ED2FFB">
      <w:pPr>
        <w:numPr>
          <w:ilvl w:val="0"/>
          <w:numId w:val="6"/>
        </w:numPr>
        <w:spacing w:after="120"/>
        <w:ind w:left="227" w:hanging="227"/>
        <w:jc w:val="both"/>
        <w:rPr>
          <w:rFonts w:ascii="Arial Narrow" w:hAnsi="Arial Narrow" w:cs="Arial Narrow"/>
          <w:sz w:val="22"/>
          <w:szCs w:val="22"/>
        </w:rPr>
      </w:pPr>
      <w:r>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rsidR="00ED2FFB" w:rsidRDefault="00ED2FFB">
      <w:pPr>
        <w:numPr>
          <w:ilvl w:val="0"/>
          <w:numId w:val="6"/>
        </w:numPr>
        <w:ind w:left="227" w:hanging="227"/>
        <w:jc w:val="both"/>
        <w:rPr>
          <w:rFonts w:ascii="Arial Narrow" w:hAnsi="Arial Narrow" w:cs="Arial Narrow"/>
          <w:sz w:val="22"/>
          <w:szCs w:val="22"/>
        </w:rPr>
      </w:pPr>
      <w:r>
        <w:rPr>
          <w:rFonts w:ascii="Arial Narrow" w:hAnsi="Arial Narrow" w:cs="Arial Narrow"/>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p>
    <w:p w:rsidR="00ED2FFB" w:rsidRDefault="00ED2FFB">
      <w:pPr>
        <w:jc w:val="both"/>
        <w:rPr>
          <w:rFonts w:ascii="Arial Narrow" w:hAnsi="Arial Narrow" w:cs="Arial Narrow"/>
          <w:sz w:val="22"/>
          <w:szCs w:val="22"/>
        </w:rPr>
      </w:pPr>
    </w:p>
    <w:p w:rsidR="00ED2FFB" w:rsidRDefault="00ED2FFB">
      <w:pPr>
        <w:spacing w:after="120"/>
        <w:jc w:val="both"/>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W w:w="0" w:type="auto"/>
        <w:tblInd w:w="108" w:type="dxa"/>
        <w:tblLayout w:type="fixed"/>
        <w:tblLook w:val="0000" w:firstRow="0" w:lastRow="0" w:firstColumn="0" w:lastColumn="0" w:noHBand="0" w:noVBand="0"/>
      </w:tblPr>
      <w:tblGrid>
        <w:gridCol w:w="6311"/>
        <w:gridCol w:w="1701"/>
        <w:gridCol w:w="1603"/>
      </w:tblGrid>
      <w:tr w:rsidR="00ED2FFB">
        <w:trPr>
          <w:trHeight w:val="780"/>
        </w:trPr>
        <w:tc>
          <w:tcPr>
            <w:tcW w:w="6311" w:type="dxa"/>
            <w:tcBorders>
              <w:top w:val="single" w:sz="4" w:space="0" w:color="000000"/>
              <w:left w:val="single" w:sz="4" w:space="0" w:color="000000"/>
              <w:bottom w:val="single" w:sz="4" w:space="0" w:color="000000"/>
            </w:tcBorders>
            <w:shd w:val="clear" w:color="auto" w:fill="auto"/>
            <w:vAlign w:val="center"/>
          </w:tcPr>
          <w:p w:rsidR="00ED2FFB" w:rsidRDefault="00ED2FFB">
            <w:pPr>
              <w:pStyle w:val="TopHeader"/>
            </w:pPr>
            <w:r>
              <w:t>Názov podsúvahovej položky</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pStyle w:val="TopHeader"/>
            </w:pPr>
            <w:r>
              <w:t>Bežné účtovné obdobie</w:t>
            </w:r>
          </w:p>
        </w:tc>
        <w:tc>
          <w:tcPr>
            <w:tcW w:w="16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pStyle w:val="TopHeader"/>
            </w:pPr>
            <w:r>
              <w:t>Bezprostredne predchádzajúce účtovné obdobie</w:t>
            </w:r>
          </w:p>
        </w:tc>
      </w:tr>
      <w:tr w:rsidR="00ED2FFB">
        <w:trPr>
          <w:trHeight w:val="267"/>
        </w:trPr>
        <w:tc>
          <w:tcPr>
            <w:tcW w:w="631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Prenajatý majetok</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 </w:t>
            </w:r>
          </w:p>
        </w:tc>
        <w:tc>
          <w:tcPr>
            <w:tcW w:w="16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r>
              <w:rPr>
                <w:rFonts w:ascii="Arial Narrow" w:hAnsi="Arial Narrow" w:cs="Arial Narrow"/>
                <w:sz w:val="22"/>
                <w:szCs w:val="22"/>
              </w:rPr>
              <w:t> </w:t>
            </w:r>
          </w:p>
        </w:tc>
      </w:tr>
      <w:tr w:rsidR="00ED2FFB">
        <w:trPr>
          <w:trHeight w:val="144"/>
        </w:trPr>
        <w:tc>
          <w:tcPr>
            <w:tcW w:w="631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Majetok prijatý do úschovy</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 </w:t>
            </w:r>
          </w:p>
        </w:tc>
        <w:tc>
          <w:tcPr>
            <w:tcW w:w="16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r>
              <w:rPr>
                <w:rFonts w:ascii="Arial Narrow" w:hAnsi="Arial Narrow" w:cs="Arial Narrow"/>
                <w:sz w:val="22"/>
                <w:szCs w:val="22"/>
              </w:rPr>
              <w:t> </w:t>
            </w:r>
          </w:p>
        </w:tc>
      </w:tr>
      <w:tr w:rsidR="00ED2FFB">
        <w:trPr>
          <w:trHeight w:val="161"/>
        </w:trPr>
        <w:tc>
          <w:tcPr>
            <w:tcW w:w="631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Pohľadávky z opcií</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 </w:t>
            </w:r>
          </w:p>
        </w:tc>
        <w:tc>
          <w:tcPr>
            <w:tcW w:w="16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r>
              <w:rPr>
                <w:rFonts w:ascii="Arial Narrow" w:hAnsi="Arial Narrow" w:cs="Arial Narrow"/>
                <w:sz w:val="22"/>
                <w:szCs w:val="22"/>
              </w:rPr>
              <w:t> </w:t>
            </w:r>
          </w:p>
        </w:tc>
      </w:tr>
      <w:tr w:rsidR="00ED2FFB">
        <w:trPr>
          <w:trHeight w:val="161"/>
        </w:trPr>
        <w:tc>
          <w:tcPr>
            <w:tcW w:w="631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Záväzky z opcií</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c>
          <w:tcPr>
            <w:tcW w:w="16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r>
      <w:tr w:rsidR="00ED2FFB">
        <w:trPr>
          <w:trHeight w:val="161"/>
        </w:trPr>
        <w:tc>
          <w:tcPr>
            <w:tcW w:w="631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Odpísané pohľadávky</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c>
          <w:tcPr>
            <w:tcW w:w="16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r>
      <w:tr w:rsidR="00ED2FFB">
        <w:trPr>
          <w:trHeight w:val="161"/>
        </w:trPr>
        <w:tc>
          <w:tcPr>
            <w:tcW w:w="6311" w:type="dxa"/>
            <w:tcBorders>
              <w:top w:val="single" w:sz="4" w:space="0" w:color="000000"/>
              <w:left w:val="single" w:sz="4" w:space="0" w:color="000000"/>
              <w:bottom w:val="single" w:sz="4" w:space="0" w:color="000000"/>
            </w:tcBorders>
            <w:shd w:val="clear" w:color="auto" w:fill="auto"/>
            <w:vAlign w:val="center"/>
          </w:tcPr>
          <w:p w:rsidR="00ED2FFB" w:rsidRDefault="00ED2FFB">
            <w:pPr>
              <w:rPr>
                <w:rFonts w:ascii="Arial Narrow" w:hAnsi="Arial Narrow" w:cs="Arial Narrow"/>
                <w:sz w:val="22"/>
                <w:szCs w:val="22"/>
              </w:rPr>
            </w:pPr>
            <w:r>
              <w:rPr>
                <w:rFonts w:ascii="Arial Narrow" w:hAnsi="Arial Narrow" w:cs="Arial Narrow"/>
                <w:sz w:val="22"/>
                <w:szCs w:val="22"/>
              </w:rPr>
              <w:t>Iné ............................</w:t>
            </w:r>
          </w:p>
        </w:tc>
        <w:tc>
          <w:tcPr>
            <w:tcW w:w="1701" w:type="dxa"/>
            <w:tcBorders>
              <w:top w:val="single" w:sz="4" w:space="0" w:color="000000"/>
              <w:left w:val="single" w:sz="4" w:space="0" w:color="000000"/>
              <w:bottom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c>
          <w:tcPr>
            <w:tcW w:w="16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2FFB" w:rsidRDefault="00ED2FFB">
            <w:pPr>
              <w:snapToGrid w:val="0"/>
              <w:rPr>
                <w:rFonts w:ascii="Arial Narrow" w:hAnsi="Arial Narrow" w:cs="Arial Narrow"/>
                <w:sz w:val="22"/>
                <w:szCs w:val="22"/>
              </w:rPr>
            </w:pPr>
          </w:p>
        </w:tc>
      </w:tr>
    </w:tbl>
    <w:p w:rsidR="00ED2FFB" w:rsidRDefault="00ED2FFB">
      <w:pPr>
        <w:jc w:val="both"/>
        <w:rPr>
          <w:rFonts w:ascii="Arial Narrow" w:hAnsi="Arial Narrow" w:cs="Arial Narrow"/>
          <w:sz w:val="22"/>
          <w:szCs w:val="22"/>
        </w:rPr>
      </w:pPr>
    </w:p>
    <w:p w:rsidR="00ED2FFB" w:rsidRDefault="00ED2FFB">
      <w:pPr>
        <w:ind w:right="-468"/>
        <w:jc w:val="center"/>
        <w:rPr>
          <w:rFonts w:ascii="Arial Narrow" w:hAnsi="Arial Narrow" w:cs="Arial Narrow"/>
          <w:b/>
          <w:bCs/>
          <w:sz w:val="22"/>
          <w:szCs w:val="22"/>
        </w:rPr>
      </w:pPr>
    </w:p>
    <w:p w:rsidR="00ED2FFB" w:rsidRDefault="00ED2FFB">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rsidR="00ED2FFB" w:rsidRDefault="00ED2FFB">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rsidR="00ED2FFB" w:rsidRDefault="00ED2FFB">
      <w:pPr>
        <w:ind w:right="-468"/>
        <w:jc w:val="center"/>
        <w:rPr>
          <w:rFonts w:ascii="Arial Narrow" w:hAnsi="Arial Narrow" w:cs="Arial Narrow"/>
          <w:b/>
          <w:bCs/>
          <w:sz w:val="22"/>
          <w:szCs w:val="22"/>
        </w:rPr>
      </w:pPr>
    </w:p>
    <w:p w:rsidR="00ED2FFB" w:rsidRDefault="00ED2FFB">
      <w:pPr>
        <w:spacing w:after="120"/>
        <w:jc w:val="both"/>
        <w:rPr>
          <w:rFonts w:ascii="Arial Narrow" w:hAnsi="Arial Narrow" w:cs="Arial Narrow"/>
          <w:sz w:val="22"/>
          <w:szCs w:val="22"/>
        </w:rPr>
      </w:pPr>
      <w:r>
        <w:rPr>
          <w:rFonts w:ascii="Arial Narrow" w:hAnsi="Arial Narrow" w:cs="Arial Narrow"/>
          <w:sz w:val="22"/>
          <w:szCs w:val="22"/>
        </w:rPr>
        <w:t xml:space="preserve">Uvádzajú sa informácie o charaktere a finančnom vplyve významných udalostí, ktoré nastali v čase po </w:t>
      </w:r>
      <w:proofErr w:type="spellStart"/>
      <w:r>
        <w:rPr>
          <w:rFonts w:ascii="Arial Narrow" w:hAnsi="Arial Narrow" w:cs="Arial Narrow"/>
          <w:sz w:val="22"/>
          <w:szCs w:val="22"/>
        </w:rPr>
        <w:t>závierkovom</w:t>
      </w:r>
      <w:proofErr w:type="spellEnd"/>
      <w:r>
        <w:rPr>
          <w:rFonts w:ascii="Arial Narrow" w:hAnsi="Arial Narrow" w:cs="Arial Narrow"/>
          <w:sz w:val="22"/>
          <w:szCs w:val="22"/>
        </w:rPr>
        <w:t xml:space="preserve"> dni - do dňa zostavenia účtovnej závierky (</w:t>
      </w:r>
      <w:proofErr w:type="spellStart"/>
      <w:r>
        <w:rPr>
          <w:rFonts w:ascii="Arial Narrow" w:hAnsi="Arial Narrow" w:cs="Arial Narrow"/>
          <w:sz w:val="22"/>
          <w:szCs w:val="22"/>
        </w:rPr>
        <w:t>t.j</w:t>
      </w:r>
      <w:proofErr w:type="spellEnd"/>
      <w:r>
        <w:rPr>
          <w:rFonts w:ascii="Arial Narrow" w:hAnsi="Arial Narrow" w:cs="Arial Narrow"/>
          <w:sz w:val="22"/>
          <w:szCs w:val="22"/>
        </w:rPr>
        <w:t xml:space="preserve">. do dňa podpísania výkazov podľa § 17/5 </w:t>
      </w:r>
      <w:proofErr w:type="spellStart"/>
      <w:r>
        <w:rPr>
          <w:rFonts w:ascii="Arial Narrow" w:hAnsi="Arial Narrow" w:cs="Arial Narrow"/>
          <w:sz w:val="22"/>
          <w:szCs w:val="22"/>
        </w:rPr>
        <w:t>ZoU</w:t>
      </w:r>
      <w:proofErr w:type="spellEnd"/>
      <w:r>
        <w:rPr>
          <w:rFonts w:ascii="Arial Narrow" w:hAnsi="Arial Narrow" w:cs="Arial Narrow"/>
          <w:sz w:val="22"/>
          <w:szCs w:val="22"/>
        </w:rPr>
        <w:t>) a ktoré nie sú zohľadnené v súvahe alebo vo výkaze ziskov a strát, napríklad:</w:t>
      </w: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Pokles alebo zvýšenie trhovej ceny finančného majetku</w:t>
      </w:r>
      <w:r>
        <w:rPr>
          <w:rFonts w:ascii="Arial Narrow" w:hAnsi="Arial Narrow" w:cs="Arial Narrow"/>
          <w:sz w:val="22"/>
          <w:szCs w:val="22"/>
        </w:rPr>
        <w:t xml:space="preserve"> ako dôsledku udalostí, ktoré nastali po dni, ku ktorému sa zostavuje účtovná závierka do dňa zostavenia účtovnej závierky s uvedením dôvodu týchto zmien: </w:t>
      </w:r>
    </w:p>
    <w:p w:rsidR="00ED2FFB" w:rsidRDefault="00ED2FFB">
      <w:pPr>
        <w:jc w:val="both"/>
        <w:rPr>
          <w:rFonts w:ascii="Arial Narrow" w:hAnsi="Arial Narrow" w:cs="Arial Narrow"/>
          <w:sz w:val="22"/>
          <w:szCs w:val="22"/>
        </w:rPr>
      </w:pPr>
    </w:p>
    <w:p w:rsidR="0052070D" w:rsidRDefault="00ED2FFB">
      <w:pPr>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Dôvody pre zmenu výšky rezerv a opravných položiek</w:t>
      </w:r>
      <w:r>
        <w:rPr>
          <w:rFonts w:ascii="Arial Narrow" w:hAnsi="Arial Narrow" w:cs="Arial Narrow"/>
          <w:sz w:val="22"/>
          <w:szCs w:val="22"/>
        </w:rPr>
        <w:t>, ktoré nastali v dôsledku udalostí po dni, ku ktorému sa zostavuje účtovná závierka do dňa zostavenia účtovnej závierky</w:t>
      </w:r>
    </w:p>
    <w:p w:rsidR="00A04E31" w:rsidRDefault="00A04E31">
      <w:pPr>
        <w:jc w:val="both"/>
        <w:rPr>
          <w:rFonts w:ascii="Arial Narrow" w:hAnsi="Arial Narrow" w:cs="Arial Narrow"/>
          <w:sz w:val="22"/>
          <w:szCs w:val="22"/>
        </w:rPr>
      </w:pPr>
    </w:p>
    <w:p w:rsidR="00ED2FFB" w:rsidRDefault="00ED2FFB" w:rsidP="001872CF">
      <w:pPr>
        <w:numPr>
          <w:ilvl w:val="0"/>
          <w:numId w:val="11"/>
        </w:numPr>
        <w:tabs>
          <w:tab w:val="clear" w:pos="720"/>
          <w:tab w:val="num" w:pos="360"/>
        </w:tabs>
        <w:ind w:left="0" w:hanging="720"/>
        <w:jc w:val="both"/>
        <w:rPr>
          <w:rFonts w:ascii="Arial Narrow" w:hAnsi="Arial Narrow" w:cs="Arial Narrow"/>
          <w:sz w:val="22"/>
          <w:szCs w:val="22"/>
        </w:rPr>
      </w:pPr>
      <w:r>
        <w:rPr>
          <w:rFonts w:ascii="Arial Narrow" w:hAnsi="Arial Narrow" w:cs="Arial Narrow"/>
          <w:sz w:val="22"/>
          <w:szCs w:val="22"/>
        </w:rPr>
        <w:t>Zmena spoločníkov účtovnej jednotky:</w:t>
      </w:r>
      <w:r w:rsidR="00230153">
        <w:rPr>
          <w:rFonts w:ascii="Arial Narrow" w:hAnsi="Arial Narrow" w:cs="Arial Narrow"/>
          <w:sz w:val="22"/>
          <w:szCs w:val="22"/>
        </w:rPr>
        <w:t xml:space="preserve"> </w:t>
      </w:r>
      <w:r w:rsidR="00A04E31">
        <w:rPr>
          <w:rFonts w:ascii="Arial Narrow" w:hAnsi="Arial Narrow" w:cs="Arial Narrow"/>
          <w:sz w:val="22"/>
          <w:szCs w:val="22"/>
        </w:rPr>
        <w:t xml:space="preserve">Spoločníci v marci 2019 spísali po schválení valným zhromaždením zmluvu </w:t>
      </w:r>
      <w:r w:rsidR="009127E6">
        <w:rPr>
          <w:rFonts w:ascii="Arial Narrow" w:hAnsi="Arial Narrow" w:cs="Arial Narrow"/>
          <w:sz w:val="22"/>
          <w:szCs w:val="22"/>
        </w:rPr>
        <w:t xml:space="preserve">o </w:t>
      </w:r>
      <w:r w:rsidR="00A04E31">
        <w:rPr>
          <w:rFonts w:ascii="Arial Narrow" w:hAnsi="Arial Narrow" w:cs="Arial Narrow"/>
          <w:sz w:val="22"/>
          <w:szCs w:val="22"/>
        </w:rPr>
        <w:t xml:space="preserve">predaji obchodných podielov spoločnosti Východoslovenská energetika </w:t>
      </w:r>
      <w:proofErr w:type="spellStart"/>
      <w:r w:rsidR="00A04E31">
        <w:rPr>
          <w:rFonts w:ascii="Arial Narrow" w:hAnsi="Arial Narrow" w:cs="Arial Narrow"/>
          <w:sz w:val="22"/>
          <w:szCs w:val="22"/>
        </w:rPr>
        <w:t>a.s</w:t>
      </w:r>
      <w:proofErr w:type="spellEnd"/>
      <w:r w:rsidR="00A04E31">
        <w:rPr>
          <w:rFonts w:ascii="Arial Narrow" w:hAnsi="Arial Narrow" w:cs="Arial Narrow"/>
          <w:sz w:val="22"/>
          <w:szCs w:val="22"/>
        </w:rPr>
        <w:t>.</w:t>
      </w:r>
    </w:p>
    <w:p w:rsidR="001872CF" w:rsidRDefault="001872CF" w:rsidP="001872CF">
      <w:pPr>
        <w:numPr>
          <w:ilvl w:val="0"/>
          <w:numId w:val="11"/>
        </w:numPr>
        <w:tabs>
          <w:tab w:val="clear" w:pos="720"/>
          <w:tab w:val="num" w:pos="360"/>
        </w:tabs>
        <w:ind w:left="0" w:hanging="720"/>
        <w:jc w:val="both"/>
        <w:rPr>
          <w:rFonts w:ascii="Arial Narrow" w:hAnsi="Arial Narrow" w:cs="Arial Narrow"/>
          <w:sz w:val="22"/>
          <w:szCs w:val="22"/>
        </w:rPr>
      </w:pPr>
      <w:r>
        <w:rPr>
          <w:rFonts w:ascii="Arial Narrow" w:hAnsi="Arial Narrow" w:cs="Arial Narrow"/>
          <w:sz w:val="22"/>
          <w:szCs w:val="22"/>
        </w:rPr>
        <w:lastRenderedPageBreak/>
        <w:t xml:space="preserve">Na valnom zhromaždení bolo schválené premenovanie spoločnosti na </w:t>
      </w:r>
      <w:proofErr w:type="spellStart"/>
      <w:r>
        <w:rPr>
          <w:rFonts w:ascii="Arial Narrow" w:hAnsi="Arial Narrow" w:cs="Arial Narrow"/>
          <w:sz w:val="22"/>
          <w:szCs w:val="22"/>
        </w:rPr>
        <w:t>innogy</w:t>
      </w:r>
      <w:proofErr w:type="spellEnd"/>
      <w:r>
        <w:rPr>
          <w:rFonts w:ascii="Arial Narrow" w:hAnsi="Arial Narrow" w:cs="Arial Narrow"/>
          <w:sz w:val="22"/>
          <w:szCs w:val="22"/>
        </w:rPr>
        <w:t xml:space="preserve"> Solution</w:t>
      </w:r>
      <w:bookmarkStart w:id="0" w:name="_GoBack"/>
      <w:bookmarkEnd w:id="0"/>
      <w:r>
        <w:rPr>
          <w:rFonts w:ascii="Arial Narrow" w:hAnsi="Arial Narrow" w:cs="Arial Narrow"/>
          <w:sz w:val="22"/>
          <w:szCs w:val="22"/>
        </w:rPr>
        <w:t xml:space="preserve">s </w:t>
      </w:r>
      <w:proofErr w:type="spellStart"/>
      <w:r>
        <w:rPr>
          <w:rFonts w:ascii="Arial Narrow" w:hAnsi="Arial Narrow" w:cs="Arial Narrow"/>
          <w:sz w:val="22"/>
          <w:szCs w:val="22"/>
        </w:rPr>
        <w:t>s.r.o</w:t>
      </w:r>
      <w:proofErr w:type="spellEnd"/>
      <w:r>
        <w:rPr>
          <w:rFonts w:ascii="Arial Narrow" w:hAnsi="Arial Narrow" w:cs="Arial Narrow"/>
          <w:sz w:val="22"/>
          <w:szCs w:val="22"/>
        </w:rPr>
        <w:t>.</w:t>
      </w:r>
    </w:p>
    <w:p w:rsidR="00A04E31" w:rsidRDefault="00A04E31" w:rsidP="00A04E31">
      <w:pPr>
        <w:ind w:left="720"/>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rsidR="00230153" w:rsidRDefault="00230153">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rsidR="00ED2FFB" w:rsidRDefault="00ED2FFB">
      <w:pPr>
        <w:jc w:val="both"/>
        <w:rPr>
          <w:rFonts w:ascii="Arial Narrow" w:hAnsi="Arial Narrow" w:cs="Arial Narrow"/>
          <w:sz w:val="22"/>
          <w:szCs w:val="22"/>
        </w:rPr>
      </w:pPr>
    </w:p>
    <w:p w:rsidR="00ED2FFB" w:rsidRDefault="00ED2FFB">
      <w:pPr>
        <w:jc w:val="both"/>
        <w:rPr>
          <w:rFonts w:ascii="Arial Narrow" w:hAnsi="Arial Narrow" w:cs="Arial Narrow"/>
          <w:b/>
          <w:bCs/>
          <w:sz w:val="22"/>
          <w:szCs w:val="22"/>
        </w:rPr>
      </w:pPr>
      <w:r>
        <w:rPr>
          <w:rFonts w:ascii="Arial Narrow" w:hAnsi="Arial Narrow" w:cs="Arial Narrow"/>
          <w:sz w:val="22"/>
          <w:szCs w:val="22"/>
        </w:rPr>
        <w:t xml:space="preserve">[Vysvetlivky: </w:t>
      </w:r>
      <w:r>
        <w:rPr>
          <w:rFonts w:ascii="Arial Narrow" w:hAnsi="Arial Narrow" w:cs="Arial Narrow"/>
          <w:sz w:val="22"/>
          <w:szCs w:val="22"/>
          <w:u w:val="single"/>
        </w:rPr>
        <w:t>Následná udalosť</w:t>
      </w:r>
      <w:r>
        <w:rPr>
          <w:rFonts w:ascii="Arial Narrow" w:hAnsi="Arial Narrow" w:cs="Arial Narrow"/>
          <w:sz w:val="22"/>
          <w:szCs w:val="22"/>
        </w:rPr>
        <w:t xml:space="preserve"> – udalosť, ktorá sa stala následne po </w:t>
      </w:r>
      <w:proofErr w:type="spellStart"/>
      <w:r>
        <w:rPr>
          <w:rFonts w:ascii="Arial Narrow" w:hAnsi="Arial Narrow" w:cs="Arial Narrow"/>
          <w:sz w:val="22"/>
          <w:szCs w:val="22"/>
        </w:rPr>
        <w:t>závierkovom</w:t>
      </w:r>
      <w:proofErr w:type="spellEnd"/>
      <w:r>
        <w:rPr>
          <w:rFonts w:ascii="Arial Narrow" w:hAnsi="Arial Narrow" w:cs="Arial Narrow"/>
          <w:sz w:val="22"/>
          <w:szCs w:val="22"/>
        </w:rPr>
        <w:t xml:space="preserve"> dni do dňa podpísania výkazov – uvádza sa v poznámkach. </w:t>
      </w:r>
      <w:r>
        <w:rPr>
          <w:rFonts w:ascii="Arial Narrow" w:hAnsi="Arial Narrow" w:cs="Arial Narrow"/>
          <w:sz w:val="22"/>
          <w:szCs w:val="22"/>
          <w:u w:val="single"/>
        </w:rPr>
        <w:t xml:space="preserve">Upravujúci </w:t>
      </w:r>
      <w:proofErr w:type="spellStart"/>
      <w:r>
        <w:rPr>
          <w:rFonts w:ascii="Arial Narrow" w:hAnsi="Arial Narrow" w:cs="Arial Narrow"/>
          <w:sz w:val="22"/>
          <w:szCs w:val="22"/>
          <w:u w:val="single"/>
        </w:rPr>
        <w:t>závierkový</w:t>
      </w:r>
      <w:proofErr w:type="spellEnd"/>
      <w:r>
        <w:rPr>
          <w:rFonts w:ascii="Arial Narrow" w:hAnsi="Arial Narrow" w:cs="Arial Narrow"/>
          <w:sz w:val="22"/>
          <w:szCs w:val="22"/>
          <w:u w:val="single"/>
        </w:rPr>
        <w:t xml:space="preserve"> účtovný prípad</w:t>
      </w:r>
      <w:r>
        <w:rPr>
          <w:rFonts w:ascii="Arial Narrow" w:hAnsi="Arial Narrow" w:cs="Arial Narrow"/>
          <w:sz w:val="22"/>
          <w:szCs w:val="22"/>
        </w:rPr>
        <w:t xml:space="preserve"> – stal sa do </w:t>
      </w:r>
      <w:proofErr w:type="spellStart"/>
      <w:r>
        <w:rPr>
          <w:rFonts w:ascii="Arial Narrow" w:hAnsi="Arial Narrow" w:cs="Arial Narrow"/>
          <w:sz w:val="22"/>
          <w:szCs w:val="22"/>
        </w:rPr>
        <w:t>závierkového</w:t>
      </w:r>
      <w:proofErr w:type="spellEnd"/>
      <w:r>
        <w:rPr>
          <w:rFonts w:ascii="Arial Narrow" w:hAnsi="Arial Narrow" w:cs="Arial Narrow"/>
          <w:sz w:val="22"/>
          <w:szCs w:val="22"/>
        </w:rPr>
        <w:t xml:space="preserve"> dňa, len bol zistený do dňa podpísania výkazov – riadne sa účtuje do hlavnej knihy a riadne sa vykazuje vo výkazoch (§ 17/8 </w:t>
      </w:r>
      <w:proofErr w:type="spellStart"/>
      <w:r>
        <w:rPr>
          <w:rFonts w:ascii="Arial Narrow" w:hAnsi="Arial Narrow" w:cs="Arial Narrow"/>
          <w:sz w:val="22"/>
          <w:szCs w:val="22"/>
        </w:rPr>
        <w:t>ZoU</w:t>
      </w:r>
      <w:proofErr w:type="spellEnd"/>
      <w:r>
        <w:rPr>
          <w:rFonts w:ascii="Arial Narrow" w:hAnsi="Arial Narrow" w:cs="Arial Narrow"/>
          <w:sz w:val="22"/>
          <w:szCs w:val="22"/>
        </w:rPr>
        <w:t>; § 2a; § 18/9; § 19/6; § 48/3; § 50/6 PU).]</w:t>
      </w:r>
    </w:p>
    <w:p w:rsidR="00ED2FFB" w:rsidRDefault="00ED2FFB">
      <w:pPr>
        <w:ind w:right="-468"/>
        <w:jc w:val="center"/>
        <w:rPr>
          <w:rFonts w:ascii="Arial Narrow" w:hAnsi="Arial Narrow" w:cs="Arial Narrow"/>
          <w:b/>
          <w:bCs/>
          <w:sz w:val="22"/>
          <w:szCs w:val="22"/>
        </w:rPr>
      </w:pPr>
    </w:p>
    <w:p w:rsidR="00ED2FFB" w:rsidRDefault="00ED2FFB">
      <w:pPr>
        <w:ind w:right="-468"/>
        <w:jc w:val="center"/>
        <w:rPr>
          <w:rFonts w:ascii="Arial Narrow" w:hAnsi="Arial Narrow" w:cs="Arial Narrow"/>
          <w:b/>
          <w:bCs/>
          <w:sz w:val="22"/>
          <w:szCs w:val="22"/>
        </w:rPr>
      </w:pPr>
    </w:p>
    <w:p w:rsidR="00ED2FFB" w:rsidRDefault="00ED2FFB">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rsidR="00ED2FFB" w:rsidRDefault="00ED2FFB">
      <w:pPr>
        <w:ind w:right="-468"/>
        <w:jc w:val="both"/>
        <w:rPr>
          <w:rFonts w:ascii="Arial Narrow" w:hAnsi="Arial Narrow" w:cs="Arial Narrow"/>
          <w:b/>
          <w:bCs/>
          <w:sz w:val="22"/>
          <w:szCs w:val="22"/>
        </w:rPr>
      </w:pPr>
    </w:p>
    <w:p w:rsidR="00ED2FFB" w:rsidRDefault="00ED2FFB">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w:t>
      </w:r>
    </w:p>
    <w:p w:rsidR="00ED2FFB" w:rsidRDefault="00ED2FFB">
      <w:pPr>
        <w:spacing w:after="120"/>
        <w:ind w:right="-471"/>
        <w:jc w:val="both"/>
        <w:rPr>
          <w:rFonts w:ascii="Arial Narrow" w:hAnsi="Arial Narrow" w:cs="Arial Narrow"/>
          <w:bCs/>
          <w:sz w:val="22"/>
          <w:szCs w:val="22"/>
        </w:rPr>
      </w:pPr>
      <w:r>
        <w:rPr>
          <w:rFonts w:ascii="Arial Narrow" w:hAnsi="Arial Narrow" w:cs="Arial Narrow"/>
          <w:bCs/>
          <w:sz w:val="22"/>
          <w:szCs w:val="22"/>
        </w:rPr>
        <w:t xml:space="preserve">2) Informácie o osobitnej kategórii priemyselnej výroby (§ 23d/6 </w:t>
      </w:r>
      <w:proofErr w:type="spellStart"/>
      <w:r>
        <w:rPr>
          <w:rFonts w:ascii="Arial Narrow" w:hAnsi="Arial Narrow" w:cs="Arial Narrow"/>
          <w:bCs/>
          <w:sz w:val="22"/>
          <w:szCs w:val="22"/>
        </w:rPr>
        <w:t>ZoU</w:t>
      </w:r>
      <w:proofErr w:type="spellEnd"/>
      <w:r>
        <w:rPr>
          <w:rFonts w:ascii="Arial Narrow" w:hAnsi="Arial Narrow" w:cs="Arial Narrow"/>
          <w:bCs/>
          <w:sz w:val="22"/>
          <w:szCs w:val="22"/>
        </w:rPr>
        <w:t>):</w:t>
      </w:r>
    </w:p>
    <w:p w:rsidR="00ED2FFB" w:rsidRDefault="00ED2FFB">
      <w:pPr>
        <w:spacing w:after="120"/>
        <w:ind w:right="-471"/>
        <w:jc w:val="both"/>
      </w:pPr>
      <w:r>
        <w:rPr>
          <w:rFonts w:ascii="Arial Narrow" w:hAnsi="Arial Narrow" w:cs="Arial Narrow"/>
          <w:bCs/>
          <w:sz w:val="22"/>
          <w:szCs w:val="22"/>
        </w:rPr>
        <w:t xml:space="preserve">3) Informácie o finančných vzťahoch s orgánmi verejnej moci (§ 23d/6 </w:t>
      </w:r>
      <w:proofErr w:type="spellStart"/>
      <w:r>
        <w:rPr>
          <w:rFonts w:ascii="Arial Narrow" w:hAnsi="Arial Narrow" w:cs="Arial Narrow"/>
          <w:bCs/>
          <w:sz w:val="22"/>
          <w:szCs w:val="22"/>
        </w:rPr>
        <w:t>ZoU</w:t>
      </w:r>
      <w:proofErr w:type="spellEnd"/>
      <w:r>
        <w:rPr>
          <w:rFonts w:ascii="Arial Narrow" w:hAnsi="Arial Narrow" w:cs="Arial Narrow"/>
          <w:bCs/>
          <w:sz w:val="22"/>
          <w:szCs w:val="22"/>
        </w:rPr>
        <w:t>):</w:t>
      </w:r>
    </w:p>
    <w:sectPr w:rsidR="00ED2FFB">
      <w:headerReference w:type="default" r:id="rId8"/>
      <w:footerReference w:type="even" r:id="rId9"/>
      <w:footerReference w:type="default" r:id="rId10"/>
      <w:headerReference w:type="first" r:id="rId11"/>
      <w:footerReference w:type="first" r:id="rId12"/>
      <w:pgSz w:w="11906" w:h="16838"/>
      <w:pgMar w:top="1417" w:right="992" w:bottom="1417" w:left="1417" w:header="567" w:footer="567"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27A51" w:rsidRDefault="00D27A51">
      <w:r>
        <w:separator/>
      </w:r>
    </w:p>
  </w:endnote>
  <w:endnote w:type="continuationSeparator" w:id="0">
    <w:p w:rsidR="00D27A51" w:rsidRDefault="00D27A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0153" w:rsidRDefault="0023015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0153" w:rsidRDefault="00230153">
    <w:pPr>
      <w:pStyle w:val="Pta"/>
      <w:jc w:val="right"/>
    </w:pPr>
    <w:r>
      <w:fldChar w:fldCharType="begin"/>
    </w:r>
    <w:r>
      <w:instrText xml:space="preserve"> PAGE </w:instrText>
    </w:r>
    <w:r>
      <w:fldChar w:fldCharType="separate"/>
    </w:r>
    <w:r>
      <w:rPr>
        <w:noProof/>
      </w:rPr>
      <w:t>1</w:t>
    </w:r>
    <w:r>
      <w:fldChar w:fldCharType="end"/>
    </w:r>
  </w:p>
  <w:p w:rsidR="00230153" w:rsidRDefault="00230153">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0153" w:rsidRDefault="0023015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27A51" w:rsidRDefault="00D27A51">
      <w:r>
        <w:separator/>
      </w:r>
    </w:p>
  </w:footnote>
  <w:footnote w:type="continuationSeparator" w:id="0">
    <w:p w:rsidR="00D27A51" w:rsidRDefault="00D27A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0153" w:rsidRDefault="00230153">
    <w:pPr>
      <w:pStyle w:val="Zkladntext"/>
      <w:tabs>
        <w:tab w:val="left" w:pos="2990"/>
        <w:tab w:val="left" w:pos="6348"/>
      </w:tabs>
      <w:ind w:left="-397" w:firstLine="0"/>
      <w:jc w:val="center"/>
    </w:pPr>
    <w:r>
      <w:rPr>
        <w:rFonts w:ascii="Arial" w:hAnsi="Arial" w:cs="Arial"/>
        <w:sz w:val="22"/>
        <w:szCs w:val="22"/>
        <w:lang w:val="sk-SK"/>
      </w:rPr>
      <w:t>Po</w:t>
    </w:r>
    <w:r>
      <w:rPr>
        <w:rFonts w:ascii="Arial" w:hAnsi="Arial" w:cs="Arial"/>
        <w:spacing w:val="1"/>
        <w:sz w:val="22"/>
        <w:szCs w:val="22"/>
        <w:lang w:val="sk-SK"/>
      </w:rPr>
      <w:t>z</w:t>
    </w:r>
    <w:r>
      <w:rPr>
        <w:rFonts w:ascii="Arial" w:hAnsi="Arial" w:cs="Arial"/>
        <w:sz w:val="22"/>
        <w:szCs w:val="22"/>
        <w:lang w:val="sk-SK"/>
      </w:rPr>
      <w:t>n</w:t>
    </w:r>
    <w:r>
      <w:rPr>
        <w:rFonts w:ascii="Arial" w:hAnsi="Arial" w:cs="Arial"/>
        <w:spacing w:val="-1"/>
        <w:sz w:val="22"/>
        <w:szCs w:val="22"/>
        <w:lang w:val="sk-SK"/>
      </w:rPr>
      <w:t>á</w:t>
    </w:r>
    <w:r>
      <w:rPr>
        <w:rFonts w:ascii="Arial" w:hAnsi="Arial" w:cs="Arial"/>
        <w:sz w:val="22"/>
        <w:szCs w:val="22"/>
        <w:lang w:val="sk-SK"/>
      </w:rPr>
      <w:t>m</w:t>
    </w:r>
    <w:r>
      <w:rPr>
        <w:rFonts w:ascii="Arial" w:hAnsi="Arial" w:cs="Arial"/>
        <w:spacing w:val="2"/>
        <w:sz w:val="22"/>
        <w:szCs w:val="22"/>
        <w:lang w:val="sk-SK"/>
      </w:rPr>
      <w:t>k</w:t>
    </w:r>
    <w:r>
      <w:rPr>
        <w:rFonts w:ascii="Arial" w:hAnsi="Arial" w:cs="Arial"/>
        <w:sz w:val="22"/>
        <w:szCs w:val="22"/>
        <w:lang w:val="sk-SK"/>
      </w:rPr>
      <w:t>y</w:t>
    </w:r>
    <w:r>
      <w:rPr>
        <w:rFonts w:ascii="Arial" w:hAnsi="Arial" w:cs="Arial"/>
        <w:spacing w:val="-8"/>
        <w:sz w:val="22"/>
        <w:szCs w:val="22"/>
        <w:lang w:val="sk-SK"/>
      </w:rPr>
      <w:t xml:space="preserve"> </w:t>
    </w:r>
    <w:proofErr w:type="spellStart"/>
    <w:r>
      <w:rPr>
        <w:rFonts w:ascii="Arial" w:hAnsi="Arial" w:cs="Arial"/>
        <w:spacing w:val="1"/>
        <w:sz w:val="22"/>
        <w:szCs w:val="22"/>
        <w:lang w:val="sk-SK"/>
      </w:rPr>
      <w:t>Ú</w:t>
    </w:r>
    <w:r>
      <w:rPr>
        <w:rFonts w:ascii="Arial" w:hAnsi="Arial" w:cs="Arial"/>
        <w:sz w:val="22"/>
        <w:szCs w:val="22"/>
        <w:lang w:val="sk-SK"/>
      </w:rPr>
      <w:t>č</w:t>
    </w:r>
    <w:proofErr w:type="spellEnd"/>
    <w:r>
      <w:rPr>
        <w:rFonts w:ascii="Arial" w:hAnsi="Arial" w:cs="Arial"/>
        <w:sz w:val="22"/>
        <w:szCs w:val="22"/>
      </w:rPr>
      <w:t xml:space="preserve"> POD 3 –</w:t>
    </w:r>
    <w:r>
      <w:rPr>
        <w:rFonts w:ascii="Arial" w:hAnsi="Arial" w:cs="Arial"/>
        <w:spacing w:val="-1"/>
        <w:sz w:val="22"/>
        <w:szCs w:val="22"/>
      </w:rPr>
      <w:t xml:space="preserve"> </w:t>
    </w:r>
    <w:r>
      <w:rPr>
        <w:rFonts w:ascii="Arial" w:hAnsi="Arial" w:cs="Arial"/>
        <w:sz w:val="22"/>
        <w:szCs w:val="22"/>
      </w:rPr>
      <w:t xml:space="preserve">01                           </w:t>
    </w:r>
    <w:r>
      <w:rPr>
        <w:rFonts w:ascii="Arial" w:hAnsi="Arial" w:cs="Arial"/>
        <w:spacing w:val="-6"/>
        <w:sz w:val="22"/>
        <w:szCs w:val="22"/>
      </w:rPr>
      <w:t>I</w:t>
    </w:r>
    <w:r>
      <w:rPr>
        <w:rFonts w:ascii="Arial" w:hAnsi="Arial" w:cs="Arial"/>
        <w:sz w:val="22"/>
        <w:szCs w:val="22"/>
      </w:rPr>
      <w:t xml:space="preserve">ČO: 35867523      </w:t>
    </w:r>
    <w:r>
      <w:rPr>
        <w:rFonts w:ascii="Arial" w:hAnsi="Arial" w:cs="Arial"/>
        <w:spacing w:val="1"/>
        <w:sz w:val="22"/>
        <w:szCs w:val="22"/>
      </w:rPr>
      <w:t>D</w:t>
    </w:r>
    <w:r>
      <w:rPr>
        <w:rFonts w:ascii="Arial" w:hAnsi="Arial" w:cs="Arial"/>
        <w:spacing w:val="-6"/>
        <w:sz w:val="22"/>
        <w:szCs w:val="22"/>
      </w:rPr>
      <w:t>I</w:t>
    </w:r>
    <w:r>
      <w:rPr>
        <w:rFonts w:ascii="Arial" w:hAnsi="Arial" w:cs="Arial"/>
        <w:sz w:val="22"/>
        <w:szCs w:val="22"/>
      </w:rPr>
      <w:t>Č 2020249143</w:t>
    </w:r>
  </w:p>
  <w:p w:rsidR="00230153" w:rsidRDefault="0023015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0153" w:rsidRDefault="0023015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1"/>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3"/>
    <w:lvl w:ilvl="0">
      <w:start w:val="1"/>
      <w:numFmt w:val="bullet"/>
      <w:lvlText w:val=""/>
      <w:lvlJc w:val="left"/>
      <w:pPr>
        <w:tabs>
          <w:tab w:val="num" w:pos="0"/>
        </w:tabs>
        <w:ind w:left="360" w:hanging="360"/>
      </w:pPr>
      <w:rPr>
        <w:rFonts w:ascii="Wingdings" w:hAnsi="Wingdings" w:cs="Wingdings" w:hint="default"/>
        <w:sz w:val="22"/>
        <w:szCs w:val="22"/>
      </w:rPr>
    </w:lvl>
  </w:abstractNum>
  <w:abstractNum w:abstractNumId="2" w15:restartNumberingAfterBreak="0">
    <w:nsid w:val="00000003"/>
    <w:multiLevelType w:val="singleLevel"/>
    <w:tmpl w:val="00000003"/>
    <w:name w:val="WW8Num5"/>
    <w:lvl w:ilvl="0">
      <w:start w:val="1"/>
      <w:numFmt w:val="bullet"/>
      <w:lvlText w:val=""/>
      <w:lvlJc w:val="left"/>
      <w:pPr>
        <w:tabs>
          <w:tab w:val="num" w:pos="0"/>
        </w:tabs>
        <w:ind w:left="360" w:hanging="360"/>
      </w:pPr>
      <w:rPr>
        <w:rFonts w:ascii="Wingdings" w:hAnsi="Wingdings" w:cs="Wingdings" w:hint="default"/>
        <w:sz w:val="22"/>
        <w:szCs w:val="22"/>
      </w:rPr>
    </w:lvl>
  </w:abstractNum>
  <w:abstractNum w:abstractNumId="3" w15:restartNumberingAfterBreak="0">
    <w:nsid w:val="00000004"/>
    <w:multiLevelType w:val="singleLevel"/>
    <w:tmpl w:val="00000004"/>
    <w:name w:val="WW8Num7"/>
    <w:lvl w:ilvl="0">
      <w:start w:val="1"/>
      <w:numFmt w:val="bullet"/>
      <w:lvlText w:val=""/>
      <w:lvlJc w:val="left"/>
      <w:pPr>
        <w:tabs>
          <w:tab w:val="num" w:pos="0"/>
        </w:tabs>
        <w:ind w:left="360" w:hanging="360"/>
      </w:pPr>
      <w:rPr>
        <w:rFonts w:ascii="Wingdings" w:hAnsi="Wingdings" w:cs="Wingdings" w:hint="default"/>
        <w:sz w:val="22"/>
        <w:szCs w:val="22"/>
      </w:rPr>
    </w:lvl>
  </w:abstractNum>
  <w:abstractNum w:abstractNumId="4" w15:restartNumberingAfterBreak="0">
    <w:nsid w:val="00000005"/>
    <w:multiLevelType w:val="singleLevel"/>
    <w:tmpl w:val="00000005"/>
    <w:name w:val="WW8Num10"/>
    <w:lvl w:ilvl="0">
      <w:start w:val="6"/>
      <w:numFmt w:val="bullet"/>
      <w:lvlText w:val="-"/>
      <w:lvlJc w:val="left"/>
      <w:pPr>
        <w:tabs>
          <w:tab w:val="num" w:pos="0"/>
        </w:tabs>
        <w:ind w:left="720" w:hanging="360"/>
      </w:pPr>
      <w:rPr>
        <w:rFonts w:ascii="Arial Narrow" w:hAnsi="Arial Narrow" w:cs="Arial Narrow" w:hint="default"/>
      </w:rPr>
    </w:lvl>
  </w:abstractNum>
  <w:abstractNum w:abstractNumId="5" w15:restartNumberingAfterBreak="0">
    <w:nsid w:val="00000006"/>
    <w:multiLevelType w:val="singleLevel"/>
    <w:tmpl w:val="00000006"/>
    <w:name w:val="WW8Num13"/>
    <w:lvl w:ilvl="0">
      <w:start w:val="1"/>
      <w:numFmt w:val="decimal"/>
      <w:lvlText w:val="%1."/>
      <w:lvlJc w:val="left"/>
      <w:pPr>
        <w:tabs>
          <w:tab w:val="num" w:pos="0"/>
        </w:tabs>
        <w:ind w:left="360" w:hanging="360"/>
      </w:pPr>
    </w:lvl>
  </w:abstractNum>
  <w:abstractNum w:abstractNumId="6" w15:restartNumberingAfterBreak="0">
    <w:nsid w:val="00000007"/>
    <w:multiLevelType w:val="multilevel"/>
    <w:tmpl w:val="00000007"/>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08"/>
    <w:multiLevelType w:val="multilevel"/>
    <w:tmpl w:val="00000008"/>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09"/>
    <w:multiLevelType w:val="multilevel"/>
    <w:tmpl w:val="0000000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0A"/>
    <w:multiLevelType w:val="multilevel"/>
    <w:tmpl w:val="0000000A"/>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0000000B"/>
    <w:multiLevelType w:val="multilevel"/>
    <w:tmpl w:val="0000000B"/>
    <w:lvl w:ilvl="0">
      <w:start w:val="100"/>
      <w:numFmt w:val="low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13"/>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7B03"/>
    <w:rsid w:val="000C03BA"/>
    <w:rsid w:val="0013551A"/>
    <w:rsid w:val="001740BD"/>
    <w:rsid w:val="001872CF"/>
    <w:rsid w:val="00230153"/>
    <w:rsid w:val="00260F92"/>
    <w:rsid w:val="00337B03"/>
    <w:rsid w:val="0038009B"/>
    <w:rsid w:val="003C2F5B"/>
    <w:rsid w:val="004164AB"/>
    <w:rsid w:val="004C362B"/>
    <w:rsid w:val="005008DD"/>
    <w:rsid w:val="0052070D"/>
    <w:rsid w:val="0077312D"/>
    <w:rsid w:val="00841CF7"/>
    <w:rsid w:val="0088198B"/>
    <w:rsid w:val="009127E6"/>
    <w:rsid w:val="0094558E"/>
    <w:rsid w:val="00972BD6"/>
    <w:rsid w:val="009738BA"/>
    <w:rsid w:val="009D6DE5"/>
    <w:rsid w:val="00A04E31"/>
    <w:rsid w:val="00CD6695"/>
    <w:rsid w:val="00D27A51"/>
    <w:rsid w:val="00D34F73"/>
    <w:rsid w:val="00DA670E"/>
    <w:rsid w:val="00DB4A1C"/>
    <w:rsid w:val="00E80409"/>
    <w:rsid w:val="00ED2FFB"/>
    <w:rsid w:val="00F22722"/>
    <w:rsid w:val="00F2663F"/>
    <w:rsid w:val="00F766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2916340"/>
  <w15:chartTrackingRefBased/>
  <w15:docId w15:val="{597A11EF-7886-46C2-937B-8639B5105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uppressAutoHyphens/>
    </w:pPr>
    <w:rPr>
      <w:sz w:val="24"/>
      <w:szCs w:val="24"/>
      <w:lang w:eastAsia="ar-SA"/>
    </w:rPr>
  </w:style>
  <w:style w:type="paragraph" w:styleId="Nadpis1">
    <w:name w:val="heading 1"/>
    <w:basedOn w:val="Normlny"/>
    <w:next w:val="Nadpis2"/>
    <w:qFormat/>
    <w:pPr>
      <w:keepNext/>
      <w:numPr>
        <w:numId w:val="1"/>
      </w:numPr>
      <w:tabs>
        <w:tab w:val="left" w:pos="5220"/>
      </w:tabs>
      <w:spacing w:before="240" w:after="60"/>
      <w:jc w:val="center"/>
      <w:outlineLvl w:val="0"/>
    </w:pPr>
    <w:rPr>
      <w:b/>
      <w:bCs/>
      <w:kern w:val="1"/>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cs="Times New Roman"/>
    </w:rPr>
  </w:style>
  <w:style w:type="character" w:customStyle="1" w:styleId="WW8Num2z0">
    <w:name w:val="WW8Num2z0"/>
    <w:rPr>
      <w:rFonts w:ascii="Wingdings" w:hAnsi="Wingdings" w:cs="Wingdings" w:hint="default"/>
    </w:rPr>
  </w:style>
  <w:style w:type="character" w:customStyle="1" w:styleId="WW8Num2z1">
    <w:name w:val="WW8Num2z1"/>
    <w:rPr>
      <w:rFonts w:ascii="Courier New" w:hAnsi="Courier New" w:cs="Courier New" w:hint="default"/>
    </w:rPr>
  </w:style>
  <w:style w:type="character" w:customStyle="1" w:styleId="WW8Num2z3">
    <w:name w:val="WW8Num2z3"/>
    <w:rPr>
      <w:rFonts w:ascii="Symbol" w:hAnsi="Symbol" w:cs="Symbol" w:hint="default"/>
    </w:rPr>
  </w:style>
  <w:style w:type="character" w:customStyle="1" w:styleId="WW8Num3z0">
    <w:name w:val="WW8Num3z0"/>
    <w:rPr>
      <w:rFonts w:ascii="Wingdings" w:hAnsi="Wingdings" w:cs="Wingdings" w:hint="default"/>
      <w:sz w:val="22"/>
      <w:szCs w:val="22"/>
    </w:rPr>
  </w:style>
  <w:style w:type="character" w:customStyle="1" w:styleId="WW8Num3z1">
    <w:name w:val="WW8Num3z1"/>
    <w:rPr>
      <w:rFonts w:ascii="Courier New" w:hAnsi="Courier New" w:cs="Courier New" w:hint="default"/>
    </w:rPr>
  </w:style>
  <w:style w:type="character" w:customStyle="1" w:styleId="WW8Num3z3">
    <w:name w:val="WW8Num3z3"/>
    <w:rPr>
      <w:rFonts w:ascii="Symbol" w:hAnsi="Symbol" w:cs="Symbol" w:hint="default"/>
    </w:rPr>
  </w:style>
  <w:style w:type="character" w:customStyle="1" w:styleId="WW8Num4z0">
    <w:name w:val="WW8Num4z0"/>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Wingdings" w:hAnsi="Wingdings" w:cs="Wingdings" w:hint="default"/>
      <w:sz w:val="22"/>
      <w:szCs w:val="22"/>
    </w:rPr>
  </w:style>
  <w:style w:type="character" w:customStyle="1" w:styleId="WW8Num5z1">
    <w:name w:val="WW8Num5z1"/>
    <w:rPr>
      <w:rFonts w:ascii="Courier New" w:hAnsi="Courier New" w:cs="Courier New" w:hint="default"/>
    </w:rPr>
  </w:style>
  <w:style w:type="character" w:customStyle="1" w:styleId="WW8Num5z3">
    <w:name w:val="WW8Num5z3"/>
    <w:rPr>
      <w:rFonts w:ascii="Symbol" w:hAnsi="Symbol" w:cs="Symbol" w:hint="default"/>
    </w:rPr>
  </w:style>
  <w:style w:type="character" w:customStyle="1" w:styleId="WW8Num6z0">
    <w:name w:val="WW8Num6z0"/>
    <w:rPr>
      <w:rFonts w:ascii="Wingdings" w:hAnsi="Wingdings" w:cs="Wingdings" w:hint="default"/>
    </w:rPr>
  </w:style>
  <w:style w:type="character" w:customStyle="1" w:styleId="WW8Num6z1">
    <w:name w:val="WW8Num6z1"/>
    <w:rPr>
      <w:rFonts w:ascii="Courier New" w:hAnsi="Courier New" w:cs="Courier New" w:hint="default"/>
    </w:rPr>
  </w:style>
  <w:style w:type="character" w:customStyle="1" w:styleId="WW8Num6z3">
    <w:name w:val="WW8Num6z3"/>
    <w:rPr>
      <w:rFonts w:ascii="Symbol" w:hAnsi="Symbol" w:cs="Symbol" w:hint="default"/>
    </w:rPr>
  </w:style>
  <w:style w:type="character" w:customStyle="1" w:styleId="WW8Num7z0">
    <w:name w:val="WW8Num7z0"/>
    <w:rPr>
      <w:rFonts w:ascii="Wingdings" w:hAnsi="Wingdings" w:cs="Wingdings" w:hint="default"/>
      <w:sz w:val="22"/>
      <w:szCs w:val="22"/>
    </w:rPr>
  </w:style>
  <w:style w:type="character" w:customStyle="1" w:styleId="WW8Num7z1">
    <w:name w:val="WW8Num7z1"/>
    <w:rPr>
      <w:rFonts w:ascii="Courier New" w:hAnsi="Courier New" w:cs="Courier New" w:hint="default"/>
    </w:rPr>
  </w:style>
  <w:style w:type="character" w:customStyle="1" w:styleId="WW8Num7z3">
    <w:name w:val="WW8Num7z3"/>
    <w:rPr>
      <w:rFonts w:ascii="Symbol" w:hAnsi="Symbol" w:cs="Symbol" w:hint="default"/>
    </w:rPr>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Arial Narrow" w:eastAsia="Times New Roman" w:hAnsi="Arial Narrow" w:cs="Arial Narrow" w:hint="default"/>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0z3">
    <w:name w:val="WW8Num10z3"/>
    <w:rPr>
      <w:rFonts w:ascii="Symbol" w:hAnsi="Symbol" w:cs="Symbol" w:hint="default"/>
    </w:rPr>
  </w:style>
  <w:style w:type="character" w:customStyle="1" w:styleId="WW8Num11z0">
    <w:name w:val="WW8Num11z0"/>
    <w:rPr>
      <w:rFonts w:ascii="Wingdings" w:hAnsi="Wingdings" w:cs="Wingdings" w:hint="default"/>
    </w:rPr>
  </w:style>
  <w:style w:type="character" w:customStyle="1" w:styleId="WW8Num11z1">
    <w:name w:val="WW8Num11z1"/>
    <w:rPr>
      <w:rFonts w:ascii="Courier New" w:hAnsi="Courier New" w:cs="Courier New" w:hint="default"/>
    </w:rPr>
  </w:style>
  <w:style w:type="character" w:customStyle="1" w:styleId="WW8Num11z3">
    <w:name w:val="WW8Num11z3"/>
    <w:rPr>
      <w:rFonts w:ascii="Symbol" w:hAnsi="Symbol" w:cs="Symbol" w:hint="default"/>
    </w:rPr>
  </w:style>
  <w:style w:type="character" w:customStyle="1" w:styleId="WW8Num12z0">
    <w:name w:val="WW8Num12z0"/>
    <w:rPr>
      <w:rFonts w:ascii="Times New Roman" w:hAnsi="Times New Roman" w:cs="Times New Roman"/>
      <w:b w:val="0"/>
      <w:bCs w:val="0"/>
      <w:i w:val="0"/>
      <w:iCs w:val="0"/>
      <w:caps w:val="0"/>
      <w:smallCaps w:val="0"/>
      <w:strike w:val="0"/>
      <w:dstrike w:val="0"/>
      <w:vanish w:val="0"/>
      <w:color w:val="auto"/>
      <w:spacing w:val="0"/>
      <w:w w:val="100"/>
      <w:kern w:val="1"/>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rPr>
      <w:rFonts w:hint="default"/>
    </w:rPr>
  </w:style>
  <w:style w:type="character" w:customStyle="1" w:styleId="WW8Num12z7">
    <w:name w:val="WW8Num12z7"/>
  </w:style>
  <w:style w:type="character" w:customStyle="1" w:styleId="WW8Num12z8">
    <w:name w:val="WW8Num12z8"/>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Wingdings" w:hAnsi="Wingdings" w:cs="Wingdings" w:hint="default"/>
    </w:rPr>
  </w:style>
  <w:style w:type="character" w:customStyle="1" w:styleId="WW8Num14z1">
    <w:name w:val="WW8Num14z1"/>
    <w:rPr>
      <w:rFonts w:ascii="Courier New" w:hAnsi="Courier New" w:cs="Courier New" w:hint="default"/>
    </w:rPr>
  </w:style>
  <w:style w:type="character" w:customStyle="1" w:styleId="WW8Num14z3">
    <w:name w:val="WW8Num14z3"/>
    <w:rPr>
      <w:rFonts w:ascii="Symbol" w:hAnsi="Symbol" w:cs="Symbol" w:hint="default"/>
    </w:rPr>
  </w:style>
  <w:style w:type="character" w:customStyle="1" w:styleId="WW8Num15z0">
    <w:name w:val="WW8Num15z0"/>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ascii="Wingdings" w:hAnsi="Wingdings" w:cs="Wingdings" w:hint="default"/>
    </w:rPr>
  </w:style>
  <w:style w:type="character" w:customStyle="1" w:styleId="WW8Num16z1">
    <w:name w:val="WW8Num16z1"/>
    <w:rPr>
      <w:rFonts w:ascii="Courier New" w:hAnsi="Courier New" w:cs="Courier New" w:hint="default"/>
    </w:rPr>
  </w:style>
  <w:style w:type="character" w:customStyle="1" w:styleId="WW8Num16z3">
    <w:name w:val="WW8Num16z3"/>
    <w:rPr>
      <w:rFonts w:ascii="Symbol" w:hAnsi="Symbol" w:cs="Symbol" w:hint="default"/>
    </w:rPr>
  </w:style>
  <w:style w:type="character" w:customStyle="1" w:styleId="WW8Num17z0">
    <w:name w:val="WW8Num17z0"/>
    <w:rPr>
      <w:rFonts w:hint="default"/>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Predvolenpsmoodseku1">
    <w:name w:val="Predvolené písmo odseku1"/>
  </w:style>
  <w:style w:type="character" w:customStyle="1" w:styleId="Nadpis1Char">
    <w:name w:val="Nadpis 1 Char"/>
    <w:rPr>
      <w:b/>
      <w:bCs/>
      <w:kern w:val="1"/>
      <w:sz w:val="24"/>
      <w:szCs w:val="24"/>
      <w:lang w:val="sk-SK"/>
    </w:rPr>
  </w:style>
  <w:style w:type="character" w:customStyle="1" w:styleId="Nadpis2Char">
    <w:name w:val="Nadpis 2 Char"/>
    <w:rPr>
      <w:rFonts w:ascii="Cambria" w:eastAsia="Times New Roman" w:hAnsi="Cambria" w:cs="Cambria"/>
      <w:b/>
      <w:bCs/>
      <w:i/>
      <w:iCs/>
      <w:sz w:val="28"/>
      <w:szCs w:val="28"/>
    </w:rPr>
  </w:style>
  <w:style w:type="character" w:customStyle="1" w:styleId="TextpoznmkypodiarouChar">
    <w:name w:val="Text poznámky pod čiarou Char"/>
    <w:rPr>
      <w:sz w:val="20"/>
      <w:szCs w:val="20"/>
    </w:rPr>
  </w:style>
  <w:style w:type="character" w:customStyle="1" w:styleId="Znakyprepoznmkupodiarou">
    <w:name w:val="Znaky pre poznámku pod čiarou"/>
    <w:rPr>
      <w:vertAlign w:val="superscript"/>
    </w:rPr>
  </w:style>
  <w:style w:type="character" w:customStyle="1" w:styleId="PtaChar">
    <w:name w:val="Päta Char"/>
    <w:rPr>
      <w:sz w:val="24"/>
      <w:szCs w:val="24"/>
    </w:rPr>
  </w:style>
  <w:style w:type="character" w:styleId="slostrany">
    <w:name w:val="page number"/>
    <w:basedOn w:val="Predvolenpsmoodseku1"/>
  </w:style>
  <w:style w:type="character" w:customStyle="1" w:styleId="NzovChar">
    <w:name w:val="Názov Char"/>
    <w:rPr>
      <w:rFonts w:ascii="Arial Narrow" w:hAnsi="Arial Narrow" w:cs="Arial Narrow"/>
      <w:b/>
      <w:bCs/>
      <w:kern w:val="1"/>
      <w:sz w:val="32"/>
      <w:szCs w:val="32"/>
      <w:lang w:val="sk-SK"/>
    </w:rPr>
  </w:style>
  <w:style w:type="character" w:customStyle="1" w:styleId="HlavikaChar">
    <w:name w:val="Hlavička Char"/>
    <w:rPr>
      <w:sz w:val="24"/>
      <w:szCs w:val="24"/>
      <w:lang w:val="sk-SK"/>
    </w:rPr>
  </w:style>
  <w:style w:type="character" w:customStyle="1" w:styleId="ZkladntextChar">
    <w:name w:val="Základný text Char"/>
    <w:rPr>
      <w:sz w:val="24"/>
      <w:szCs w:val="24"/>
      <w:lang w:val="en-US"/>
    </w:rPr>
  </w:style>
  <w:style w:type="character" w:customStyle="1" w:styleId="Symbolypreslovanie">
    <w:name w:val="Symboly pre číslovanie"/>
  </w:style>
  <w:style w:type="paragraph" w:customStyle="1" w:styleId="Nadpis">
    <w:name w:val="Nadpis"/>
    <w:basedOn w:val="Normlny"/>
    <w:next w:val="Zkladntext"/>
    <w:pPr>
      <w:keepNext/>
      <w:spacing w:before="240" w:after="120"/>
    </w:pPr>
    <w:rPr>
      <w:rFonts w:ascii="Arial" w:eastAsia="Microsoft YaHei" w:hAnsi="Arial" w:cs="Mangal"/>
      <w:sz w:val="28"/>
      <w:szCs w:val="28"/>
    </w:rPr>
  </w:style>
  <w:style w:type="paragraph" w:styleId="Zkladntext">
    <w:name w:val="Body Text"/>
    <w:basedOn w:val="Normlny"/>
    <w:pPr>
      <w:widowControl w:val="0"/>
      <w:ind w:left="668" w:hanging="567"/>
    </w:pPr>
    <w:rPr>
      <w:lang w:val="en-US"/>
    </w:rPr>
  </w:style>
  <w:style w:type="paragraph" w:styleId="Zoznam">
    <w:name w:val="List"/>
    <w:basedOn w:val="Zkladntext"/>
    <w:rPr>
      <w:rFonts w:cs="Mangal"/>
    </w:rPr>
  </w:style>
  <w:style w:type="paragraph" w:customStyle="1" w:styleId="Popisok">
    <w:name w:val="Popisok"/>
    <w:basedOn w:val="Normlny"/>
    <w:pPr>
      <w:suppressLineNumbers/>
      <w:spacing w:before="120" w:after="120"/>
    </w:pPr>
    <w:rPr>
      <w:rFonts w:cs="Mangal"/>
      <w:i/>
      <w:iCs/>
    </w:rPr>
  </w:style>
  <w:style w:type="paragraph" w:customStyle="1" w:styleId="Index">
    <w:name w:val="Index"/>
    <w:basedOn w:val="Normlny"/>
    <w:pPr>
      <w:suppressLineNumbers/>
    </w:pPr>
    <w:rPr>
      <w:rFonts w:cs="Mangal"/>
    </w:rPr>
  </w:style>
  <w:style w:type="paragraph" w:customStyle="1" w:styleId="Zkladntext0">
    <w:name w:val="Základní text"/>
    <w:pPr>
      <w:suppressAutoHyphens/>
      <w:spacing w:after="240"/>
      <w:jc w:val="both"/>
    </w:pPr>
    <w:rPr>
      <w:color w:val="000000"/>
      <w:sz w:val="24"/>
      <w:szCs w:val="24"/>
      <w:lang w:eastAsia="ar-SA"/>
    </w:rPr>
  </w:style>
  <w:style w:type="paragraph" w:styleId="Textpoznmkypodiarou">
    <w:name w:val="footnote text"/>
    <w:basedOn w:val="Normlny"/>
    <w:rPr>
      <w:sz w:val="20"/>
      <w:szCs w:val="20"/>
    </w:rPr>
  </w:style>
  <w:style w:type="paragraph" w:styleId="Pta">
    <w:name w:val="footer"/>
    <w:basedOn w:val="Normlny"/>
    <w:pPr>
      <w:tabs>
        <w:tab w:val="center" w:pos="4536"/>
        <w:tab w:val="right" w:pos="9072"/>
      </w:tabs>
    </w:pPr>
  </w:style>
  <w:style w:type="paragraph" w:styleId="Nzov">
    <w:name w:val="Title"/>
    <w:basedOn w:val="Normlny"/>
    <w:next w:val="Normlny"/>
    <w:qFormat/>
    <w:pPr>
      <w:keepNext/>
      <w:spacing w:before="280" w:after="220"/>
      <w:jc w:val="center"/>
    </w:pPr>
    <w:rPr>
      <w:rFonts w:ascii="Arial Narrow" w:hAnsi="Arial Narrow" w:cs="Arial Narrow"/>
      <w:b/>
      <w:bCs/>
      <w:kern w:val="1"/>
      <w:sz w:val="22"/>
      <w:szCs w:val="22"/>
    </w:rPr>
  </w:style>
  <w:style w:type="paragraph" w:styleId="Podtitul">
    <w:name w:val="Subtitle"/>
    <w:basedOn w:val="Nadpis"/>
    <w:next w:val="Zkladntext"/>
    <w:qFormat/>
    <w:pPr>
      <w:jc w:val="center"/>
    </w:pPr>
    <w:rPr>
      <w:i/>
      <w:iCs/>
    </w:rPr>
  </w:style>
  <w:style w:type="paragraph" w:customStyle="1" w:styleId="TopHeader">
    <w:name w:val="Top Header"/>
    <w:basedOn w:val="Normlny"/>
    <w:pPr>
      <w:jc w:val="center"/>
    </w:pPr>
    <w:rPr>
      <w:rFonts w:ascii="Arial Narrow" w:hAnsi="Arial Narrow" w:cs="Arial Narrow"/>
      <w:b/>
      <w:bCs/>
      <w:sz w:val="22"/>
      <w:szCs w:val="22"/>
    </w:rPr>
  </w:style>
  <w:style w:type="paragraph" w:styleId="Hlavika">
    <w:name w:val="header"/>
    <w:basedOn w:val="Normlny"/>
    <w:pPr>
      <w:tabs>
        <w:tab w:val="center" w:pos="4703"/>
        <w:tab w:val="right" w:pos="9406"/>
      </w:tabs>
    </w:p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E4EC17-C0B9-449E-A150-6018929D80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1853</TotalTime>
  <Pages>1</Pages>
  <Words>3359</Words>
  <Characters>19147</Characters>
  <Application>Microsoft Office Word</Application>
  <DocSecurity>0</DocSecurity>
  <Lines>159</Lines>
  <Paragraphs>44</Paragraphs>
  <ScaleCrop>false</ScaleCrop>
  <HeadingPairs>
    <vt:vector size="2" baseType="variant">
      <vt:variant>
        <vt:lpstr>Názov</vt:lpstr>
      </vt:variant>
      <vt:variant>
        <vt:i4>1</vt:i4>
      </vt:variant>
    </vt:vector>
  </HeadingPairs>
  <TitlesOfParts>
    <vt:vector size="1" baseType="lpstr">
      <vt:lpstr>Návrh</vt:lpstr>
    </vt:vector>
  </TitlesOfParts>
  <Company/>
  <LinksUpToDate>false</LinksUpToDate>
  <CharactersWithSpaces>22462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admin</cp:lastModifiedBy>
  <cp:revision>5</cp:revision>
  <cp:lastPrinted>2015-07-22T08:26:00Z</cp:lastPrinted>
  <dcterms:created xsi:type="dcterms:W3CDTF">2019-03-28T12:49:00Z</dcterms:created>
  <dcterms:modified xsi:type="dcterms:W3CDTF">2019-03-30T09:49:00Z</dcterms:modified>
</cp:coreProperties>
</file>