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5F2" w:rsidRDefault="00CA65F2" w:rsidP="005301BE">
      <w:pPr>
        <w:keepNext/>
        <w:tabs>
          <w:tab w:val="left" w:pos="2635"/>
          <w:tab w:val="center" w:pos="4734"/>
        </w:tabs>
        <w:spacing w:after="0" w:line="240" w:lineRule="auto"/>
        <w:outlineLvl w:val="1"/>
        <w:rPr>
          <w:rFonts w:cs="Arial"/>
          <w:b/>
          <w:bCs/>
          <w:color w:val="FF0000"/>
          <w:sz w:val="24"/>
          <w:szCs w:val="24"/>
          <w:u w:val="single"/>
          <w:lang w:eastAsia="sk-SK"/>
        </w:rPr>
      </w:pPr>
    </w:p>
    <w:p w:rsidR="005301BE" w:rsidRPr="00CA65F2" w:rsidRDefault="005301BE" w:rsidP="005301BE">
      <w:pPr>
        <w:keepNext/>
        <w:tabs>
          <w:tab w:val="left" w:pos="2635"/>
          <w:tab w:val="center" w:pos="4734"/>
        </w:tabs>
        <w:spacing w:after="0" w:line="240" w:lineRule="auto"/>
        <w:outlineLvl w:val="1"/>
        <w:rPr>
          <w:rFonts w:cs="Arial"/>
          <w:b/>
          <w:bCs/>
          <w:i/>
          <w:sz w:val="24"/>
          <w:szCs w:val="24"/>
          <w:u w:val="single"/>
          <w:lang w:eastAsia="sk-SK"/>
        </w:rPr>
      </w:pPr>
      <w:r w:rsidRPr="00CA65F2">
        <w:rPr>
          <w:rFonts w:cs="Arial"/>
          <w:b/>
          <w:bCs/>
          <w:i/>
          <w:sz w:val="24"/>
          <w:szCs w:val="24"/>
          <w:u w:val="single"/>
          <w:lang w:eastAsia="sk-SK"/>
        </w:rPr>
        <w:t>Všeobecné informácie o účtovnej jednotke</w:t>
      </w:r>
    </w:p>
    <w:p w:rsidR="005301BE" w:rsidRPr="00770DB9" w:rsidRDefault="005301BE" w:rsidP="005301BE">
      <w:pPr>
        <w:keepNext/>
        <w:tabs>
          <w:tab w:val="left" w:pos="2635"/>
          <w:tab w:val="center" w:pos="4734"/>
        </w:tabs>
        <w:spacing w:after="0" w:line="240" w:lineRule="auto"/>
        <w:outlineLvl w:val="1"/>
        <w:rPr>
          <w:rFonts w:cs="Arial"/>
          <w:b/>
          <w:bCs/>
          <w:sz w:val="20"/>
          <w:szCs w:val="24"/>
          <w:u w:val="single"/>
          <w:lang w:eastAsia="sk-SK"/>
        </w:rPr>
      </w:pPr>
    </w:p>
    <w:p w:rsidR="005301BE" w:rsidRPr="00770DB9" w:rsidRDefault="00180CF6" w:rsidP="005301BE">
      <w:pPr>
        <w:numPr>
          <w:ilvl w:val="0"/>
          <w:numId w:val="11"/>
        </w:numPr>
        <w:spacing w:after="0" w:line="240" w:lineRule="auto"/>
        <w:jc w:val="both"/>
        <w:rPr>
          <w:rFonts w:cs="Arial"/>
          <w:sz w:val="20"/>
          <w:szCs w:val="24"/>
          <w:u w:val="single"/>
          <w:lang w:eastAsia="sk-SK"/>
        </w:rPr>
      </w:pPr>
      <w:r>
        <w:rPr>
          <w:rFonts w:cs="Arial"/>
          <w:sz w:val="20"/>
          <w:szCs w:val="24"/>
          <w:u w:val="single"/>
          <w:lang w:eastAsia="sk-SK"/>
        </w:rPr>
        <w:t>N</w:t>
      </w:r>
      <w:r w:rsidR="005301BE" w:rsidRPr="00770DB9">
        <w:rPr>
          <w:rFonts w:cs="Arial"/>
          <w:sz w:val="20"/>
          <w:szCs w:val="24"/>
          <w:u w:val="single"/>
          <w:lang w:eastAsia="sk-SK"/>
        </w:rPr>
        <w:t>ázov právnickej osoby a jej sídlo alebo meno a priezvisko fyzickej osoby</w:t>
      </w:r>
    </w:p>
    <w:p w:rsidR="005301BE" w:rsidRPr="00770DB9" w:rsidRDefault="005301BE" w:rsidP="005301BE">
      <w:pPr>
        <w:spacing w:after="0" w:line="240" w:lineRule="auto"/>
        <w:ind w:left="774"/>
        <w:jc w:val="both"/>
        <w:rPr>
          <w:rFonts w:cs="Arial"/>
          <w:sz w:val="20"/>
          <w:szCs w:val="24"/>
          <w:u w:val="single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5301BE" w:rsidRPr="00770DB9" w:rsidTr="00180CF6">
        <w:trPr>
          <w:trHeight w:val="1100"/>
        </w:trPr>
        <w:tc>
          <w:tcPr>
            <w:tcW w:w="1096" w:type="pct"/>
            <w:vAlign w:val="center"/>
          </w:tcPr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</w:p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>Obchodné meno</w:t>
            </w:r>
          </w:p>
        </w:tc>
        <w:tc>
          <w:tcPr>
            <w:tcW w:w="3904" w:type="pct"/>
            <w:vAlign w:val="center"/>
          </w:tcPr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> </w:t>
            </w:r>
            <w:r>
              <w:rPr>
                <w:rFonts w:cs="Arial"/>
                <w:sz w:val="20"/>
                <w:szCs w:val="22"/>
                <w:lang w:eastAsia="sk-SK"/>
              </w:rPr>
              <w:t>Kancelária, s.r.o.</w:t>
            </w:r>
          </w:p>
        </w:tc>
      </w:tr>
      <w:tr w:rsidR="005301BE" w:rsidRPr="00770DB9" w:rsidTr="00180CF6">
        <w:trPr>
          <w:trHeight w:val="390"/>
        </w:trPr>
        <w:tc>
          <w:tcPr>
            <w:tcW w:w="1096" w:type="pct"/>
            <w:vAlign w:val="center"/>
          </w:tcPr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>Sídlo</w:t>
            </w:r>
          </w:p>
        </w:tc>
        <w:tc>
          <w:tcPr>
            <w:tcW w:w="3904" w:type="pct"/>
            <w:vAlign w:val="center"/>
          </w:tcPr>
          <w:p w:rsidR="005301BE" w:rsidRDefault="005301BE" w:rsidP="005301BE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2"/>
                <w:lang w:eastAsia="sk-SK"/>
              </w:rPr>
              <w:t>Kubačova</w:t>
            </w:r>
            <w:proofErr w:type="spellEnd"/>
            <w:r>
              <w:rPr>
                <w:rFonts w:cs="Arial"/>
                <w:sz w:val="20"/>
                <w:szCs w:val="22"/>
                <w:lang w:eastAsia="sk-SK"/>
              </w:rPr>
              <w:t xml:space="preserve"> 1/A   Bratislava – Rača  831 06</w:t>
            </w:r>
          </w:p>
          <w:p w:rsidR="00780E02" w:rsidRPr="00770DB9" w:rsidRDefault="00780E02" w:rsidP="005301BE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</w:p>
        </w:tc>
      </w:tr>
      <w:tr w:rsidR="00780E02" w:rsidRPr="00770DB9" w:rsidTr="00780E02">
        <w:trPr>
          <w:trHeight w:val="390"/>
        </w:trPr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E02" w:rsidRPr="00770DB9" w:rsidRDefault="00780E02" w:rsidP="00780E02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>Právna forma:</w:t>
            </w:r>
          </w:p>
        </w:tc>
        <w:tc>
          <w:tcPr>
            <w:tcW w:w="3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E02" w:rsidRDefault="00780E02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 xml:space="preserve"> Spoločnosť s ručením obmedzeným</w:t>
            </w:r>
          </w:p>
          <w:p w:rsidR="00780E02" w:rsidRPr="00770DB9" w:rsidRDefault="00780E02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</w:p>
        </w:tc>
      </w:tr>
      <w:tr w:rsidR="00780E02" w:rsidRPr="00770DB9" w:rsidTr="00780E02">
        <w:trPr>
          <w:trHeight w:val="390"/>
        </w:trPr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E02" w:rsidRPr="00770DB9" w:rsidRDefault="00780E02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>Dátum vzniku:</w:t>
            </w:r>
          </w:p>
        </w:tc>
        <w:tc>
          <w:tcPr>
            <w:tcW w:w="3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E02" w:rsidRDefault="00780E02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 xml:space="preserve"> Zápisom do obchodného registra : 8.3.2017</w:t>
            </w:r>
          </w:p>
          <w:p w:rsidR="00780E02" w:rsidRPr="00770DB9" w:rsidRDefault="00780E02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</w:p>
        </w:tc>
      </w:tr>
      <w:tr w:rsidR="00780E02" w:rsidRPr="00770DB9" w:rsidTr="00780E02">
        <w:trPr>
          <w:trHeight w:val="390"/>
        </w:trPr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E02" w:rsidRPr="00770DB9" w:rsidRDefault="00780E02" w:rsidP="00780E02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>Hlavný predmet podnikania:</w:t>
            </w:r>
          </w:p>
        </w:tc>
        <w:tc>
          <w:tcPr>
            <w:tcW w:w="3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E02" w:rsidRDefault="00780E02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 xml:space="preserve"> Kúpa tovaru na účely jeho predaja konečnému spotrebiteľovi (maloobchod) alebo iným prevádzkovateľom živnosti (veľkoobchod)</w:t>
            </w:r>
          </w:p>
          <w:p w:rsidR="00780E02" w:rsidRPr="00770DB9" w:rsidRDefault="00780E02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</w:p>
        </w:tc>
      </w:tr>
      <w:tr w:rsidR="002C7465" w:rsidRPr="00770DB9" w:rsidTr="002C7465">
        <w:trPr>
          <w:trHeight w:val="390"/>
        </w:trPr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465" w:rsidRPr="00770DB9" w:rsidRDefault="002C7465" w:rsidP="002C746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>Účtovné obdobie:</w:t>
            </w:r>
          </w:p>
        </w:tc>
        <w:tc>
          <w:tcPr>
            <w:tcW w:w="3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465" w:rsidRDefault="002C7465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 xml:space="preserve">Kalendárny rok (od </w:t>
            </w:r>
            <w:r w:rsidR="00006293">
              <w:rPr>
                <w:rFonts w:cs="Arial"/>
                <w:sz w:val="20"/>
                <w:szCs w:val="22"/>
                <w:lang w:eastAsia="sk-SK"/>
              </w:rPr>
              <w:t>1</w:t>
            </w:r>
            <w:r>
              <w:rPr>
                <w:rFonts w:cs="Arial"/>
                <w:sz w:val="20"/>
                <w:szCs w:val="22"/>
                <w:lang w:eastAsia="sk-SK"/>
              </w:rPr>
              <w:t>.</w:t>
            </w:r>
            <w:r w:rsidR="00006293">
              <w:rPr>
                <w:rFonts w:cs="Arial"/>
                <w:sz w:val="20"/>
                <w:szCs w:val="22"/>
                <w:lang w:eastAsia="sk-SK"/>
              </w:rPr>
              <w:t>1</w:t>
            </w:r>
            <w:r>
              <w:rPr>
                <w:rFonts w:cs="Arial"/>
                <w:sz w:val="20"/>
                <w:szCs w:val="22"/>
                <w:lang w:eastAsia="sk-SK"/>
              </w:rPr>
              <w:t>.201</w:t>
            </w:r>
            <w:r w:rsidR="00006293">
              <w:rPr>
                <w:rFonts w:cs="Arial"/>
                <w:sz w:val="20"/>
                <w:szCs w:val="22"/>
                <w:lang w:eastAsia="sk-SK"/>
              </w:rPr>
              <w:t>8</w:t>
            </w:r>
            <w:r>
              <w:rPr>
                <w:rFonts w:cs="Arial"/>
                <w:sz w:val="20"/>
                <w:szCs w:val="22"/>
                <w:lang w:eastAsia="sk-SK"/>
              </w:rPr>
              <w:t xml:space="preserve"> do 31.12.201</w:t>
            </w:r>
            <w:r w:rsidR="00006293">
              <w:rPr>
                <w:rFonts w:cs="Arial"/>
                <w:sz w:val="20"/>
                <w:szCs w:val="22"/>
                <w:lang w:eastAsia="sk-SK"/>
              </w:rPr>
              <w:t>8</w:t>
            </w:r>
            <w:r>
              <w:rPr>
                <w:rFonts w:cs="Arial"/>
                <w:sz w:val="20"/>
                <w:szCs w:val="22"/>
                <w:lang w:eastAsia="sk-SK"/>
              </w:rPr>
              <w:t>)</w:t>
            </w:r>
          </w:p>
          <w:p w:rsidR="002C7465" w:rsidRPr="00770DB9" w:rsidRDefault="002C7465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</w:p>
        </w:tc>
      </w:tr>
    </w:tbl>
    <w:p w:rsidR="005301BE" w:rsidRDefault="005301BE" w:rsidP="005301BE">
      <w:p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</w:p>
    <w:p w:rsidR="00780E02" w:rsidRPr="00770DB9" w:rsidRDefault="00780E02" w:rsidP="005301BE">
      <w:p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</w:p>
    <w:p w:rsidR="005301BE" w:rsidRPr="00CA65F2" w:rsidRDefault="005301BE" w:rsidP="005301BE">
      <w:pPr>
        <w:numPr>
          <w:ilvl w:val="0"/>
          <w:numId w:val="11"/>
        </w:num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 w:rsidRPr="00CA65F2">
        <w:rPr>
          <w:rFonts w:cs="Arial"/>
          <w:sz w:val="20"/>
          <w:szCs w:val="24"/>
          <w:lang w:eastAsia="sk-SK"/>
        </w:rPr>
        <w:t>Dátum schválenia účtovnej závierky za bezprostredne predchádzajúce účtovné obdobie</w:t>
      </w:r>
    </w:p>
    <w:p w:rsidR="005301BE" w:rsidRPr="005301BE" w:rsidRDefault="005301BE" w:rsidP="005301BE">
      <w:pPr>
        <w:spacing w:after="0" w:line="240" w:lineRule="auto"/>
        <w:ind w:left="774"/>
        <w:jc w:val="both"/>
        <w:rPr>
          <w:rFonts w:cs="Arial"/>
          <w:color w:val="000000" w:themeColor="text1"/>
          <w:sz w:val="20"/>
          <w:szCs w:val="24"/>
          <w:lang w:eastAsia="sk-SK"/>
        </w:rPr>
      </w:pPr>
      <w:r w:rsidRPr="005301BE">
        <w:rPr>
          <w:rFonts w:cs="Arial"/>
          <w:color w:val="000000" w:themeColor="text1"/>
          <w:sz w:val="20"/>
          <w:szCs w:val="24"/>
          <w:lang w:eastAsia="sk-SK"/>
        </w:rPr>
        <w:t>Dátum vzniku spoločnosti: 8.3. 2017</w:t>
      </w:r>
    </w:p>
    <w:p w:rsidR="005301BE" w:rsidRPr="00AF1B96" w:rsidRDefault="005301BE" w:rsidP="005301BE">
      <w:pPr>
        <w:spacing w:after="0" w:line="240" w:lineRule="auto"/>
        <w:ind w:left="774"/>
        <w:jc w:val="both"/>
        <w:rPr>
          <w:rFonts w:cs="Arial"/>
          <w:sz w:val="20"/>
          <w:szCs w:val="24"/>
          <w:lang w:eastAsia="sk-SK"/>
        </w:rPr>
      </w:pPr>
    </w:p>
    <w:p w:rsidR="005301BE" w:rsidRPr="00CA65F2" w:rsidRDefault="005301BE" w:rsidP="005301BE">
      <w:pPr>
        <w:numPr>
          <w:ilvl w:val="0"/>
          <w:numId w:val="11"/>
        </w:num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 w:rsidRPr="00CA65F2">
        <w:rPr>
          <w:rFonts w:cs="Arial"/>
          <w:sz w:val="20"/>
          <w:szCs w:val="24"/>
          <w:lang w:eastAsia="sk-SK"/>
        </w:rPr>
        <w:t>Právny dôvod zostavenia účtovnej závierky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402"/>
        <w:gridCol w:w="2808"/>
        <w:gridCol w:w="1551"/>
        <w:gridCol w:w="318"/>
      </w:tblGrid>
      <w:tr w:rsidR="005301BE" w:rsidRPr="00AF1B96" w:rsidTr="00180CF6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5301BE" w:rsidRPr="00AF1B96" w:rsidRDefault="005301BE" w:rsidP="00180CF6">
            <w:pPr>
              <w:pStyle w:val="Odsekzoznamu"/>
              <w:keepNext/>
              <w:numPr>
                <w:ilvl w:val="0"/>
                <w:numId w:val="2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  <w:r w:rsidRPr="00AF1B96">
              <w:rPr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  <w:r w:rsidRPr="00AF1B96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  <w:r w:rsidRPr="00AF1B96">
              <w:rPr>
                <w:szCs w:val="22"/>
              </w:rPr>
              <w:t>X</w:t>
            </w:r>
          </w:p>
        </w:tc>
      </w:tr>
      <w:tr w:rsidR="005301BE" w:rsidRPr="00AF1B96" w:rsidTr="00180CF6">
        <w:trPr>
          <w:trHeight w:hRule="exact" w:val="340"/>
        </w:trPr>
        <w:tc>
          <w:tcPr>
            <w:tcW w:w="993" w:type="dxa"/>
            <w:vMerge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1" w:type="dxa"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  <w:r w:rsidRPr="00AF1B96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</w:p>
        </w:tc>
      </w:tr>
      <w:tr w:rsidR="005301BE" w:rsidRPr="00AF1B96" w:rsidTr="00180CF6">
        <w:trPr>
          <w:trHeight w:hRule="exact" w:val="340"/>
        </w:trPr>
        <w:tc>
          <w:tcPr>
            <w:tcW w:w="993" w:type="dxa"/>
            <w:vMerge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  <w:r w:rsidRPr="00AF1B96">
              <w:rPr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</w:p>
        </w:tc>
      </w:tr>
    </w:tbl>
    <w:p w:rsidR="005301BE" w:rsidRPr="00AF1B96" w:rsidRDefault="005301BE" w:rsidP="005301BE">
      <w:pPr>
        <w:pStyle w:val="Odsekzoznamu"/>
        <w:rPr>
          <w:rFonts w:cs="Arial"/>
          <w:color w:val="C00000"/>
          <w:sz w:val="20"/>
          <w:szCs w:val="24"/>
          <w:u w:val="single"/>
          <w:lang w:eastAsia="sk-SK"/>
        </w:rPr>
      </w:pPr>
    </w:p>
    <w:p w:rsidR="005301BE" w:rsidRPr="005301BE" w:rsidRDefault="00180CF6" w:rsidP="005301BE">
      <w:pPr>
        <w:numPr>
          <w:ilvl w:val="0"/>
          <w:numId w:val="11"/>
        </w:num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>
        <w:rPr>
          <w:rFonts w:cs="Arial"/>
          <w:sz w:val="20"/>
          <w:szCs w:val="24"/>
          <w:u w:val="single"/>
          <w:lang w:eastAsia="sk-SK"/>
        </w:rPr>
        <w:t>I</w:t>
      </w:r>
      <w:r w:rsidR="005301BE" w:rsidRPr="005301BE">
        <w:rPr>
          <w:rFonts w:cs="Arial"/>
          <w:sz w:val="20"/>
          <w:szCs w:val="24"/>
          <w:u w:val="single"/>
          <w:lang w:eastAsia="sk-SK"/>
        </w:rPr>
        <w:t>nformácie o konsolidovanom celku,</w:t>
      </w:r>
      <w:r w:rsidR="005301BE" w:rsidRPr="005301BE">
        <w:rPr>
          <w:rFonts w:cs="Arial"/>
          <w:sz w:val="20"/>
          <w:szCs w:val="24"/>
          <w:lang w:eastAsia="sk-SK"/>
        </w:rPr>
        <w:t xml:space="preserve"> </w:t>
      </w:r>
    </w:p>
    <w:p w:rsidR="005301BE" w:rsidRPr="00770DB9" w:rsidRDefault="005301BE" w:rsidP="005301BE">
      <w:pPr>
        <w:spacing w:after="0" w:line="240" w:lineRule="auto"/>
        <w:ind w:left="1494"/>
        <w:jc w:val="both"/>
        <w:rPr>
          <w:rFonts w:cs="Arial"/>
          <w:sz w:val="20"/>
          <w:szCs w:val="24"/>
          <w:lang w:eastAsia="sk-SK"/>
        </w:rPr>
      </w:pPr>
    </w:p>
    <w:p w:rsidR="005301BE" w:rsidRPr="00770DB9" w:rsidRDefault="005301BE" w:rsidP="002C7465">
      <w:pPr>
        <w:spacing w:after="0" w:line="240" w:lineRule="auto"/>
        <w:ind w:left="1134"/>
        <w:jc w:val="both"/>
        <w:rPr>
          <w:rFonts w:cs="Arial"/>
          <w:sz w:val="20"/>
          <w:szCs w:val="24"/>
          <w:lang w:eastAsia="sk-SK"/>
        </w:rPr>
      </w:pPr>
      <w:r w:rsidRPr="00770DB9">
        <w:rPr>
          <w:rFonts w:cs="Arial"/>
          <w:sz w:val="20"/>
          <w:szCs w:val="24"/>
          <w:lang w:eastAsia="sk-SK"/>
        </w:rPr>
        <w:t>Účtovná jednotka nie je súčasťou konsolidovaného celku a účtovná jednotka nie je materskou účtovnou jednotkou (uvedené sa uvádza, ak obchodnú spoločnosť vlastnia len fyzické osoby a sama účtovná jednotka nevlastní akcie alebo obchodné podiely (účet 061,062,063)).</w:t>
      </w:r>
    </w:p>
    <w:p w:rsidR="005301BE" w:rsidRPr="00770DB9" w:rsidRDefault="005301BE" w:rsidP="005301BE">
      <w:pPr>
        <w:spacing w:after="0" w:line="240" w:lineRule="auto"/>
        <w:ind w:left="1494"/>
        <w:jc w:val="both"/>
        <w:rPr>
          <w:rFonts w:cs="Arial"/>
          <w:sz w:val="20"/>
          <w:szCs w:val="24"/>
          <w:lang w:eastAsia="sk-SK"/>
        </w:rPr>
      </w:pPr>
    </w:p>
    <w:p w:rsidR="005301BE" w:rsidRPr="00AF1B96" w:rsidRDefault="00180CF6" w:rsidP="005301BE">
      <w:pPr>
        <w:numPr>
          <w:ilvl w:val="0"/>
          <w:numId w:val="11"/>
        </w:numPr>
        <w:spacing w:after="0" w:line="240" w:lineRule="auto"/>
        <w:jc w:val="both"/>
        <w:rPr>
          <w:rFonts w:cs="Arial"/>
          <w:sz w:val="20"/>
          <w:szCs w:val="24"/>
          <w:u w:val="single"/>
          <w:lang w:eastAsia="sk-SK"/>
        </w:rPr>
      </w:pPr>
      <w:r>
        <w:rPr>
          <w:rFonts w:cs="Arial"/>
          <w:sz w:val="20"/>
          <w:szCs w:val="24"/>
          <w:u w:val="single"/>
          <w:lang w:eastAsia="sk-SK"/>
        </w:rPr>
        <w:t>P</w:t>
      </w:r>
      <w:r w:rsidR="005301BE" w:rsidRPr="00770DB9">
        <w:rPr>
          <w:rFonts w:cs="Arial"/>
          <w:sz w:val="20"/>
          <w:szCs w:val="24"/>
          <w:u w:val="single"/>
          <w:lang w:eastAsia="sk-SK"/>
        </w:rPr>
        <w:t>riemerný</w:t>
      </w:r>
      <w:r w:rsidR="005301BE" w:rsidRPr="00AF1B96">
        <w:rPr>
          <w:rFonts w:cs="Arial"/>
          <w:sz w:val="20"/>
          <w:szCs w:val="24"/>
          <w:u w:val="single"/>
          <w:lang w:eastAsia="sk-SK"/>
        </w:rPr>
        <w:t xml:space="preserve"> prepočítaný počet zamestnancov</w:t>
      </w:r>
    </w:p>
    <w:p w:rsidR="005301BE" w:rsidRPr="00AF1B96" w:rsidRDefault="005301BE" w:rsidP="005301BE">
      <w:pPr>
        <w:spacing w:after="0" w:line="240" w:lineRule="auto"/>
        <w:jc w:val="both"/>
        <w:rPr>
          <w:rFonts w:cs="Arial"/>
          <w:sz w:val="20"/>
          <w:szCs w:val="24"/>
          <w:u w:val="single"/>
          <w:lang w:eastAsia="sk-SK"/>
        </w:rPr>
      </w:pPr>
    </w:p>
    <w:tbl>
      <w:tblPr>
        <w:tblW w:w="4721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92"/>
        <w:gridCol w:w="6605"/>
        <w:gridCol w:w="1301"/>
      </w:tblGrid>
      <w:tr w:rsidR="005301BE" w:rsidRPr="00AF1B96" w:rsidTr="00180CF6">
        <w:trPr>
          <w:trHeight w:val="340"/>
          <w:jc w:val="center"/>
        </w:trPr>
        <w:tc>
          <w:tcPr>
            <w:tcW w:w="802" w:type="dxa"/>
            <w:vMerge w:val="restart"/>
            <w:vAlign w:val="center"/>
            <w:hideMark/>
          </w:tcPr>
          <w:p w:rsidR="005301BE" w:rsidRPr="00AF1B96" w:rsidRDefault="005301BE" w:rsidP="00180CF6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5301BE" w:rsidRPr="00AF1B96" w:rsidRDefault="005301BE" w:rsidP="00180CF6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AF1B96">
              <w:rPr>
                <w:szCs w:val="22"/>
              </w:rPr>
              <w:t>Priemerný prepočítaný počet zamestnancov  bežné účtovné obdobie</w:t>
            </w:r>
          </w:p>
        </w:tc>
        <w:tc>
          <w:tcPr>
            <w:tcW w:w="1320" w:type="dxa"/>
          </w:tcPr>
          <w:p w:rsidR="005301BE" w:rsidRDefault="005301BE" w:rsidP="00006293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006293">
              <w:rPr>
                <w:szCs w:val="22"/>
              </w:rPr>
              <w:t>2</w:t>
            </w:r>
            <w:r>
              <w:rPr>
                <w:szCs w:val="22"/>
              </w:rPr>
              <w:t>,</w:t>
            </w:r>
            <w:r w:rsidR="00006293">
              <w:rPr>
                <w:szCs w:val="22"/>
              </w:rPr>
              <w:t>1</w:t>
            </w:r>
          </w:p>
          <w:p w:rsidR="00006293" w:rsidRPr="00AF1B96" w:rsidRDefault="00006293" w:rsidP="00006293">
            <w:pPr>
              <w:pStyle w:val="Odsekzoznamu"/>
              <w:spacing w:after="0" w:line="240" w:lineRule="auto"/>
              <w:rPr>
                <w:szCs w:val="22"/>
              </w:rPr>
            </w:pPr>
          </w:p>
        </w:tc>
      </w:tr>
      <w:tr w:rsidR="005301BE" w:rsidRPr="00AF1B96" w:rsidTr="00180CF6">
        <w:trPr>
          <w:trHeight w:val="340"/>
          <w:jc w:val="center"/>
        </w:trPr>
        <w:tc>
          <w:tcPr>
            <w:tcW w:w="802" w:type="dxa"/>
            <w:vMerge/>
            <w:vAlign w:val="center"/>
            <w:hideMark/>
          </w:tcPr>
          <w:p w:rsidR="005301BE" w:rsidRPr="00AF1B96" w:rsidRDefault="005301BE" w:rsidP="00180CF6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5301BE" w:rsidRPr="00AF1B96" w:rsidRDefault="005301BE" w:rsidP="00180CF6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AF1B96">
              <w:rPr>
                <w:szCs w:val="22"/>
              </w:rPr>
              <w:t>Priemerný prepočítaný počet zamestnancov  bezprostredne predchádzajúce ÚO</w:t>
            </w:r>
          </w:p>
        </w:tc>
        <w:tc>
          <w:tcPr>
            <w:tcW w:w="1320" w:type="dxa"/>
          </w:tcPr>
          <w:p w:rsidR="005301BE" w:rsidRPr="00AF1B96" w:rsidRDefault="00006293" w:rsidP="00180CF6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13,7</w:t>
            </w:r>
          </w:p>
        </w:tc>
      </w:tr>
    </w:tbl>
    <w:p w:rsidR="005301BE" w:rsidRPr="00770DB9" w:rsidRDefault="005301BE" w:rsidP="005301BE">
      <w:pPr>
        <w:spacing w:after="0" w:line="240" w:lineRule="auto"/>
        <w:jc w:val="both"/>
        <w:rPr>
          <w:rFonts w:cs="Arial"/>
          <w:sz w:val="20"/>
          <w:szCs w:val="24"/>
          <w:u w:val="single"/>
          <w:lang w:eastAsia="sk-SK"/>
        </w:rPr>
      </w:pPr>
    </w:p>
    <w:p w:rsidR="005301BE" w:rsidRPr="00770DB9" w:rsidRDefault="005301BE" w:rsidP="005301BE">
      <w:pPr>
        <w:spacing w:after="0" w:line="240" w:lineRule="auto"/>
        <w:ind w:left="1481"/>
        <w:jc w:val="both"/>
        <w:rPr>
          <w:rFonts w:cs="Arial"/>
          <w:sz w:val="20"/>
          <w:szCs w:val="24"/>
          <w:lang w:eastAsia="sk-SK"/>
        </w:rPr>
      </w:pPr>
      <w:r w:rsidRPr="00770DB9">
        <w:rPr>
          <w:rFonts w:cs="Arial"/>
          <w:sz w:val="20"/>
          <w:szCs w:val="24"/>
          <w:lang w:eastAsia="sk-SK"/>
        </w:rPr>
        <w:t xml:space="preserve"> </w:t>
      </w:r>
    </w:p>
    <w:p w:rsidR="005301BE" w:rsidRPr="00CA65F2" w:rsidRDefault="005301BE" w:rsidP="005301BE">
      <w:pPr>
        <w:tabs>
          <w:tab w:val="left" w:pos="851"/>
        </w:tabs>
        <w:spacing w:after="0" w:line="240" w:lineRule="auto"/>
        <w:jc w:val="both"/>
        <w:rPr>
          <w:rFonts w:cs="Arial"/>
          <w:b/>
          <w:i/>
          <w:sz w:val="24"/>
          <w:szCs w:val="24"/>
          <w:u w:val="single"/>
          <w:lang w:eastAsia="sk-SK"/>
        </w:rPr>
      </w:pPr>
      <w:r w:rsidRPr="00CA65F2">
        <w:rPr>
          <w:rFonts w:cs="Arial"/>
          <w:b/>
          <w:i/>
          <w:sz w:val="24"/>
          <w:szCs w:val="24"/>
          <w:u w:val="single"/>
          <w:lang w:eastAsia="sk-SK"/>
        </w:rPr>
        <w:t>Informácie o prijatých postupoch</w:t>
      </w:r>
    </w:p>
    <w:p w:rsidR="005301BE" w:rsidRPr="00770DB9" w:rsidRDefault="005301BE" w:rsidP="005301BE">
      <w:pPr>
        <w:tabs>
          <w:tab w:val="left" w:pos="851"/>
        </w:tabs>
        <w:spacing w:after="0" w:line="240" w:lineRule="auto"/>
        <w:jc w:val="both"/>
        <w:rPr>
          <w:rFonts w:cs="Arial"/>
          <w:b/>
          <w:sz w:val="24"/>
          <w:szCs w:val="24"/>
          <w:u w:val="single"/>
          <w:lang w:eastAsia="sk-SK"/>
        </w:rPr>
      </w:pPr>
    </w:p>
    <w:p w:rsidR="005301BE" w:rsidRDefault="005301BE" w:rsidP="005301BE">
      <w:pPr>
        <w:numPr>
          <w:ilvl w:val="0"/>
          <w:numId w:val="13"/>
        </w:numPr>
        <w:tabs>
          <w:tab w:val="left" w:pos="851"/>
        </w:tabs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 w:rsidRPr="005301BE">
        <w:rPr>
          <w:rFonts w:cs="Arial"/>
          <w:sz w:val="20"/>
          <w:szCs w:val="24"/>
          <w:lang w:eastAsia="sk-SK"/>
        </w:rPr>
        <w:t xml:space="preserve">Účtovná závierka bola zostavená za predpokladu, že účtovná jednotka bude nepretržite pokračovať vo svojej činnosti </w:t>
      </w:r>
    </w:p>
    <w:p w:rsidR="005301BE" w:rsidRPr="00770DB9" w:rsidRDefault="005301BE" w:rsidP="005301BE">
      <w:pPr>
        <w:numPr>
          <w:ilvl w:val="0"/>
          <w:numId w:val="13"/>
        </w:numPr>
        <w:tabs>
          <w:tab w:val="left" w:pos="851"/>
        </w:tabs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>
        <w:rPr>
          <w:rFonts w:cs="Arial"/>
          <w:sz w:val="20"/>
          <w:szCs w:val="24"/>
          <w:lang w:eastAsia="sk-SK"/>
        </w:rPr>
        <w:t>P</w:t>
      </w:r>
      <w:r w:rsidRPr="00770DB9">
        <w:rPr>
          <w:rFonts w:cs="Arial"/>
          <w:sz w:val="20"/>
          <w:szCs w:val="24"/>
          <w:lang w:eastAsia="sk-SK"/>
        </w:rPr>
        <w:t>opis oceňovania  jednotlivých položiek majetku a záväzkov, o ktorých konkrétna účtovná jednotka účtuje. Popisujú sa ocenenie konkrétneho majetku a záväzkov účtovnej jednotky.</w:t>
      </w:r>
    </w:p>
    <w:p w:rsidR="005301BE" w:rsidRDefault="005301BE" w:rsidP="005301BE">
      <w:pPr>
        <w:spacing w:after="0" w:line="240" w:lineRule="auto"/>
        <w:ind w:left="708"/>
        <w:rPr>
          <w:rFonts w:cs="Arial"/>
          <w:sz w:val="20"/>
          <w:szCs w:val="24"/>
        </w:rPr>
      </w:pPr>
    </w:p>
    <w:p w:rsidR="002C7465" w:rsidRDefault="002C7465" w:rsidP="005301BE">
      <w:pPr>
        <w:spacing w:after="0" w:line="240" w:lineRule="auto"/>
        <w:ind w:left="708"/>
        <w:rPr>
          <w:rFonts w:cs="Arial"/>
          <w:b/>
          <w:i/>
          <w:sz w:val="20"/>
          <w:szCs w:val="24"/>
        </w:rPr>
      </w:pPr>
    </w:p>
    <w:p w:rsidR="002C7465" w:rsidRDefault="002C7465" w:rsidP="005301BE">
      <w:pPr>
        <w:spacing w:after="0" w:line="240" w:lineRule="auto"/>
        <w:ind w:left="708"/>
        <w:rPr>
          <w:rFonts w:cs="Arial"/>
          <w:b/>
          <w:i/>
          <w:sz w:val="20"/>
          <w:szCs w:val="24"/>
        </w:rPr>
      </w:pPr>
    </w:p>
    <w:p w:rsidR="002C7465" w:rsidRDefault="002C7465" w:rsidP="005301BE">
      <w:pPr>
        <w:spacing w:after="0" w:line="240" w:lineRule="auto"/>
        <w:ind w:left="708"/>
        <w:rPr>
          <w:rFonts w:cs="Arial"/>
          <w:b/>
          <w:i/>
          <w:sz w:val="20"/>
          <w:szCs w:val="24"/>
        </w:rPr>
      </w:pPr>
    </w:p>
    <w:p w:rsidR="002C7465" w:rsidRDefault="002C7465" w:rsidP="005301BE">
      <w:pPr>
        <w:spacing w:after="0" w:line="240" w:lineRule="auto"/>
        <w:ind w:left="708"/>
        <w:rPr>
          <w:rFonts w:cs="Arial"/>
          <w:b/>
          <w:i/>
          <w:sz w:val="20"/>
          <w:szCs w:val="24"/>
        </w:rPr>
      </w:pPr>
    </w:p>
    <w:p w:rsidR="002C7465" w:rsidRDefault="002C7465" w:rsidP="005301BE">
      <w:pPr>
        <w:spacing w:after="0" w:line="240" w:lineRule="auto"/>
        <w:ind w:left="708"/>
        <w:rPr>
          <w:rFonts w:cs="Arial"/>
          <w:b/>
          <w:i/>
          <w:sz w:val="20"/>
          <w:szCs w:val="24"/>
        </w:rPr>
      </w:pPr>
    </w:p>
    <w:p w:rsidR="002C7465" w:rsidRDefault="002C7465" w:rsidP="002C7465">
      <w:pPr>
        <w:spacing w:after="0" w:line="240" w:lineRule="auto"/>
        <w:jc w:val="both"/>
        <w:rPr>
          <w:rFonts w:cs="Arial"/>
          <w:sz w:val="20"/>
          <w:szCs w:val="22"/>
          <w:lang w:eastAsia="sk-SK"/>
        </w:rPr>
      </w:pPr>
    </w:p>
    <w:p w:rsidR="002C7465" w:rsidRDefault="002C7465" w:rsidP="005301BE">
      <w:pPr>
        <w:spacing w:after="0" w:line="240" w:lineRule="auto"/>
        <w:ind w:left="708"/>
        <w:rPr>
          <w:rFonts w:cs="Arial"/>
          <w:b/>
          <w:i/>
          <w:sz w:val="20"/>
          <w:szCs w:val="24"/>
        </w:rPr>
      </w:pPr>
    </w:p>
    <w:p w:rsidR="002C7465" w:rsidRDefault="002C7465" w:rsidP="005301BE">
      <w:pPr>
        <w:spacing w:after="0" w:line="240" w:lineRule="auto"/>
        <w:ind w:left="708"/>
        <w:rPr>
          <w:rFonts w:cs="Arial"/>
          <w:b/>
          <w:i/>
          <w:sz w:val="20"/>
          <w:szCs w:val="24"/>
        </w:rPr>
      </w:pPr>
    </w:p>
    <w:p w:rsidR="005D18A4" w:rsidRPr="005D18A4" w:rsidRDefault="005D18A4" w:rsidP="005301BE">
      <w:pPr>
        <w:spacing w:after="0" w:line="240" w:lineRule="auto"/>
        <w:ind w:left="708"/>
        <w:rPr>
          <w:rFonts w:cs="Arial"/>
          <w:b/>
          <w:i/>
          <w:sz w:val="20"/>
          <w:szCs w:val="24"/>
        </w:rPr>
      </w:pPr>
      <w:r w:rsidRPr="005D18A4">
        <w:rPr>
          <w:rFonts w:cs="Arial"/>
          <w:b/>
          <w:i/>
          <w:sz w:val="20"/>
          <w:szCs w:val="24"/>
        </w:rPr>
        <w:t>Spôsob a určenie ocenenia majetku a záväzkov</w:t>
      </w:r>
    </w:p>
    <w:p w:rsidR="005301BE" w:rsidRPr="00770DB9" w:rsidRDefault="005301BE" w:rsidP="005301BE">
      <w:pPr>
        <w:tabs>
          <w:tab w:val="left" w:pos="851"/>
        </w:tabs>
        <w:spacing w:after="0" w:line="240" w:lineRule="auto"/>
        <w:ind w:left="720"/>
        <w:jc w:val="both"/>
        <w:rPr>
          <w:rFonts w:cs="Arial"/>
          <w:sz w:val="20"/>
          <w:szCs w:val="24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301BE" w:rsidRPr="00770DB9" w:rsidTr="00180CF6">
        <w:tc>
          <w:tcPr>
            <w:tcW w:w="9072" w:type="dxa"/>
            <w:gridSpan w:val="2"/>
            <w:vAlign w:val="center"/>
          </w:tcPr>
          <w:p w:rsidR="005301BE" w:rsidRPr="00770DB9" w:rsidRDefault="005301BE" w:rsidP="00530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 Obstarávacou cenou – </w:t>
            </w:r>
            <w:r w:rsidRPr="00770DB9">
              <w:rPr>
                <w:rFonts w:cs="Arial"/>
                <w:b/>
                <w:bCs/>
                <w:sz w:val="20"/>
                <w:szCs w:val="24"/>
                <w:lang w:eastAsia="sk-SK"/>
              </w:rPr>
              <w:t xml:space="preserve"> zložky nákladov súvisiacich s obstaraním</w:t>
            </w: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</w:tbl>
    <w:p w:rsidR="005301BE" w:rsidRPr="00770DB9" w:rsidRDefault="005301BE" w:rsidP="005301BE">
      <w:pPr>
        <w:spacing w:after="0" w:line="240" w:lineRule="auto"/>
        <w:jc w:val="both"/>
        <w:rPr>
          <w:rFonts w:cs="Arial"/>
          <w:sz w:val="20"/>
          <w:szCs w:val="22"/>
          <w:lang w:eastAsia="sk-SK"/>
        </w:rPr>
      </w:pPr>
    </w:p>
    <w:p w:rsidR="005301BE" w:rsidRPr="00770DB9" w:rsidRDefault="005301BE" w:rsidP="005301BE">
      <w:pPr>
        <w:spacing w:after="0" w:line="240" w:lineRule="auto"/>
        <w:jc w:val="both"/>
        <w:rPr>
          <w:rFonts w:cs="Arial"/>
          <w:sz w:val="20"/>
          <w:szCs w:val="22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301BE" w:rsidRPr="00770DB9" w:rsidTr="00180CF6">
        <w:tc>
          <w:tcPr>
            <w:tcW w:w="9072" w:type="dxa"/>
            <w:gridSpan w:val="2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 Menovitou hodnotou</w:t>
            </w:r>
          </w:p>
        </w:tc>
      </w:tr>
      <w:tr w:rsidR="005301BE" w:rsidRPr="00770DB9" w:rsidTr="00180CF6">
        <w:tc>
          <w:tcPr>
            <w:tcW w:w="8789" w:type="dxa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jc w:val="both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c>
          <w:tcPr>
            <w:tcW w:w="8789" w:type="dxa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jc w:val="both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c>
          <w:tcPr>
            <w:tcW w:w="8789" w:type="dxa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jc w:val="both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</w:tbl>
    <w:p w:rsidR="005301BE" w:rsidRPr="00770DB9" w:rsidRDefault="005301BE" w:rsidP="005301BE">
      <w:pPr>
        <w:spacing w:after="0" w:line="240" w:lineRule="auto"/>
        <w:jc w:val="both"/>
        <w:rPr>
          <w:rFonts w:cs="Arial"/>
          <w:sz w:val="20"/>
          <w:szCs w:val="22"/>
          <w:lang w:eastAsia="sk-SK"/>
        </w:rPr>
      </w:pPr>
    </w:p>
    <w:p w:rsidR="0003546B" w:rsidRDefault="0003546B" w:rsidP="005301BE">
      <w:pPr>
        <w:spacing w:after="0" w:line="240" w:lineRule="auto"/>
        <w:jc w:val="both"/>
        <w:rPr>
          <w:rFonts w:cs="Arial"/>
          <w:sz w:val="20"/>
          <w:szCs w:val="22"/>
          <w:lang w:eastAsia="sk-SK"/>
        </w:rPr>
      </w:pPr>
    </w:p>
    <w:p w:rsidR="005301BE" w:rsidRPr="00770DB9" w:rsidRDefault="005301BE" w:rsidP="005301BE">
      <w:pPr>
        <w:spacing w:after="0" w:line="240" w:lineRule="auto"/>
        <w:jc w:val="both"/>
        <w:rPr>
          <w:rFonts w:cs="Arial"/>
          <w:sz w:val="20"/>
          <w:szCs w:val="22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301BE" w:rsidRPr="00770DB9" w:rsidTr="00180CF6">
        <w:tc>
          <w:tcPr>
            <w:tcW w:w="9072" w:type="dxa"/>
            <w:gridSpan w:val="2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Úbytok zásob rovnakého druhu sa účtuje v ocenení: </w:t>
            </w: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Obstarávacia cena zásob sa rozdeľuje na cenu za ktoré sa zásoby obstarali</w:t>
            </w:r>
          </w:p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</w:p>
        </w:tc>
      </w:tr>
    </w:tbl>
    <w:p w:rsidR="005301BE" w:rsidRDefault="005301BE" w:rsidP="005301BE">
      <w:pPr>
        <w:spacing w:after="0" w:line="240" w:lineRule="auto"/>
        <w:jc w:val="both"/>
        <w:rPr>
          <w:rFonts w:cs="Arial"/>
          <w:sz w:val="20"/>
          <w:szCs w:val="22"/>
          <w:lang w:eastAsia="sk-SK"/>
        </w:rPr>
      </w:pPr>
    </w:p>
    <w:p w:rsidR="00CA65F2" w:rsidRPr="00770DB9" w:rsidRDefault="00CA65F2" w:rsidP="005301BE">
      <w:pPr>
        <w:spacing w:after="0" w:line="240" w:lineRule="auto"/>
        <w:jc w:val="both"/>
        <w:rPr>
          <w:rFonts w:cs="Arial"/>
          <w:sz w:val="20"/>
          <w:szCs w:val="22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 xml:space="preserve">Výdavky budúcich období a príjmy budúcich období  sa vykazujú vo výške, ktorá je potrebná </w:t>
            </w:r>
          </w:p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Rezervy sú záväzky s neurčitým časovým vymedzením alebo výškou; tvoria sa na krytie známych</w:t>
            </w:r>
          </w:p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spacing w:after="0" w:line="240" w:lineRule="auto"/>
              <w:ind w:right="-468"/>
              <w:rPr>
                <w:rFonts w:cs="Arial"/>
                <w:bCs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2"/>
                <w:lang w:eastAsia="sk-SK"/>
              </w:rPr>
              <w:t>Prenajatý  majetok a majetok obstaraný na základe  zmluvy o kúpe prenajatej veci - v ocenení</w:t>
            </w:r>
          </w:p>
          <w:p w:rsidR="005301BE" w:rsidRPr="00770DB9" w:rsidRDefault="005301BE" w:rsidP="00180CF6">
            <w:pPr>
              <w:spacing w:after="0" w:line="240" w:lineRule="auto"/>
              <w:ind w:right="-468"/>
              <w:rPr>
                <w:rFonts w:cs="Arial"/>
                <w:bCs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2"/>
                <w:lang w:eastAsia="sk-SK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D34FB9">
            <w:pPr>
              <w:spacing w:after="0" w:line="240" w:lineRule="auto"/>
              <w:ind w:right="-468"/>
              <w:rPr>
                <w:rFonts w:cs="Arial"/>
                <w:bCs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2"/>
                <w:lang w:eastAsia="sk-SK"/>
              </w:rPr>
              <w:t>Daň z príjmov splatná – daň sa  určuje z účtovného zisku pred zdanením, po úpravách na daňové účely podľa zákona o daniach z príjmov pri sadzbe 2</w:t>
            </w:r>
            <w:r w:rsidR="00D34FB9">
              <w:rPr>
                <w:rFonts w:cs="Arial"/>
                <w:bCs/>
                <w:sz w:val="20"/>
                <w:szCs w:val="22"/>
                <w:lang w:eastAsia="sk-SK"/>
              </w:rPr>
              <w:t>1</w:t>
            </w:r>
            <w:r w:rsidRPr="00770DB9">
              <w:rPr>
                <w:rFonts w:cs="Arial"/>
                <w:bCs/>
                <w:sz w:val="20"/>
                <w:szCs w:val="22"/>
                <w:lang w:eastAsia="sk-SK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</w:p>
        </w:tc>
      </w:tr>
      <w:tr w:rsidR="005301BE" w:rsidRPr="00770DB9" w:rsidTr="00180CF6">
        <w:tc>
          <w:tcPr>
            <w:tcW w:w="8789" w:type="dxa"/>
          </w:tcPr>
          <w:p w:rsidR="005301BE" w:rsidRPr="00770DB9" w:rsidRDefault="005301BE" w:rsidP="00180CF6">
            <w:pPr>
              <w:spacing w:after="0" w:line="240" w:lineRule="auto"/>
              <w:ind w:right="-468"/>
              <w:rPr>
                <w:rFonts w:cs="Arial"/>
                <w:bCs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2"/>
                <w:lang w:eastAsia="sk-SK"/>
              </w:rPr>
              <w:t xml:space="preserve">Náklady a výnosy časovo rozlišujú. Časovo sa  nerozlišujú náklady a výnosy, ak ide o nevýznamný </w:t>
            </w:r>
          </w:p>
          <w:p w:rsidR="005301BE" w:rsidRPr="00770DB9" w:rsidRDefault="005301BE" w:rsidP="00180CF6">
            <w:pPr>
              <w:spacing w:after="0" w:line="240" w:lineRule="auto"/>
              <w:ind w:right="-468"/>
              <w:rPr>
                <w:rFonts w:cs="Arial"/>
                <w:bCs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2"/>
                <w:lang w:eastAsia="sk-SK"/>
              </w:rPr>
              <w:t>a stále sa opakujúci účtovný prípad týkajúci sa časového rozlíšenia nákladov alebo výnosov</w:t>
            </w:r>
          </w:p>
          <w:p w:rsidR="005301BE" w:rsidRPr="00770DB9" w:rsidRDefault="005301BE" w:rsidP="00180CF6">
            <w:pPr>
              <w:spacing w:after="0" w:line="240" w:lineRule="auto"/>
              <w:ind w:right="-468"/>
              <w:rPr>
                <w:rFonts w:cs="Arial"/>
                <w:bCs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2"/>
                <w:lang w:eastAsia="sk-SK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</w:p>
        </w:tc>
      </w:tr>
      <w:tr w:rsidR="005301BE" w:rsidRPr="00770DB9" w:rsidTr="00180CF6">
        <w:tc>
          <w:tcPr>
            <w:tcW w:w="8789" w:type="dxa"/>
          </w:tcPr>
          <w:p w:rsidR="005301BE" w:rsidRPr="00770DB9" w:rsidRDefault="005301BE" w:rsidP="00180CF6">
            <w:pPr>
              <w:spacing w:before="100" w:beforeAutospacing="1" w:after="100" w:afterAutospacing="1" w:line="240" w:lineRule="auto"/>
              <w:rPr>
                <w:rFonts w:cs="Arial"/>
                <w:bCs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2"/>
                <w:lang w:eastAsia="sk-SK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</w:tbl>
    <w:p w:rsidR="005301BE" w:rsidRPr="00770DB9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2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sz w:val="20"/>
          <w:szCs w:val="22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sz w:val="20"/>
          <w:szCs w:val="22"/>
          <w:lang w:eastAsia="sk-SK"/>
        </w:rPr>
      </w:pPr>
      <w:r>
        <w:rPr>
          <w:rFonts w:cs="Arial"/>
          <w:sz w:val="20"/>
          <w:szCs w:val="22"/>
          <w:lang w:eastAsia="sk-SK"/>
        </w:rPr>
        <w:t>Trvalé zníženie hodnoty majetku nebolo účtované. Prechodné zníženie hodnoty majetku nebolo účtované.</w:t>
      </w: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sz w:val="20"/>
          <w:szCs w:val="22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sz w:val="20"/>
          <w:szCs w:val="22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p w:rsidR="00CA65F2" w:rsidRDefault="00CA65F2" w:rsidP="00CA65F2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p w:rsidR="00C836DE" w:rsidRDefault="00C836DE" w:rsidP="005301BE">
      <w:pPr>
        <w:spacing w:after="0" w:line="240" w:lineRule="auto"/>
        <w:ind w:left="709"/>
        <w:jc w:val="both"/>
        <w:rPr>
          <w:rFonts w:cs="Arial"/>
          <w:b/>
          <w:i/>
          <w:color w:val="000000" w:themeColor="text1"/>
          <w:sz w:val="20"/>
          <w:szCs w:val="24"/>
          <w:lang w:eastAsia="sk-SK"/>
        </w:rPr>
      </w:pPr>
    </w:p>
    <w:p w:rsidR="00C836DE" w:rsidRDefault="00C836DE" w:rsidP="005301BE">
      <w:pPr>
        <w:spacing w:after="0" w:line="240" w:lineRule="auto"/>
        <w:ind w:left="709"/>
        <w:jc w:val="both"/>
        <w:rPr>
          <w:rFonts w:cs="Arial"/>
          <w:b/>
          <w:i/>
          <w:color w:val="000000" w:themeColor="text1"/>
          <w:sz w:val="20"/>
          <w:szCs w:val="24"/>
          <w:lang w:eastAsia="sk-SK"/>
        </w:rPr>
      </w:pPr>
    </w:p>
    <w:p w:rsidR="005301BE" w:rsidRPr="00D24EEE" w:rsidRDefault="00CA65F2" w:rsidP="005301BE">
      <w:pPr>
        <w:spacing w:after="0" w:line="240" w:lineRule="auto"/>
        <w:ind w:left="709"/>
        <w:jc w:val="both"/>
        <w:rPr>
          <w:rFonts w:cs="Arial"/>
          <w:b/>
          <w:i/>
          <w:color w:val="000000" w:themeColor="text1"/>
          <w:sz w:val="20"/>
          <w:szCs w:val="24"/>
          <w:lang w:eastAsia="sk-SK"/>
        </w:rPr>
      </w:pPr>
      <w:r w:rsidRPr="00D24EEE">
        <w:rPr>
          <w:rFonts w:cs="Arial"/>
          <w:b/>
          <w:i/>
          <w:color w:val="000000" w:themeColor="text1"/>
          <w:sz w:val="20"/>
          <w:szCs w:val="24"/>
          <w:lang w:eastAsia="sk-SK"/>
        </w:rPr>
        <w:t>Sp</w:t>
      </w:r>
      <w:r w:rsidR="005301BE" w:rsidRPr="00D24EEE">
        <w:rPr>
          <w:rFonts w:cs="Arial"/>
          <w:b/>
          <w:i/>
          <w:color w:val="000000" w:themeColor="text1"/>
          <w:sz w:val="20"/>
          <w:szCs w:val="24"/>
          <w:lang w:eastAsia="sk-SK"/>
        </w:rPr>
        <w:t>ôsob zostavenia odpisového plánu pre jednotlivé druhy dlhodobého hmotného</w:t>
      </w:r>
    </w:p>
    <w:p w:rsidR="005301BE" w:rsidRPr="00D24EEE" w:rsidRDefault="005301BE" w:rsidP="005301BE">
      <w:pPr>
        <w:spacing w:after="0" w:line="240" w:lineRule="auto"/>
        <w:ind w:left="709"/>
        <w:jc w:val="both"/>
        <w:rPr>
          <w:rFonts w:cs="Arial"/>
          <w:b/>
          <w:i/>
          <w:color w:val="000000" w:themeColor="text1"/>
          <w:sz w:val="20"/>
          <w:szCs w:val="24"/>
          <w:lang w:eastAsia="sk-SK"/>
        </w:rPr>
      </w:pPr>
      <w:r w:rsidRPr="00D24EEE">
        <w:rPr>
          <w:rFonts w:cs="Arial"/>
          <w:b/>
          <w:i/>
          <w:color w:val="000000" w:themeColor="text1"/>
          <w:sz w:val="20"/>
          <w:szCs w:val="24"/>
          <w:lang w:eastAsia="sk-SK"/>
        </w:rPr>
        <w:t xml:space="preserve">majetku  a dlhodobého nehmotného </w:t>
      </w:r>
      <w:proofErr w:type="spellStart"/>
      <w:r w:rsidRPr="00D24EEE">
        <w:rPr>
          <w:rFonts w:cs="Arial"/>
          <w:b/>
          <w:i/>
          <w:color w:val="000000" w:themeColor="text1"/>
          <w:sz w:val="20"/>
          <w:szCs w:val="24"/>
          <w:lang w:eastAsia="sk-SK"/>
        </w:rPr>
        <w:t>majetku,doba</w:t>
      </w:r>
      <w:proofErr w:type="spellEnd"/>
      <w:r w:rsidRPr="00D24EEE">
        <w:rPr>
          <w:rFonts w:cs="Arial"/>
          <w:b/>
          <w:i/>
          <w:color w:val="000000" w:themeColor="text1"/>
          <w:sz w:val="20"/>
          <w:szCs w:val="24"/>
          <w:lang w:eastAsia="sk-SK"/>
        </w:rPr>
        <w:t xml:space="preserve"> odpisovania, použité sadzby </w:t>
      </w:r>
    </w:p>
    <w:p w:rsidR="005301BE" w:rsidRPr="00D24EEE" w:rsidRDefault="005301BE" w:rsidP="005301BE">
      <w:pPr>
        <w:spacing w:after="0" w:line="240" w:lineRule="auto"/>
        <w:ind w:left="709"/>
        <w:jc w:val="both"/>
        <w:rPr>
          <w:rFonts w:cs="Arial"/>
          <w:b/>
          <w:i/>
          <w:color w:val="000000" w:themeColor="text1"/>
          <w:sz w:val="20"/>
          <w:szCs w:val="24"/>
          <w:lang w:eastAsia="sk-SK"/>
        </w:rPr>
      </w:pPr>
      <w:r w:rsidRPr="00D24EEE">
        <w:rPr>
          <w:rFonts w:cs="Arial"/>
          <w:b/>
          <w:i/>
          <w:color w:val="000000" w:themeColor="text1"/>
          <w:sz w:val="20"/>
          <w:szCs w:val="24"/>
          <w:lang w:eastAsia="sk-SK"/>
        </w:rPr>
        <w:t xml:space="preserve">odpisov a odpisové metódy pri určení odpisov </w:t>
      </w:r>
    </w:p>
    <w:p w:rsidR="002741D5" w:rsidRPr="0003546B" w:rsidRDefault="002741D5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5301BE" w:rsidRPr="00770DB9" w:rsidTr="00180CF6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18"/>
                <w:szCs w:val="24"/>
                <w:lang w:eastAsia="sk-SK"/>
              </w:rPr>
            </w:pPr>
          </w:p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18"/>
                <w:szCs w:val="24"/>
                <w:lang w:eastAsia="sk-SK"/>
              </w:rPr>
            </w:pPr>
          </w:p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18"/>
                <w:szCs w:val="24"/>
                <w:lang w:eastAsia="sk-SK"/>
              </w:rPr>
            </w:pPr>
          </w:p>
        </w:tc>
      </w:tr>
      <w:tr w:rsidR="005301BE" w:rsidRPr="00770DB9" w:rsidTr="00180CF6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770DB9">
              <w:rPr>
                <w:rFonts w:cs="Arial"/>
                <w:b/>
                <w:sz w:val="20"/>
                <w:szCs w:val="22"/>
                <w:lang w:eastAsia="sk-SK"/>
              </w:rPr>
              <w:t>rovnajú.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18"/>
                <w:szCs w:val="24"/>
                <w:lang w:eastAsia="sk-SK"/>
              </w:rPr>
            </w:pPr>
          </w:p>
        </w:tc>
      </w:tr>
      <w:tr w:rsidR="005301BE" w:rsidRPr="00770DB9" w:rsidTr="00180CF6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770DB9">
              <w:rPr>
                <w:rFonts w:cs="Arial"/>
                <w:b/>
                <w:sz w:val="20"/>
                <w:szCs w:val="22"/>
                <w:lang w:eastAsia="sk-SK"/>
              </w:rPr>
              <w:t>nerovnajú.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5301BE" w:rsidRPr="00770DB9" w:rsidRDefault="0003546B" w:rsidP="00180CF6">
            <w:pPr>
              <w:spacing w:after="0" w:line="240" w:lineRule="auto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>Dlhodobý nehmotný majetok =doba použiteľnosti viac ako rok a vstupná cena je  viac ako 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18"/>
                <w:szCs w:val="24"/>
                <w:lang w:eastAsia="sk-SK"/>
              </w:rPr>
            </w:pPr>
            <w:r w:rsidRPr="00770DB9">
              <w:rPr>
                <w:rFonts w:cs="Arial"/>
                <w:sz w:val="18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18"/>
                <w:szCs w:val="24"/>
                <w:lang w:eastAsia="sk-SK"/>
              </w:rPr>
            </w:pPr>
            <w:r w:rsidRPr="00770DB9">
              <w:rPr>
                <w:rFonts w:cs="Arial"/>
                <w:sz w:val="18"/>
                <w:szCs w:val="24"/>
                <w:lang w:eastAsia="sk-SK"/>
              </w:rPr>
              <w:t>X</w:t>
            </w:r>
          </w:p>
        </w:tc>
      </w:tr>
      <w:tr w:rsidR="00CA65F2" w:rsidRPr="00770DB9" w:rsidTr="00CA65F2">
        <w:trPr>
          <w:trHeight w:val="64"/>
        </w:trPr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65F2" w:rsidRPr="00770DB9" w:rsidRDefault="00CA65F2" w:rsidP="00CA65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>Samostatné hnuteľné veci sú d</w:t>
            </w:r>
            <w:r>
              <w:rPr>
                <w:rFonts w:cs="Arial"/>
                <w:sz w:val="20"/>
                <w:szCs w:val="22"/>
                <w:lang w:eastAsia="sk-SK"/>
              </w:rPr>
              <w:t>robným</w:t>
            </w:r>
            <w:r w:rsidRPr="00770DB9">
              <w:rPr>
                <w:rFonts w:cs="Arial"/>
                <w:sz w:val="20"/>
                <w:szCs w:val="22"/>
                <w:lang w:eastAsia="sk-SK"/>
              </w:rPr>
              <w:t xml:space="preserve"> hmotným majetkom ak doba použiteľnosti je viac ako rok a vstupná cena viac ako: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65F2" w:rsidRPr="00770DB9" w:rsidRDefault="00CA65F2" w:rsidP="004F5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>200</w:t>
            </w:r>
            <w:r w:rsidRPr="00770DB9">
              <w:rPr>
                <w:rFonts w:cs="Arial"/>
                <w:sz w:val="20"/>
                <w:szCs w:val="22"/>
                <w:lang w:eastAsia="sk-SK"/>
              </w:rPr>
              <w:t>,-eur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A65F2" w:rsidRPr="00770DB9" w:rsidRDefault="00CA65F2" w:rsidP="004F5275">
            <w:pPr>
              <w:spacing w:after="0" w:line="240" w:lineRule="auto"/>
              <w:rPr>
                <w:rFonts w:cs="Arial"/>
                <w:sz w:val="18"/>
                <w:szCs w:val="24"/>
                <w:lang w:eastAsia="sk-SK"/>
              </w:rPr>
            </w:pPr>
            <w:r w:rsidRPr="00770DB9">
              <w:rPr>
                <w:rFonts w:cs="Arial"/>
                <w:sz w:val="18"/>
                <w:szCs w:val="24"/>
                <w:lang w:eastAsia="sk-SK"/>
              </w:rPr>
              <w:t>X</w:t>
            </w:r>
          </w:p>
        </w:tc>
      </w:tr>
    </w:tbl>
    <w:p w:rsidR="005301BE" w:rsidRDefault="005301BE" w:rsidP="005301BE">
      <w:pPr>
        <w:spacing w:after="0" w:line="240" w:lineRule="auto"/>
        <w:jc w:val="both"/>
        <w:rPr>
          <w:rFonts w:cs="Arial"/>
          <w:sz w:val="18"/>
          <w:szCs w:val="24"/>
          <w:lang w:eastAsia="sk-SK"/>
        </w:rPr>
      </w:pPr>
    </w:p>
    <w:p w:rsidR="00D24EEE" w:rsidRDefault="00D24EEE" w:rsidP="005301BE">
      <w:pPr>
        <w:spacing w:after="0" w:line="240" w:lineRule="auto"/>
        <w:jc w:val="both"/>
        <w:rPr>
          <w:rFonts w:cs="Arial"/>
          <w:b/>
          <w:i/>
          <w:sz w:val="18"/>
          <w:szCs w:val="24"/>
          <w:lang w:eastAsia="sk-SK"/>
        </w:rPr>
      </w:pPr>
    </w:p>
    <w:p w:rsidR="00D24EEE" w:rsidRDefault="00D24EEE" w:rsidP="005301BE">
      <w:pPr>
        <w:spacing w:after="0" w:line="240" w:lineRule="auto"/>
        <w:jc w:val="both"/>
        <w:rPr>
          <w:rFonts w:cs="Arial"/>
          <w:b/>
          <w:i/>
          <w:sz w:val="18"/>
          <w:szCs w:val="24"/>
          <w:lang w:eastAsia="sk-SK"/>
        </w:rPr>
      </w:pPr>
    </w:p>
    <w:p w:rsidR="0020707E" w:rsidRPr="0020707E" w:rsidRDefault="0020707E" w:rsidP="005301BE">
      <w:pPr>
        <w:spacing w:after="0" w:line="240" w:lineRule="auto"/>
        <w:jc w:val="both"/>
        <w:rPr>
          <w:rFonts w:cs="Arial"/>
          <w:b/>
          <w:i/>
          <w:sz w:val="18"/>
          <w:szCs w:val="24"/>
          <w:lang w:eastAsia="sk-SK"/>
        </w:rPr>
      </w:pPr>
      <w:r w:rsidRPr="0020707E">
        <w:rPr>
          <w:rFonts w:cs="Arial"/>
          <w:b/>
          <w:i/>
          <w:sz w:val="18"/>
          <w:szCs w:val="24"/>
          <w:lang w:eastAsia="sk-SK"/>
        </w:rPr>
        <w:t>Doba odpisovania, použité sadzby odpisov, odpisové metódy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11"/>
        <w:gridCol w:w="977"/>
        <w:gridCol w:w="1164"/>
        <w:gridCol w:w="1180"/>
        <w:gridCol w:w="980"/>
        <w:gridCol w:w="1660"/>
      </w:tblGrid>
      <w:tr w:rsidR="005301BE" w:rsidRPr="00770DB9" w:rsidTr="00180CF6">
        <w:tc>
          <w:tcPr>
            <w:tcW w:w="3111" w:type="dxa"/>
          </w:tcPr>
          <w:p w:rsidR="005301BE" w:rsidRPr="00770DB9" w:rsidRDefault="005301BE" w:rsidP="00180CF6">
            <w:pPr>
              <w:spacing w:after="0" w:line="240" w:lineRule="auto"/>
              <w:jc w:val="center"/>
              <w:rPr>
                <w:rFonts w:cs="Arial"/>
                <w:sz w:val="18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Majetok</w:t>
            </w:r>
          </w:p>
        </w:tc>
        <w:tc>
          <w:tcPr>
            <w:tcW w:w="977" w:type="dxa"/>
          </w:tcPr>
          <w:p w:rsidR="005301BE" w:rsidRPr="00770DB9" w:rsidRDefault="005301BE" w:rsidP="00180CF6">
            <w:pPr>
              <w:spacing w:after="0" w:line="240" w:lineRule="auto"/>
              <w:jc w:val="center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 xml:space="preserve">Odpisová skupina </w:t>
            </w:r>
          </w:p>
        </w:tc>
        <w:tc>
          <w:tcPr>
            <w:tcW w:w="1164" w:type="dxa"/>
          </w:tcPr>
          <w:p w:rsidR="005301BE" w:rsidRPr="00770DB9" w:rsidRDefault="005301BE" w:rsidP="00180CF6">
            <w:pPr>
              <w:spacing w:after="0" w:line="240" w:lineRule="auto"/>
              <w:jc w:val="center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5301BE" w:rsidRPr="00770DB9" w:rsidRDefault="005301BE" w:rsidP="00180CF6">
            <w:pPr>
              <w:spacing w:after="0" w:line="240" w:lineRule="auto"/>
              <w:jc w:val="center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5301BE" w:rsidRPr="00770DB9" w:rsidRDefault="005301BE" w:rsidP="00180CF6">
            <w:pPr>
              <w:spacing w:after="0" w:line="240" w:lineRule="auto"/>
              <w:jc w:val="center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</w:tr>
      <w:tr w:rsidR="005301BE" w:rsidRPr="00770DB9" w:rsidTr="00180CF6">
        <w:trPr>
          <w:trHeight w:val="340"/>
        </w:trPr>
        <w:tc>
          <w:tcPr>
            <w:tcW w:w="3111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Software</w:t>
            </w:r>
          </w:p>
        </w:tc>
        <w:tc>
          <w:tcPr>
            <w:tcW w:w="977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013</w:t>
            </w:r>
          </w:p>
        </w:tc>
        <w:tc>
          <w:tcPr>
            <w:tcW w:w="1164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   4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   25 %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</w:tr>
      <w:tr w:rsidR="005301BE" w:rsidRPr="00770DB9" w:rsidTr="00180CF6">
        <w:trPr>
          <w:trHeight w:val="340"/>
        </w:trPr>
        <w:tc>
          <w:tcPr>
            <w:tcW w:w="3111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proofErr w:type="spellStart"/>
            <w:r>
              <w:rPr>
                <w:rFonts w:cs="Arial"/>
                <w:sz w:val="18"/>
                <w:szCs w:val="24"/>
                <w:lang w:eastAsia="sk-SK"/>
              </w:rPr>
              <w:t>Budovy,stavby</w:t>
            </w:r>
            <w:proofErr w:type="spellEnd"/>
          </w:p>
        </w:tc>
        <w:tc>
          <w:tcPr>
            <w:tcW w:w="977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021</w:t>
            </w:r>
          </w:p>
        </w:tc>
        <w:tc>
          <w:tcPr>
            <w:tcW w:w="1164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  20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     5%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</w:tr>
      <w:tr w:rsidR="005301BE" w:rsidRPr="00770DB9" w:rsidTr="00180CF6">
        <w:trPr>
          <w:trHeight w:val="340"/>
        </w:trPr>
        <w:tc>
          <w:tcPr>
            <w:tcW w:w="3111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Dopravné prostriedky</w:t>
            </w:r>
          </w:p>
        </w:tc>
        <w:tc>
          <w:tcPr>
            <w:tcW w:w="977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022 3xx</w:t>
            </w:r>
          </w:p>
        </w:tc>
        <w:tc>
          <w:tcPr>
            <w:tcW w:w="1164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    8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   12,5%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</w:tr>
      <w:tr w:rsidR="005301BE" w:rsidRPr="00770DB9" w:rsidTr="0020707E">
        <w:trPr>
          <w:trHeight w:val="340"/>
        </w:trPr>
        <w:tc>
          <w:tcPr>
            <w:tcW w:w="3111" w:type="dxa"/>
            <w:tcBorders>
              <w:bottom w:val="single" w:sz="4" w:space="0" w:color="000000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Ostatný hmotný majetok</w:t>
            </w:r>
          </w:p>
        </w:tc>
        <w:tc>
          <w:tcPr>
            <w:tcW w:w="977" w:type="dxa"/>
            <w:tcBorders>
              <w:bottom w:val="single" w:sz="4" w:space="0" w:color="000000"/>
            </w:tcBorders>
          </w:tcPr>
          <w:p w:rsidR="005301BE" w:rsidRPr="00770DB9" w:rsidRDefault="00D729B0" w:rsidP="00D729B0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022 1xx</w:t>
            </w:r>
          </w:p>
        </w:tc>
        <w:tc>
          <w:tcPr>
            <w:tcW w:w="1164" w:type="dxa"/>
            <w:tcBorders>
              <w:bottom w:val="single" w:sz="4" w:space="0" w:color="000000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6, 10</w:t>
            </w:r>
          </w:p>
        </w:tc>
        <w:tc>
          <w:tcPr>
            <w:tcW w:w="1180" w:type="dxa"/>
            <w:tcBorders>
              <w:bottom w:val="single" w:sz="4" w:space="0" w:color="000000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16,667%; 10%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  <w:tc>
          <w:tcPr>
            <w:tcW w:w="1660" w:type="dxa"/>
            <w:tcBorders>
              <w:left w:val="single" w:sz="4" w:space="0" w:color="auto"/>
              <w:bottom w:val="single" w:sz="4" w:space="0" w:color="000000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</w:tr>
      <w:tr w:rsidR="005301BE" w:rsidRPr="00770DB9" w:rsidTr="0020707E">
        <w:trPr>
          <w:trHeight w:val="340"/>
        </w:trPr>
        <w:tc>
          <w:tcPr>
            <w:tcW w:w="3111" w:type="dxa"/>
            <w:tcBorders>
              <w:bottom w:val="single" w:sz="4" w:space="0" w:color="000000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Drobný hmotný odpisovaný</w:t>
            </w:r>
          </w:p>
        </w:tc>
        <w:tc>
          <w:tcPr>
            <w:tcW w:w="977" w:type="dxa"/>
            <w:tcBorders>
              <w:bottom w:val="single" w:sz="4" w:space="0" w:color="000000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022 2xx</w:t>
            </w:r>
          </w:p>
        </w:tc>
        <w:tc>
          <w:tcPr>
            <w:tcW w:w="1164" w:type="dxa"/>
            <w:tcBorders>
              <w:bottom w:val="single" w:sz="4" w:space="0" w:color="000000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  6</w:t>
            </w:r>
          </w:p>
        </w:tc>
        <w:tc>
          <w:tcPr>
            <w:tcW w:w="1180" w:type="dxa"/>
            <w:tcBorders>
              <w:bottom w:val="single" w:sz="4" w:space="0" w:color="000000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  16,667%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  <w:tc>
          <w:tcPr>
            <w:tcW w:w="1660" w:type="dxa"/>
            <w:tcBorders>
              <w:left w:val="single" w:sz="4" w:space="0" w:color="auto"/>
              <w:bottom w:val="single" w:sz="4" w:space="0" w:color="000000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</w:tr>
    </w:tbl>
    <w:p w:rsidR="00D729B0" w:rsidRDefault="00D729B0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D24EEE" w:rsidRDefault="00D24EE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D24EEE" w:rsidRDefault="00D24EE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  <w:r>
        <w:rPr>
          <w:rFonts w:cs="Arial"/>
          <w:sz w:val="20"/>
          <w:szCs w:val="24"/>
          <w:lang w:eastAsia="sk-SK"/>
        </w:rPr>
        <w:t>Komentár k odpisovému plánu:</w:t>
      </w:r>
    </w:p>
    <w:p w:rsidR="00D24EEE" w:rsidRDefault="00D24EE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D24EEE" w:rsidRDefault="00D24EEE" w:rsidP="00D24EEE">
      <w:pPr>
        <w:pStyle w:val="Odsekzoznamu"/>
        <w:numPr>
          <w:ilvl w:val="0"/>
          <w:numId w:val="31"/>
        </w:num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>
        <w:rPr>
          <w:rFonts w:cs="Arial"/>
          <w:sz w:val="20"/>
          <w:szCs w:val="24"/>
          <w:lang w:eastAsia="sk-SK"/>
        </w:rPr>
        <w:t>Dlhodobý nehmotný majetok – účtovné odpisy sa rovnajú daňovým odpisom.</w:t>
      </w:r>
    </w:p>
    <w:p w:rsidR="00D24EEE" w:rsidRDefault="00D24EEE" w:rsidP="00D24EEE">
      <w:pPr>
        <w:pStyle w:val="Odsekzoznamu"/>
        <w:numPr>
          <w:ilvl w:val="0"/>
          <w:numId w:val="31"/>
        </w:num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>
        <w:rPr>
          <w:rFonts w:cs="Arial"/>
          <w:sz w:val="20"/>
          <w:szCs w:val="24"/>
          <w:lang w:eastAsia="sk-SK"/>
        </w:rPr>
        <w:t>Dlhodobý hmotný majetok – účtovné odpisy sa nerovnajú daňovým odpisom .</w:t>
      </w:r>
    </w:p>
    <w:p w:rsidR="00D24EEE" w:rsidRDefault="00D24EEE" w:rsidP="00D24EEE">
      <w:pPr>
        <w:pStyle w:val="Odsekzoznamu"/>
        <w:numPr>
          <w:ilvl w:val="0"/>
          <w:numId w:val="31"/>
        </w:num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>
        <w:rPr>
          <w:rFonts w:cs="Arial"/>
          <w:sz w:val="20"/>
          <w:szCs w:val="24"/>
          <w:lang w:eastAsia="sk-SK"/>
        </w:rPr>
        <w:t>Drobný hmotný majetok odpisovaný – účtovné odpisy sa rovnajú daňovým odpisom.</w:t>
      </w:r>
    </w:p>
    <w:p w:rsidR="00D24EEE" w:rsidRDefault="00D24EEE" w:rsidP="00D24EEE">
      <w:pPr>
        <w:pStyle w:val="Odsekzoznamu"/>
        <w:numPr>
          <w:ilvl w:val="0"/>
          <w:numId w:val="31"/>
        </w:num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>
        <w:rPr>
          <w:rFonts w:cs="Arial"/>
          <w:sz w:val="20"/>
          <w:szCs w:val="24"/>
          <w:lang w:eastAsia="sk-SK"/>
        </w:rPr>
        <w:t>Majetok sa začína odpisovať v mesiaci kedy bol zaradený do užívania.</w:t>
      </w:r>
    </w:p>
    <w:p w:rsidR="00D24EEE" w:rsidRDefault="00D24EEE" w:rsidP="00D24EEE">
      <w:pPr>
        <w:pStyle w:val="Odsekzoznamu"/>
        <w:numPr>
          <w:ilvl w:val="0"/>
          <w:numId w:val="31"/>
        </w:num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>
        <w:rPr>
          <w:rFonts w:cs="Arial"/>
          <w:sz w:val="20"/>
          <w:szCs w:val="24"/>
          <w:lang w:eastAsia="sk-SK"/>
        </w:rPr>
        <w:t>Účtovné odpisy vychádzajú z predpokladanej doby používania majetku.</w:t>
      </w:r>
    </w:p>
    <w:p w:rsidR="00D24EEE" w:rsidRPr="00D24EEE" w:rsidRDefault="00D24EEE" w:rsidP="00D24EEE">
      <w:p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</w:p>
    <w:p w:rsidR="00D729B0" w:rsidRDefault="00D729B0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D24EEE" w:rsidRDefault="00D24EE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Pr="00770DB9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5812"/>
        <w:gridCol w:w="300"/>
      </w:tblGrid>
      <w:tr w:rsidR="005301BE" w:rsidRPr="00AF1B96" w:rsidTr="00180CF6">
        <w:trPr>
          <w:trHeight w:val="340"/>
        </w:trPr>
        <w:tc>
          <w:tcPr>
            <w:tcW w:w="9089" w:type="dxa"/>
            <w:gridSpan w:val="3"/>
            <w:vAlign w:val="center"/>
          </w:tcPr>
          <w:p w:rsidR="005301BE" w:rsidRPr="00AF1B96" w:rsidRDefault="005301BE" w:rsidP="00180CF6">
            <w:pPr>
              <w:pStyle w:val="Odsekzoznamu"/>
              <w:spacing w:after="0" w:line="240" w:lineRule="auto"/>
              <w:ind w:left="641"/>
              <w:rPr>
                <w:szCs w:val="22"/>
              </w:rPr>
            </w:pPr>
            <w:r w:rsidRPr="00AF1B96">
              <w:rPr>
                <w:szCs w:val="22"/>
              </w:rPr>
              <w:t>Určenie odhadu zníženia hodnoty majetku a tvorba opravnej položky k  majetku</w:t>
            </w:r>
          </w:p>
        </w:tc>
      </w:tr>
      <w:tr w:rsidR="005301BE" w:rsidRPr="00AF1B96" w:rsidTr="00180CF6">
        <w:trPr>
          <w:trHeight w:val="350"/>
        </w:trPr>
        <w:tc>
          <w:tcPr>
            <w:tcW w:w="8789" w:type="dxa"/>
            <w:gridSpan w:val="2"/>
            <w:vAlign w:val="center"/>
          </w:tcPr>
          <w:p w:rsidR="005301BE" w:rsidRPr="00AF1B96" w:rsidRDefault="005301BE" w:rsidP="00180CF6">
            <w:pPr>
              <w:pStyle w:val="Odsekzoznamu"/>
              <w:spacing w:after="0" w:line="240" w:lineRule="auto"/>
              <w:ind w:left="641"/>
              <w:jc w:val="right"/>
              <w:rPr>
                <w:szCs w:val="22"/>
              </w:rPr>
            </w:pPr>
            <w:r w:rsidRPr="00AF1B96"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X</w:t>
            </w:r>
          </w:p>
        </w:tc>
      </w:tr>
      <w:tr w:rsidR="005301BE" w:rsidRPr="00AF1B96" w:rsidTr="00180CF6">
        <w:trPr>
          <w:trHeight w:val="340"/>
        </w:trPr>
        <w:tc>
          <w:tcPr>
            <w:tcW w:w="2977" w:type="dxa"/>
            <w:vMerge w:val="restart"/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</w:p>
          <w:p w:rsidR="005301BE" w:rsidRPr="00AF1B96" w:rsidRDefault="005301BE" w:rsidP="00180CF6">
            <w:pPr>
              <w:spacing w:after="0"/>
              <w:rPr>
                <w:szCs w:val="22"/>
              </w:rPr>
            </w:pPr>
            <w:r w:rsidRPr="00AF1B96">
              <w:rPr>
                <w:szCs w:val="22"/>
              </w:rPr>
              <w:t>Opravná položka k pohľadávkam</w:t>
            </w:r>
          </w:p>
        </w:tc>
        <w:tc>
          <w:tcPr>
            <w:tcW w:w="5812" w:type="dxa"/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  <w:r w:rsidRPr="00AF1B96">
              <w:rPr>
                <w:szCs w:val="22"/>
              </w:rPr>
              <w:t>Podľa kritérií  definovaných v zákone o daniach z príjmov</w:t>
            </w: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X</w:t>
            </w:r>
          </w:p>
        </w:tc>
      </w:tr>
      <w:tr w:rsidR="005301BE" w:rsidRPr="00AF1B96" w:rsidTr="00180CF6">
        <w:trPr>
          <w:trHeight w:val="340"/>
        </w:trPr>
        <w:tc>
          <w:tcPr>
            <w:tcW w:w="2977" w:type="dxa"/>
            <w:vMerge/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  <w:r w:rsidRPr="00AF1B96">
              <w:rPr>
                <w:szCs w:val="22"/>
              </w:rPr>
              <w:t xml:space="preserve">Odborným odhadom podľa opodstatneného predpokladu zníženia </w:t>
            </w: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  <w:tr w:rsidR="005301BE" w:rsidRPr="00AF1B96" w:rsidTr="00180CF6">
        <w:trPr>
          <w:trHeight w:val="340"/>
        </w:trPr>
        <w:tc>
          <w:tcPr>
            <w:tcW w:w="2977" w:type="dxa"/>
            <w:vMerge w:val="restart"/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  <w:r w:rsidRPr="00AF1B96">
              <w:rPr>
                <w:szCs w:val="22"/>
              </w:rPr>
              <w:t>Opravná položka k materiálu</w:t>
            </w:r>
          </w:p>
        </w:tc>
        <w:tc>
          <w:tcPr>
            <w:tcW w:w="5812" w:type="dxa"/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  <w:r w:rsidRPr="00AF1B96"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  <w:tr w:rsidR="005301BE" w:rsidRPr="00AF1B96" w:rsidTr="0006410A">
        <w:trPr>
          <w:trHeight w:val="340"/>
        </w:trPr>
        <w:tc>
          <w:tcPr>
            <w:tcW w:w="2977" w:type="dxa"/>
            <w:vMerge/>
            <w:tcBorders>
              <w:bottom w:val="nil"/>
            </w:tcBorders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tcBorders>
              <w:bottom w:val="nil"/>
            </w:tcBorders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bottom w:val="nil"/>
            </w:tcBorders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  <w:tr w:rsidR="005301BE" w:rsidRPr="00AF1B96" w:rsidTr="00180CF6">
        <w:trPr>
          <w:trHeight w:val="340"/>
        </w:trPr>
        <w:tc>
          <w:tcPr>
            <w:tcW w:w="2977" w:type="dxa"/>
            <w:vMerge w:val="restart"/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  <w:r w:rsidRPr="00AF1B96">
              <w:rPr>
                <w:szCs w:val="22"/>
              </w:rPr>
              <w:t>Opravná položka k tovaru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  <w:tr w:rsidR="005301BE" w:rsidRPr="00AF1B96" w:rsidTr="00180CF6">
        <w:trPr>
          <w:trHeight w:val="340"/>
        </w:trPr>
        <w:tc>
          <w:tcPr>
            <w:tcW w:w="2977" w:type="dxa"/>
            <w:vMerge/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5301BE" w:rsidRPr="00770DB9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79"/>
        <w:gridCol w:w="5510"/>
        <w:gridCol w:w="300"/>
      </w:tblGrid>
      <w:tr w:rsidR="005301BE" w:rsidRPr="00AF1B96" w:rsidTr="00180CF6">
        <w:trPr>
          <w:trHeight w:val="340"/>
        </w:trPr>
        <w:tc>
          <w:tcPr>
            <w:tcW w:w="9089" w:type="dxa"/>
            <w:gridSpan w:val="3"/>
          </w:tcPr>
          <w:p w:rsidR="005301BE" w:rsidRPr="00AF1B96" w:rsidRDefault="005301BE" w:rsidP="00180CF6">
            <w:pPr>
              <w:pStyle w:val="Odsekzoznamu"/>
              <w:spacing w:after="0" w:line="240" w:lineRule="auto"/>
              <w:ind w:left="641"/>
              <w:jc w:val="both"/>
              <w:rPr>
                <w:szCs w:val="22"/>
              </w:rPr>
            </w:pPr>
            <w:r w:rsidRPr="00AF1B96">
              <w:rPr>
                <w:szCs w:val="22"/>
              </w:rPr>
              <w:t>Určenie ocenenia záväzkov, stanovenie odhadu ocenenia rezerv</w:t>
            </w:r>
          </w:p>
        </w:tc>
      </w:tr>
      <w:tr w:rsidR="005301BE" w:rsidRPr="00AF1B96" w:rsidTr="00180CF6">
        <w:trPr>
          <w:trHeight w:val="340"/>
        </w:trPr>
        <w:tc>
          <w:tcPr>
            <w:tcW w:w="8789" w:type="dxa"/>
            <w:gridSpan w:val="2"/>
          </w:tcPr>
          <w:p w:rsidR="005301BE" w:rsidRPr="00AF1B96" w:rsidRDefault="005301BE" w:rsidP="00180CF6">
            <w:pPr>
              <w:pStyle w:val="Odsekzoznamu"/>
              <w:spacing w:after="0" w:line="240" w:lineRule="auto"/>
              <w:ind w:left="641"/>
              <w:jc w:val="both"/>
              <w:rPr>
                <w:szCs w:val="22"/>
              </w:rPr>
            </w:pPr>
            <w:r w:rsidRPr="00AF1B96">
              <w:rPr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pStyle w:val="Odsekzoznamu"/>
              <w:spacing w:after="0" w:line="240" w:lineRule="auto"/>
              <w:ind w:left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X</w:t>
            </w:r>
          </w:p>
        </w:tc>
      </w:tr>
      <w:tr w:rsidR="005301BE" w:rsidRPr="00AF1B96" w:rsidTr="00180CF6">
        <w:trPr>
          <w:trHeight w:val="340"/>
        </w:trPr>
        <w:tc>
          <w:tcPr>
            <w:tcW w:w="3279" w:type="dxa"/>
            <w:vMerge w:val="restart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Odborným odhadom na splnenie existujúcej povinnosti</w:t>
            </w: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X</w:t>
            </w:r>
          </w:p>
        </w:tc>
      </w:tr>
      <w:tr w:rsidR="005301BE" w:rsidRPr="00AF1B96" w:rsidTr="00180CF6">
        <w:trPr>
          <w:trHeight w:val="340"/>
        </w:trPr>
        <w:tc>
          <w:tcPr>
            <w:tcW w:w="3279" w:type="dxa"/>
            <w:vMerge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  <w:tr w:rsidR="005301BE" w:rsidRPr="00AF1B96" w:rsidTr="00180CF6">
        <w:trPr>
          <w:trHeight w:val="340"/>
        </w:trPr>
        <w:tc>
          <w:tcPr>
            <w:tcW w:w="3279" w:type="dxa"/>
            <w:vMerge w:val="restart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Odborným odhadom podľa stavu nevyčerpaných dovoleniek</w:t>
            </w: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X</w:t>
            </w:r>
          </w:p>
        </w:tc>
      </w:tr>
      <w:tr w:rsidR="005301BE" w:rsidRPr="00AF1B96" w:rsidTr="00180CF6">
        <w:trPr>
          <w:trHeight w:val="340"/>
        </w:trPr>
        <w:tc>
          <w:tcPr>
            <w:tcW w:w="3279" w:type="dxa"/>
            <w:vMerge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  <w:tr w:rsidR="005301BE" w:rsidRPr="00AF1B96" w:rsidTr="00180CF6">
        <w:trPr>
          <w:trHeight w:val="340"/>
        </w:trPr>
        <w:tc>
          <w:tcPr>
            <w:tcW w:w="3279" w:type="dxa"/>
            <w:vMerge w:val="restart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  <w:tr w:rsidR="005301BE" w:rsidRPr="00AF1B96" w:rsidTr="00180CF6">
        <w:trPr>
          <w:trHeight w:val="340"/>
        </w:trPr>
        <w:tc>
          <w:tcPr>
            <w:tcW w:w="3279" w:type="dxa"/>
            <w:vMerge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5301BE" w:rsidRPr="00AF1B96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5301BE" w:rsidRPr="00AF1B96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5301BE" w:rsidRPr="00AF1B96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5301BE" w:rsidRPr="00770DB9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  <w:r w:rsidRPr="00770DB9">
        <w:rPr>
          <w:rFonts w:cs="Arial"/>
          <w:sz w:val="20"/>
          <w:szCs w:val="24"/>
          <w:lang w:eastAsia="sk-SK"/>
        </w:rPr>
        <w:t xml:space="preserve">Zmeny účtovných zásad a zmeny účtovných metód s uvedením dôvodu týchto zmien </w:t>
      </w:r>
    </w:p>
    <w:p w:rsidR="005301BE" w:rsidRPr="00770DB9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  <w:r w:rsidRPr="00770DB9">
        <w:rPr>
          <w:rFonts w:cs="Arial"/>
          <w:sz w:val="20"/>
          <w:szCs w:val="24"/>
          <w:lang w:eastAsia="sk-SK"/>
        </w:rPr>
        <w:t>a vyčíslením ich vplyvu na finančnú hodnotu majetku, záväzkov, základného imania</w:t>
      </w:r>
    </w:p>
    <w:p w:rsidR="005301BE" w:rsidRPr="00770DB9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  <w:r w:rsidRPr="00770DB9">
        <w:rPr>
          <w:rFonts w:cs="Arial"/>
          <w:sz w:val="20"/>
          <w:szCs w:val="24"/>
          <w:lang w:eastAsia="sk-SK"/>
        </w:rPr>
        <w:t xml:space="preserve"> a výsledku hospodárenia ÚJ</w:t>
      </w:r>
    </w:p>
    <w:p w:rsidR="005301BE" w:rsidRPr="00770DB9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5301BE" w:rsidRPr="00770DB9" w:rsidTr="00180CF6">
        <w:trPr>
          <w:trHeight w:hRule="exact" w:val="340"/>
        </w:trPr>
        <w:tc>
          <w:tcPr>
            <w:tcW w:w="7088" w:type="dxa"/>
            <w:vAlign w:val="center"/>
          </w:tcPr>
          <w:p w:rsidR="005301BE" w:rsidRPr="00770DB9" w:rsidRDefault="005301BE" w:rsidP="00180CF6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 xml:space="preserve">Zmeny účtovných zásad a metód + konkrétny popis zmien </w:t>
            </w:r>
          </w:p>
        </w:tc>
        <w:tc>
          <w:tcPr>
            <w:tcW w:w="824" w:type="dxa"/>
            <w:vAlign w:val="center"/>
          </w:tcPr>
          <w:p w:rsidR="005301BE" w:rsidRPr="00770DB9" w:rsidRDefault="005301BE" w:rsidP="00180CF6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ÁNO</w:t>
            </w:r>
          </w:p>
        </w:tc>
        <w:tc>
          <w:tcPr>
            <w:tcW w:w="291" w:type="dxa"/>
            <w:vAlign w:val="center"/>
          </w:tcPr>
          <w:p w:rsidR="005301BE" w:rsidRPr="00770DB9" w:rsidRDefault="005301BE" w:rsidP="00180CF6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578" w:type="dxa"/>
            <w:vAlign w:val="center"/>
          </w:tcPr>
          <w:p w:rsidR="005301BE" w:rsidRPr="00770DB9" w:rsidRDefault="005301BE" w:rsidP="00180CF6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NIE</w:t>
            </w:r>
          </w:p>
        </w:tc>
        <w:tc>
          <w:tcPr>
            <w:tcW w:w="291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X</w:t>
            </w:r>
          </w:p>
        </w:tc>
      </w:tr>
    </w:tbl>
    <w:p w:rsidR="005301BE" w:rsidRPr="00770DB9" w:rsidRDefault="005301BE" w:rsidP="005301BE">
      <w:pPr>
        <w:spacing w:after="0" w:line="240" w:lineRule="auto"/>
        <w:ind w:left="708"/>
        <w:rPr>
          <w:rFonts w:cs="Arial"/>
          <w:sz w:val="20"/>
          <w:szCs w:val="24"/>
        </w:rPr>
      </w:pPr>
    </w:p>
    <w:p w:rsidR="005301BE" w:rsidRPr="00770DB9" w:rsidRDefault="005301BE" w:rsidP="005301BE">
      <w:pPr>
        <w:spacing w:after="0" w:line="240" w:lineRule="auto"/>
        <w:ind w:left="708"/>
        <w:rPr>
          <w:rFonts w:cs="Arial"/>
          <w:sz w:val="20"/>
          <w:szCs w:val="24"/>
        </w:rPr>
      </w:pPr>
    </w:p>
    <w:p w:rsidR="005301BE" w:rsidRPr="00770DB9" w:rsidRDefault="005301BE" w:rsidP="005301BE">
      <w:pPr>
        <w:spacing w:after="0" w:line="240" w:lineRule="auto"/>
        <w:ind w:left="709"/>
        <w:jc w:val="both"/>
        <w:rPr>
          <w:rFonts w:cs="Arial"/>
          <w:sz w:val="18"/>
          <w:szCs w:val="22"/>
          <w:lang w:eastAsia="sk-SK"/>
        </w:rPr>
      </w:pPr>
    </w:p>
    <w:p w:rsidR="005301BE" w:rsidRPr="00C106D9" w:rsidRDefault="005301BE" w:rsidP="005301BE">
      <w:pPr>
        <w:tabs>
          <w:tab w:val="left" w:pos="851"/>
        </w:tabs>
        <w:spacing w:after="0" w:line="240" w:lineRule="auto"/>
        <w:jc w:val="both"/>
        <w:rPr>
          <w:szCs w:val="22"/>
          <w:u w:val="single"/>
        </w:rPr>
      </w:pPr>
    </w:p>
    <w:p w:rsidR="005301BE" w:rsidRPr="00770DB9" w:rsidRDefault="005301BE" w:rsidP="005301BE">
      <w:pPr>
        <w:spacing w:after="0" w:line="240" w:lineRule="auto"/>
        <w:jc w:val="center"/>
        <w:rPr>
          <w:rFonts w:cs="Arial"/>
          <w:b/>
          <w:sz w:val="20"/>
          <w:szCs w:val="24"/>
          <w:lang w:eastAsia="sk-SK"/>
        </w:rPr>
      </w:pPr>
    </w:p>
    <w:p w:rsidR="005301BE" w:rsidRPr="00770DB9" w:rsidRDefault="005301BE" w:rsidP="005301BE">
      <w:pPr>
        <w:spacing w:after="0" w:line="240" w:lineRule="auto"/>
        <w:rPr>
          <w:rFonts w:cs="Arial"/>
          <w:b/>
          <w:sz w:val="24"/>
          <w:szCs w:val="24"/>
          <w:u w:val="single"/>
          <w:lang w:eastAsia="sk-SK"/>
        </w:rPr>
      </w:pPr>
      <w:r w:rsidRPr="00770DB9">
        <w:rPr>
          <w:rFonts w:cs="Arial"/>
          <w:b/>
          <w:sz w:val="24"/>
          <w:szCs w:val="24"/>
          <w:u w:val="single"/>
          <w:lang w:eastAsia="sk-SK"/>
        </w:rPr>
        <w:t>Informácie, ktoré vysvetľujú a dopĺňajú súvahu a výkaz ziskov a strát</w:t>
      </w:r>
    </w:p>
    <w:p w:rsidR="005301BE" w:rsidRPr="00770DB9" w:rsidRDefault="005301BE" w:rsidP="005301BE">
      <w:pPr>
        <w:spacing w:after="0" w:line="240" w:lineRule="auto"/>
        <w:rPr>
          <w:rFonts w:cs="Arial"/>
          <w:b/>
          <w:sz w:val="24"/>
          <w:szCs w:val="24"/>
          <w:u w:val="single"/>
          <w:lang w:eastAsia="sk-SK"/>
        </w:rPr>
      </w:pPr>
    </w:p>
    <w:p w:rsidR="005301BE" w:rsidRPr="00AF1B96" w:rsidRDefault="005301BE" w:rsidP="005301BE">
      <w:pPr>
        <w:spacing w:after="0" w:line="240" w:lineRule="auto"/>
        <w:ind w:left="720"/>
        <w:rPr>
          <w:rFonts w:cs="Arial"/>
          <w:sz w:val="20"/>
          <w:szCs w:val="24"/>
          <w:lang w:eastAsia="sk-SK"/>
        </w:rPr>
      </w:pPr>
    </w:p>
    <w:p w:rsidR="005301BE" w:rsidRPr="00770DB9" w:rsidRDefault="005301BE" w:rsidP="009E6E0E">
      <w:pPr>
        <w:spacing w:after="0" w:line="240" w:lineRule="auto"/>
        <w:ind w:left="360"/>
        <w:rPr>
          <w:rFonts w:cs="Arial"/>
          <w:sz w:val="20"/>
          <w:szCs w:val="24"/>
          <w:lang w:eastAsia="sk-SK"/>
        </w:rPr>
      </w:pPr>
      <w:r w:rsidRPr="00770DB9">
        <w:rPr>
          <w:rFonts w:cs="Arial"/>
          <w:sz w:val="20"/>
          <w:szCs w:val="24"/>
          <w:lang w:eastAsia="sk-SK"/>
        </w:rPr>
        <w:t xml:space="preserve">Informácia o sume a dôvodoch vzniku jednotlivých položiek </w:t>
      </w:r>
      <w:r w:rsidRPr="00770DB9">
        <w:rPr>
          <w:rFonts w:cs="Arial"/>
          <w:b/>
          <w:sz w:val="20"/>
          <w:szCs w:val="24"/>
          <w:lang w:eastAsia="sk-SK"/>
        </w:rPr>
        <w:t>nákladov alebo výnosov, ktoré majú výnimočný rozsah alebo výskyt</w:t>
      </w:r>
    </w:p>
    <w:p w:rsidR="002B29F4" w:rsidRDefault="002B29F4" w:rsidP="007A1FC1">
      <w:pPr>
        <w:spacing w:after="0" w:line="240" w:lineRule="auto"/>
        <w:jc w:val="both"/>
        <w:rPr>
          <w:rFonts w:cs="Arial"/>
          <w:sz w:val="20"/>
          <w:szCs w:val="20"/>
          <w:lang w:eastAsia="sk-SK"/>
        </w:rPr>
      </w:pPr>
    </w:p>
    <w:p w:rsidR="007A1FC1" w:rsidRPr="009748C1" w:rsidRDefault="007A1FC1" w:rsidP="007A1FC1">
      <w:pPr>
        <w:spacing w:after="0" w:line="240" w:lineRule="auto"/>
        <w:jc w:val="both"/>
        <w:rPr>
          <w:rFonts w:eastAsia="Calibri" w:cs="Arial"/>
          <w:bCs/>
          <w:sz w:val="20"/>
          <w:szCs w:val="20"/>
          <w:lang w:eastAsia="cs-CZ"/>
        </w:rPr>
      </w:pPr>
      <w:r w:rsidRPr="007A1FC1">
        <w:rPr>
          <w:rFonts w:cs="Arial"/>
          <w:sz w:val="20"/>
          <w:szCs w:val="20"/>
          <w:lang w:eastAsia="sk-SK"/>
        </w:rPr>
        <w:t xml:space="preserve">Hlavným predmetom </w:t>
      </w:r>
      <w:r>
        <w:rPr>
          <w:rFonts w:cs="Arial"/>
          <w:sz w:val="20"/>
          <w:szCs w:val="20"/>
          <w:lang w:eastAsia="sk-SK"/>
        </w:rPr>
        <w:t>s</w:t>
      </w:r>
      <w:r w:rsidRPr="007A1FC1">
        <w:rPr>
          <w:rFonts w:cs="Arial"/>
          <w:sz w:val="20"/>
          <w:szCs w:val="20"/>
          <w:lang w:eastAsia="sk-SK"/>
        </w:rPr>
        <w:t>poločnosti je kúpa a predaj kancelárskych potrieb</w:t>
      </w:r>
      <w:r w:rsidR="009748C1">
        <w:rPr>
          <w:rFonts w:cs="Arial"/>
          <w:sz w:val="20"/>
          <w:szCs w:val="20"/>
          <w:lang w:eastAsia="sk-SK"/>
        </w:rPr>
        <w:t>.</w:t>
      </w:r>
      <w:r w:rsidRPr="007A1FC1">
        <w:rPr>
          <w:rFonts w:ascii="Arial" w:eastAsia="Calibri" w:hAnsi="Arial" w:cs="Arial"/>
          <w:bCs/>
          <w:sz w:val="20"/>
          <w:szCs w:val="20"/>
          <w:lang w:eastAsia="cs-CZ"/>
        </w:rPr>
        <w:t xml:space="preserve"> </w:t>
      </w:r>
      <w:r w:rsidRPr="009748C1">
        <w:rPr>
          <w:rFonts w:eastAsia="Calibri" w:cs="Arial"/>
          <w:bCs/>
          <w:sz w:val="20"/>
          <w:szCs w:val="20"/>
          <w:lang w:eastAsia="cs-CZ"/>
        </w:rPr>
        <w:t xml:space="preserve">Tržby za vlastné výkony a tovar neobsahujú daň z pridanej hodnoty a sú  znížené o zľavy a zrážky (rabaty, bonusy, skontá, dobropisy a pod.) </w:t>
      </w:r>
    </w:p>
    <w:p w:rsidR="007A1FC1" w:rsidRPr="003675DC" w:rsidRDefault="007A1FC1" w:rsidP="007A1FC1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  <w:lang w:eastAsia="cs-CZ"/>
        </w:rPr>
      </w:pPr>
    </w:p>
    <w:tbl>
      <w:tblPr>
        <w:tblW w:w="80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</w:tblGrid>
      <w:tr w:rsidR="002B29F4" w:rsidRPr="00770DB9" w:rsidTr="002B29F4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2B29F4" w:rsidRPr="00770DB9" w:rsidRDefault="002B29F4" w:rsidP="004F5275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 xml:space="preserve">Popis nákladov ,výnosov </w:t>
            </w:r>
          </w:p>
          <w:p w:rsidR="002B29F4" w:rsidRPr="00770DB9" w:rsidRDefault="002B29F4" w:rsidP="004F5275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Výnimočného  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2B29F4" w:rsidRPr="00770DB9" w:rsidRDefault="002B29F4" w:rsidP="004F5275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>
              <w:rPr>
                <w:rFonts w:cs="Arial"/>
                <w:sz w:val="20"/>
                <w:szCs w:val="24"/>
                <w:lang w:eastAsia="sk-SK"/>
              </w:rPr>
              <w:t>Bežné účtovné obdobie</w:t>
            </w:r>
          </w:p>
        </w:tc>
      </w:tr>
      <w:tr w:rsidR="002B29F4" w:rsidRPr="00770DB9" w:rsidTr="002B29F4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2B29F4" w:rsidRPr="00770DB9" w:rsidRDefault="002B29F4" w:rsidP="004F5275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>
              <w:rPr>
                <w:rFonts w:cs="Arial"/>
                <w:sz w:val="20"/>
                <w:szCs w:val="24"/>
                <w:lang w:eastAsia="sk-SK"/>
              </w:rPr>
              <w:t>Tržby za tovar</w:t>
            </w: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2B29F4" w:rsidRPr="00770DB9" w:rsidRDefault="002B29F4" w:rsidP="00D34FB9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>
              <w:rPr>
                <w:rFonts w:cs="Arial"/>
                <w:sz w:val="20"/>
                <w:szCs w:val="24"/>
                <w:lang w:eastAsia="sk-SK"/>
              </w:rPr>
              <w:t xml:space="preserve">           1</w:t>
            </w:r>
            <w:r w:rsidR="00D34FB9">
              <w:rPr>
                <w:rFonts w:cs="Arial"/>
                <w:sz w:val="20"/>
                <w:szCs w:val="24"/>
                <w:lang w:eastAsia="sk-SK"/>
              </w:rPr>
              <w:t> 698 562</w:t>
            </w:r>
            <w:r>
              <w:rPr>
                <w:rFonts w:cs="Arial"/>
                <w:sz w:val="20"/>
                <w:szCs w:val="24"/>
                <w:lang w:eastAsia="sk-SK"/>
              </w:rPr>
              <w:t xml:space="preserve"> </w:t>
            </w:r>
          </w:p>
        </w:tc>
      </w:tr>
      <w:tr w:rsidR="002B29F4" w:rsidRPr="00770DB9" w:rsidTr="002B29F4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2B29F4" w:rsidRPr="00770DB9" w:rsidRDefault="002B29F4" w:rsidP="004F5275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>
              <w:rPr>
                <w:rFonts w:cs="Arial"/>
                <w:sz w:val="20"/>
                <w:szCs w:val="24"/>
                <w:lang w:eastAsia="sk-SK"/>
              </w:rPr>
              <w:t>Predaný tovar</w:t>
            </w: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2B29F4" w:rsidRPr="00770DB9" w:rsidRDefault="00D34FB9" w:rsidP="004F5275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>
              <w:rPr>
                <w:rFonts w:cs="Arial"/>
                <w:sz w:val="20"/>
                <w:szCs w:val="24"/>
                <w:lang w:eastAsia="sk-SK"/>
              </w:rPr>
              <w:t xml:space="preserve">           1 334 974</w:t>
            </w:r>
          </w:p>
        </w:tc>
      </w:tr>
    </w:tbl>
    <w:p w:rsidR="002B29F4" w:rsidRPr="00770DB9" w:rsidRDefault="002B29F4" w:rsidP="002B29F4">
      <w:pPr>
        <w:spacing w:after="0" w:line="240" w:lineRule="auto"/>
        <w:ind w:left="1481"/>
        <w:jc w:val="both"/>
        <w:rPr>
          <w:rFonts w:cs="Arial"/>
          <w:sz w:val="20"/>
          <w:szCs w:val="24"/>
          <w:lang w:eastAsia="sk-SK"/>
        </w:rPr>
      </w:pPr>
    </w:p>
    <w:p w:rsidR="005301BE" w:rsidRDefault="005301BE" w:rsidP="007A1FC1">
      <w:pPr>
        <w:spacing w:after="0" w:line="240" w:lineRule="auto"/>
        <w:ind w:left="720"/>
        <w:rPr>
          <w:rFonts w:cs="Arial"/>
          <w:b/>
          <w:sz w:val="20"/>
          <w:szCs w:val="24"/>
          <w:lang w:eastAsia="sk-SK"/>
        </w:rPr>
      </w:pPr>
    </w:p>
    <w:p w:rsidR="002B29F4" w:rsidRDefault="002B29F4" w:rsidP="007A1FC1">
      <w:pPr>
        <w:spacing w:after="0" w:line="240" w:lineRule="auto"/>
        <w:ind w:left="720"/>
        <w:rPr>
          <w:rFonts w:cs="Arial"/>
          <w:b/>
          <w:sz w:val="20"/>
          <w:szCs w:val="24"/>
          <w:lang w:eastAsia="sk-SK"/>
        </w:rPr>
      </w:pPr>
    </w:p>
    <w:p w:rsidR="002B29F4" w:rsidRDefault="002B29F4" w:rsidP="007A1FC1">
      <w:pPr>
        <w:spacing w:after="0" w:line="240" w:lineRule="auto"/>
        <w:ind w:left="720"/>
        <w:rPr>
          <w:rFonts w:cs="Arial"/>
          <w:b/>
          <w:sz w:val="20"/>
          <w:szCs w:val="24"/>
          <w:lang w:eastAsia="sk-SK"/>
        </w:rPr>
      </w:pPr>
    </w:p>
    <w:p w:rsidR="002B29F4" w:rsidRDefault="002B29F4" w:rsidP="007A1FC1">
      <w:pPr>
        <w:spacing w:after="0" w:line="240" w:lineRule="auto"/>
        <w:ind w:left="720"/>
        <w:rPr>
          <w:rFonts w:cs="Arial"/>
          <w:b/>
          <w:sz w:val="20"/>
          <w:szCs w:val="24"/>
          <w:lang w:eastAsia="sk-SK"/>
        </w:rPr>
      </w:pPr>
    </w:p>
    <w:p w:rsidR="002B29F4" w:rsidRPr="00770DB9" w:rsidRDefault="002B29F4" w:rsidP="007A1FC1">
      <w:pPr>
        <w:spacing w:after="0" w:line="240" w:lineRule="auto"/>
        <w:ind w:left="720"/>
        <w:rPr>
          <w:rFonts w:cs="Arial"/>
          <w:b/>
          <w:sz w:val="20"/>
          <w:szCs w:val="24"/>
          <w:lang w:eastAsia="sk-SK"/>
        </w:rPr>
      </w:pPr>
    </w:p>
    <w:p w:rsidR="005301BE" w:rsidRPr="00770DB9" w:rsidRDefault="005301BE" w:rsidP="005301BE">
      <w:pPr>
        <w:spacing w:after="0" w:line="240" w:lineRule="auto"/>
        <w:ind w:left="1134"/>
        <w:jc w:val="both"/>
        <w:rPr>
          <w:rFonts w:cs="Arial"/>
          <w:sz w:val="20"/>
          <w:szCs w:val="24"/>
          <w:lang w:eastAsia="sk-SK"/>
        </w:rPr>
      </w:pPr>
    </w:p>
    <w:p w:rsidR="00B85D47" w:rsidRPr="00770DB9" w:rsidRDefault="00B85D47" w:rsidP="005301BE">
      <w:pPr>
        <w:spacing w:after="0" w:line="240" w:lineRule="auto"/>
        <w:ind w:left="720"/>
        <w:rPr>
          <w:rFonts w:cs="Arial"/>
          <w:sz w:val="20"/>
          <w:szCs w:val="24"/>
          <w:lang w:eastAsia="sk-SK"/>
        </w:rPr>
      </w:pPr>
    </w:p>
    <w:p w:rsidR="005301BE" w:rsidRPr="00AF1B96" w:rsidRDefault="005301BE" w:rsidP="005301BE">
      <w:pPr>
        <w:spacing w:after="0" w:line="240" w:lineRule="auto"/>
        <w:rPr>
          <w:rFonts w:cs="Arial"/>
          <w:sz w:val="20"/>
          <w:szCs w:val="24"/>
          <w:lang w:eastAsia="sk-SK"/>
        </w:rPr>
      </w:pPr>
    </w:p>
    <w:p w:rsidR="005301BE" w:rsidRDefault="005301BE" w:rsidP="005301BE">
      <w:pPr>
        <w:spacing w:after="0" w:line="240" w:lineRule="auto"/>
        <w:rPr>
          <w:szCs w:val="22"/>
        </w:rPr>
      </w:pPr>
    </w:p>
    <w:p w:rsidR="005301BE" w:rsidRDefault="005301BE" w:rsidP="005301BE">
      <w:pPr>
        <w:spacing w:after="0" w:line="240" w:lineRule="auto"/>
        <w:rPr>
          <w:szCs w:val="22"/>
        </w:rPr>
      </w:pPr>
    </w:p>
    <w:p w:rsidR="005301BE" w:rsidRDefault="005301BE" w:rsidP="005301BE">
      <w:pPr>
        <w:spacing w:after="0" w:line="240" w:lineRule="auto"/>
        <w:rPr>
          <w:szCs w:val="22"/>
        </w:rPr>
      </w:pPr>
    </w:p>
    <w:p w:rsidR="005301BE" w:rsidRDefault="005301BE" w:rsidP="005301BE">
      <w:pPr>
        <w:spacing w:after="0" w:line="240" w:lineRule="auto"/>
        <w:rPr>
          <w:szCs w:val="22"/>
        </w:rPr>
      </w:pPr>
    </w:p>
    <w:p w:rsidR="005301BE" w:rsidRPr="003675DC" w:rsidRDefault="005301BE" w:rsidP="005301BE">
      <w:pPr>
        <w:spacing w:after="0" w:line="240" w:lineRule="auto"/>
        <w:jc w:val="both"/>
        <w:rPr>
          <w:rFonts w:eastAsia="Calibri"/>
          <w:b/>
          <w:szCs w:val="22"/>
        </w:rPr>
      </w:pPr>
    </w:p>
    <w:p w:rsidR="005301BE" w:rsidRPr="003675DC" w:rsidRDefault="005301BE" w:rsidP="005301BE">
      <w:pPr>
        <w:spacing w:after="0" w:line="240" w:lineRule="auto"/>
        <w:jc w:val="both"/>
        <w:rPr>
          <w:rFonts w:eastAsia="Calibri"/>
          <w:szCs w:val="22"/>
        </w:rPr>
      </w:pPr>
    </w:p>
    <w:p w:rsidR="005301BE" w:rsidRPr="003675DC" w:rsidRDefault="005301BE" w:rsidP="005301BE">
      <w:pPr>
        <w:ind w:left="1080"/>
        <w:contextualSpacing/>
        <w:rPr>
          <w:rFonts w:ascii="Arial" w:eastAsia="Calibri" w:hAnsi="Arial" w:cs="Arial"/>
          <w:b/>
          <w:sz w:val="20"/>
          <w:szCs w:val="20"/>
        </w:rPr>
      </w:pPr>
    </w:p>
    <w:p w:rsidR="005301BE" w:rsidRPr="003675DC" w:rsidRDefault="005301BE" w:rsidP="005301BE">
      <w:pPr>
        <w:spacing w:after="0" w:line="240" w:lineRule="auto"/>
        <w:ind w:left="708"/>
        <w:jc w:val="both"/>
        <w:rPr>
          <w:rFonts w:ascii="Arial" w:eastAsia="Calibri" w:hAnsi="Arial" w:cs="Arial"/>
          <w:bCs/>
          <w:sz w:val="20"/>
          <w:szCs w:val="20"/>
          <w:lang w:eastAsia="cs-CZ"/>
        </w:rPr>
      </w:pPr>
      <w:r w:rsidRPr="003675DC">
        <w:rPr>
          <w:rFonts w:ascii="Arial" w:eastAsia="Calibri" w:hAnsi="Arial" w:cs="Arial"/>
          <w:bCs/>
          <w:sz w:val="20"/>
          <w:szCs w:val="20"/>
          <w:lang w:eastAsia="cs-CZ"/>
        </w:rPr>
        <w:t xml:space="preserve">. </w:t>
      </w:r>
    </w:p>
    <w:p w:rsidR="005301BE" w:rsidRPr="003675DC" w:rsidRDefault="005301BE" w:rsidP="005301BE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  <w:lang w:eastAsia="cs-CZ"/>
        </w:rPr>
      </w:pPr>
    </w:p>
    <w:p w:rsidR="005301BE" w:rsidRPr="003675DC" w:rsidRDefault="005301BE" w:rsidP="005301BE">
      <w:pPr>
        <w:spacing w:after="0" w:line="24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cs-CZ"/>
        </w:rPr>
      </w:pPr>
    </w:p>
    <w:p w:rsidR="005301BE" w:rsidRPr="003675DC" w:rsidRDefault="005301BE" w:rsidP="005301BE">
      <w:pPr>
        <w:spacing w:after="0" w:line="240" w:lineRule="auto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3675DC">
        <w:rPr>
          <w:rFonts w:ascii="Arial" w:eastAsia="Calibri" w:hAnsi="Arial" w:cs="Arial"/>
          <w:sz w:val="20"/>
          <w:szCs w:val="20"/>
        </w:rPr>
        <w:t>.</w:t>
      </w:r>
    </w:p>
    <w:p w:rsidR="005301BE" w:rsidRPr="003675DC" w:rsidRDefault="005301BE" w:rsidP="005301BE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  <w:lang w:eastAsia="cs-CZ"/>
        </w:rPr>
      </w:pPr>
    </w:p>
    <w:p w:rsidR="005301BE" w:rsidRPr="003675DC" w:rsidRDefault="005301BE" w:rsidP="005301BE">
      <w:pPr>
        <w:spacing w:after="0" w:line="24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cs-CZ"/>
        </w:rPr>
      </w:pPr>
    </w:p>
    <w:p w:rsidR="005301BE" w:rsidRPr="003675DC" w:rsidRDefault="005301BE" w:rsidP="005301BE">
      <w:pPr>
        <w:spacing w:after="0" w:line="240" w:lineRule="auto"/>
        <w:rPr>
          <w:rFonts w:ascii="Calibri" w:eastAsia="Calibri" w:hAnsi="Calibri"/>
          <w:szCs w:val="22"/>
        </w:rPr>
      </w:pPr>
    </w:p>
    <w:p w:rsidR="005301BE" w:rsidRPr="003675DC" w:rsidRDefault="005301BE" w:rsidP="005301BE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sk-SK"/>
        </w:rPr>
      </w:pPr>
    </w:p>
    <w:p w:rsidR="005301BE" w:rsidRPr="00AF1B96" w:rsidRDefault="005301BE" w:rsidP="005301BE">
      <w:pPr>
        <w:spacing w:after="0" w:line="240" w:lineRule="auto"/>
        <w:rPr>
          <w:szCs w:val="22"/>
        </w:rPr>
      </w:pPr>
    </w:p>
    <w:p w:rsidR="009F62A1" w:rsidRDefault="009F62A1"/>
    <w:sectPr w:rsidR="009F62A1" w:rsidSect="0003546B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2E3" w:rsidRDefault="00E722E3" w:rsidP="00F33FB4">
      <w:pPr>
        <w:spacing w:after="0" w:line="240" w:lineRule="auto"/>
      </w:pPr>
      <w:r>
        <w:separator/>
      </w:r>
    </w:p>
  </w:endnote>
  <w:endnote w:type="continuationSeparator" w:id="0">
    <w:p w:rsidR="00E722E3" w:rsidRDefault="00E722E3" w:rsidP="00F33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75" w:rsidRDefault="001748EC">
    <w:pPr>
      <w:pStyle w:val="Pta"/>
      <w:jc w:val="center"/>
    </w:pPr>
    <w:fldSimple w:instr=" PAGE   \* MERGEFORMAT ">
      <w:r w:rsidR="00D34FB9">
        <w:rPr>
          <w:noProof/>
        </w:rPr>
        <w:t>1</w:t>
      </w:r>
    </w:fldSimple>
  </w:p>
  <w:p w:rsidR="004F5275" w:rsidRDefault="004F5275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2E3" w:rsidRDefault="00E722E3" w:rsidP="00F33FB4">
      <w:pPr>
        <w:spacing w:after="0" w:line="240" w:lineRule="auto"/>
      </w:pPr>
      <w:r>
        <w:separator/>
      </w:r>
    </w:p>
  </w:footnote>
  <w:footnote w:type="continuationSeparator" w:id="0">
    <w:p w:rsidR="00E722E3" w:rsidRDefault="00E722E3" w:rsidP="00F33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75" w:rsidRDefault="004F527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45"/>
      <w:gridCol w:w="1701"/>
      <w:gridCol w:w="2410"/>
      <w:gridCol w:w="444"/>
      <w:gridCol w:w="2157"/>
    </w:tblGrid>
    <w:tr w:rsidR="004F5275" w:rsidTr="00180CF6">
      <w:trPr>
        <w:trHeight w:val="326"/>
      </w:trPr>
      <w:tc>
        <w:tcPr>
          <w:tcW w:w="2245" w:type="dxa"/>
        </w:tcPr>
        <w:p w:rsidR="004F5275" w:rsidRDefault="004F5275" w:rsidP="00180CF6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</w:t>
          </w:r>
          <w:r w:rsidR="00C836DE">
            <w:t>V</w:t>
          </w:r>
          <w:r>
            <w:t xml:space="preserve">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</w:tcPr>
        <w:p w:rsidR="004F5275" w:rsidRDefault="004F5275" w:rsidP="00180CF6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  <w:shd w:val="clear" w:color="auto" w:fill="auto"/>
        </w:tcPr>
        <w:p w:rsidR="004F5275" w:rsidRDefault="004F5275" w:rsidP="00180CF6">
          <w:pPr>
            <w:spacing w:after="0" w:line="240" w:lineRule="auto"/>
          </w:pPr>
          <w:r>
            <w:t>IČO:</w:t>
          </w:r>
          <w:r w:rsidR="00C836DE">
            <w:t xml:space="preserve"> 50767127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</w:tcPr>
        <w:p w:rsidR="004F5275" w:rsidRDefault="004F5275" w:rsidP="00180CF6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</w:tcPr>
        <w:p w:rsidR="004F5275" w:rsidRDefault="004F5275" w:rsidP="00180CF6">
          <w:pPr>
            <w:spacing w:after="0" w:line="240" w:lineRule="auto"/>
          </w:pPr>
          <w:r>
            <w:t>DIČ:</w:t>
          </w:r>
          <w:r w:rsidR="00C836DE">
            <w:t xml:space="preserve"> 2120471529</w:t>
          </w:r>
        </w:p>
        <w:p w:rsidR="00C836DE" w:rsidRDefault="00C836DE" w:rsidP="00180CF6">
          <w:pPr>
            <w:spacing w:after="0" w:line="240" w:lineRule="auto"/>
          </w:pPr>
        </w:p>
      </w:tc>
    </w:tr>
  </w:tbl>
  <w:p w:rsidR="004F5275" w:rsidRPr="004268D2" w:rsidRDefault="004F5275" w:rsidP="00180CF6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11A19"/>
    <w:multiLevelType w:val="hybridMultilevel"/>
    <w:tmpl w:val="BCA0FF72"/>
    <w:lvl w:ilvl="0" w:tplc="B540F3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360" w:hanging="360"/>
      </w:pPr>
    </w:lvl>
    <w:lvl w:ilvl="2" w:tplc="041B001B" w:tentative="1">
      <w:start w:val="1"/>
      <w:numFmt w:val="lowerRoman"/>
      <w:lvlText w:val="%3."/>
      <w:lvlJc w:val="right"/>
      <w:pPr>
        <w:ind w:left="1080" w:hanging="180"/>
      </w:pPr>
    </w:lvl>
    <w:lvl w:ilvl="3" w:tplc="041B000F" w:tentative="1">
      <w:start w:val="1"/>
      <w:numFmt w:val="decimal"/>
      <w:lvlText w:val="%4."/>
      <w:lvlJc w:val="left"/>
      <w:pPr>
        <w:ind w:left="1800" w:hanging="360"/>
      </w:pPr>
    </w:lvl>
    <w:lvl w:ilvl="4" w:tplc="041B0019" w:tentative="1">
      <w:start w:val="1"/>
      <w:numFmt w:val="lowerLetter"/>
      <w:lvlText w:val="%5."/>
      <w:lvlJc w:val="left"/>
      <w:pPr>
        <w:ind w:left="2520" w:hanging="360"/>
      </w:pPr>
    </w:lvl>
    <w:lvl w:ilvl="5" w:tplc="041B001B" w:tentative="1">
      <w:start w:val="1"/>
      <w:numFmt w:val="lowerRoman"/>
      <w:lvlText w:val="%6."/>
      <w:lvlJc w:val="right"/>
      <w:pPr>
        <w:ind w:left="3240" w:hanging="180"/>
      </w:pPr>
    </w:lvl>
    <w:lvl w:ilvl="6" w:tplc="041B000F" w:tentative="1">
      <w:start w:val="1"/>
      <w:numFmt w:val="decimal"/>
      <w:lvlText w:val="%7."/>
      <w:lvlJc w:val="left"/>
      <w:pPr>
        <w:ind w:left="3960" w:hanging="360"/>
      </w:pPr>
    </w:lvl>
    <w:lvl w:ilvl="7" w:tplc="041B0019" w:tentative="1">
      <w:start w:val="1"/>
      <w:numFmt w:val="lowerLetter"/>
      <w:lvlText w:val="%8."/>
      <w:lvlJc w:val="left"/>
      <w:pPr>
        <w:ind w:left="4680" w:hanging="360"/>
      </w:pPr>
    </w:lvl>
    <w:lvl w:ilvl="8" w:tplc="041B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>
    <w:nsid w:val="184E1887"/>
    <w:multiLevelType w:val="hybridMultilevel"/>
    <w:tmpl w:val="6442B37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4C56F9"/>
    <w:multiLevelType w:val="hybridMultilevel"/>
    <w:tmpl w:val="A1189E5C"/>
    <w:lvl w:ilvl="0" w:tplc="880E237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5277B44"/>
    <w:multiLevelType w:val="hybridMultilevel"/>
    <w:tmpl w:val="7026FFF8"/>
    <w:lvl w:ilvl="0" w:tplc="041B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BC3FD3"/>
    <w:multiLevelType w:val="hybridMultilevel"/>
    <w:tmpl w:val="A2423C4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2937163"/>
    <w:multiLevelType w:val="hybridMultilevel"/>
    <w:tmpl w:val="87FC4BE6"/>
    <w:lvl w:ilvl="0" w:tplc="188AB226">
      <w:start w:val="1"/>
      <w:numFmt w:val="upperLetter"/>
      <w:lvlText w:val="%1)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9872C72"/>
    <w:multiLevelType w:val="hybridMultilevel"/>
    <w:tmpl w:val="09545D48"/>
    <w:lvl w:ilvl="0" w:tplc="EDF8F79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8057FC"/>
    <w:multiLevelType w:val="hybridMultilevel"/>
    <w:tmpl w:val="62082C10"/>
    <w:lvl w:ilvl="0" w:tplc="70247F22">
      <w:start w:val="1"/>
      <w:numFmt w:val="decimal"/>
      <w:lvlText w:val="%1."/>
      <w:lvlJc w:val="left"/>
      <w:pPr>
        <w:ind w:left="1077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97" w:hanging="360"/>
      </w:pPr>
    </w:lvl>
    <w:lvl w:ilvl="2" w:tplc="041B001B" w:tentative="1">
      <w:start w:val="1"/>
      <w:numFmt w:val="lowerRoman"/>
      <w:lvlText w:val="%3."/>
      <w:lvlJc w:val="right"/>
      <w:pPr>
        <w:ind w:left="2517" w:hanging="180"/>
      </w:pPr>
    </w:lvl>
    <w:lvl w:ilvl="3" w:tplc="041B000F" w:tentative="1">
      <w:start w:val="1"/>
      <w:numFmt w:val="decimal"/>
      <w:lvlText w:val="%4."/>
      <w:lvlJc w:val="left"/>
      <w:pPr>
        <w:ind w:left="3237" w:hanging="360"/>
      </w:pPr>
    </w:lvl>
    <w:lvl w:ilvl="4" w:tplc="041B0019" w:tentative="1">
      <w:start w:val="1"/>
      <w:numFmt w:val="lowerLetter"/>
      <w:lvlText w:val="%5."/>
      <w:lvlJc w:val="left"/>
      <w:pPr>
        <w:ind w:left="3957" w:hanging="360"/>
      </w:pPr>
    </w:lvl>
    <w:lvl w:ilvl="5" w:tplc="041B001B" w:tentative="1">
      <w:start w:val="1"/>
      <w:numFmt w:val="lowerRoman"/>
      <w:lvlText w:val="%6."/>
      <w:lvlJc w:val="right"/>
      <w:pPr>
        <w:ind w:left="4677" w:hanging="180"/>
      </w:pPr>
    </w:lvl>
    <w:lvl w:ilvl="6" w:tplc="041B000F" w:tentative="1">
      <w:start w:val="1"/>
      <w:numFmt w:val="decimal"/>
      <w:lvlText w:val="%7."/>
      <w:lvlJc w:val="left"/>
      <w:pPr>
        <w:ind w:left="5397" w:hanging="360"/>
      </w:pPr>
    </w:lvl>
    <w:lvl w:ilvl="7" w:tplc="041B0019" w:tentative="1">
      <w:start w:val="1"/>
      <w:numFmt w:val="lowerLetter"/>
      <w:lvlText w:val="%8."/>
      <w:lvlJc w:val="left"/>
      <w:pPr>
        <w:ind w:left="6117" w:hanging="360"/>
      </w:pPr>
    </w:lvl>
    <w:lvl w:ilvl="8" w:tplc="041B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>
    <w:nsid w:val="3D3A0A6F"/>
    <w:multiLevelType w:val="hybridMultilevel"/>
    <w:tmpl w:val="F2B6B5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9923C3"/>
    <w:multiLevelType w:val="hybridMultilevel"/>
    <w:tmpl w:val="44A24610"/>
    <w:lvl w:ilvl="0" w:tplc="041B0001">
      <w:start w:val="1"/>
      <w:numFmt w:val="bullet"/>
      <w:lvlText w:val=""/>
      <w:lvlJc w:val="left"/>
      <w:pPr>
        <w:ind w:left="213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14">
    <w:nsid w:val="44327BEF"/>
    <w:multiLevelType w:val="hybridMultilevel"/>
    <w:tmpl w:val="112893E8"/>
    <w:lvl w:ilvl="0" w:tplc="041B0017">
      <w:start w:val="1"/>
      <w:numFmt w:val="lowerLetter"/>
      <w:lvlText w:val="%1)"/>
      <w:lvlJc w:val="left"/>
      <w:pPr>
        <w:ind w:left="774" w:hanging="360"/>
      </w:pPr>
    </w:lvl>
    <w:lvl w:ilvl="1" w:tplc="041B0019" w:tentative="1">
      <w:start w:val="1"/>
      <w:numFmt w:val="lowerLetter"/>
      <w:lvlText w:val="%2."/>
      <w:lvlJc w:val="left"/>
      <w:pPr>
        <w:ind w:left="1494" w:hanging="360"/>
      </w:pPr>
    </w:lvl>
    <w:lvl w:ilvl="2" w:tplc="041B001B" w:tentative="1">
      <w:start w:val="1"/>
      <w:numFmt w:val="lowerRoman"/>
      <w:lvlText w:val="%3."/>
      <w:lvlJc w:val="right"/>
      <w:pPr>
        <w:ind w:left="2214" w:hanging="180"/>
      </w:pPr>
    </w:lvl>
    <w:lvl w:ilvl="3" w:tplc="041B000F" w:tentative="1">
      <w:start w:val="1"/>
      <w:numFmt w:val="decimal"/>
      <w:lvlText w:val="%4."/>
      <w:lvlJc w:val="left"/>
      <w:pPr>
        <w:ind w:left="2934" w:hanging="360"/>
      </w:pPr>
    </w:lvl>
    <w:lvl w:ilvl="4" w:tplc="041B0019" w:tentative="1">
      <w:start w:val="1"/>
      <w:numFmt w:val="lowerLetter"/>
      <w:lvlText w:val="%5."/>
      <w:lvlJc w:val="left"/>
      <w:pPr>
        <w:ind w:left="3654" w:hanging="360"/>
      </w:pPr>
    </w:lvl>
    <w:lvl w:ilvl="5" w:tplc="041B001B" w:tentative="1">
      <w:start w:val="1"/>
      <w:numFmt w:val="lowerRoman"/>
      <w:lvlText w:val="%6."/>
      <w:lvlJc w:val="right"/>
      <w:pPr>
        <w:ind w:left="4374" w:hanging="180"/>
      </w:pPr>
    </w:lvl>
    <w:lvl w:ilvl="6" w:tplc="041B000F" w:tentative="1">
      <w:start w:val="1"/>
      <w:numFmt w:val="decimal"/>
      <w:lvlText w:val="%7."/>
      <w:lvlJc w:val="left"/>
      <w:pPr>
        <w:ind w:left="5094" w:hanging="360"/>
      </w:pPr>
    </w:lvl>
    <w:lvl w:ilvl="7" w:tplc="041B0019" w:tentative="1">
      <w:start w:val="1"/>
      <w:numFmt w:val="lowerLetter"/>
      <w:lvlText w:val="%8."/>
      <w:lvlJc w:val="left"/>
      <w:pPr>
        <w:ind w:left="5814" w:hanging="360"/>
      </w:pPr>
    </w:lvl>
    <w:lvl w:ilvl="8" w:tplc="041B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5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91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33" w:hanging="360"/>
      </w:pPr>
    </w:lvl>
    <w:lvl w:ilvl="2" w:tplc="041B001B" w:tentative="1">
      <w:start w:val="1"/>
      <w:numFmt w:val="lowerRoman"/>
      <w:lvlText w:val="%3."/>
      <w:lvlJc w:val="right"/>
      <w:pPr>
        <w:ind w:left="3153" w:hanging="180"/>
      </w:pPr>
    </w:lvl>
    <w:lvl w:ilvl="3" w:tplc="041B000F" w:tentative="1">
      <w:start w:val="1"/>
      <w:numFmt w:val="decimal"/>
      <w:lvlText w:val="%4."/>
      <w:lvlJc w:val="left"/>
      <w:pPr>
        <w:ind w:left="3873" w:hanging="360"/>
      </w:pPr>
    </w:lvl>
    <w:lvl w:ilvl="4" w:tplc="041B0019" w:tentative="1">
      <w:start w:val="1"/>
      <w:numFmt w:val="lowerLetter"/>
      <w:lvlText w:val="%5."/>
      <w:lvlJc w:val="left"/>
      <w:pPr>
        <w:ind w:left="4593" w:hanging="360"/>
      </w:pPr>
    </w:lvl>
    <w:lvl w:ilvl="5" w:tplc="041B001B" w:tentative="1">
      <w:start w:val="1"/>
      <w:numFmt w:val="lowerRoman"/>
      <w:lvlText w:val="%6."/>
      <w:lvlJc w:val="right"/>
      <w:pPr>
        <w:ind w:left="5313" w:hanging="180"/>
      </w:pPr>
    </w:lvl>
    <w:lvl w:ilvl="6" w:tplc="041B000F" w:tentative="1">
      <w:start w:val="1"/>
      <w:numFmt w:val="decimal"/>
      <w:lvlText w:val="%7."/>
      <w:lvlJc w:val="left"/>
      <w:pPr>
        <w:ind w:left="6033" w:hanging="360"/>
      </w:pPr>
    </w:lvl>
    <w:lvl w:ilvl="7" w:tplc="041B0019" w:tentative="1">
      <w:start w:val="1"/>
      <w:numFmt w:val="lowerLetter"/>
      <w:lvlText w:val="%8."/>
      <w:lvlJc w:val="left"/>
      <w:pPr>
        <w:ind w:left="6753" w:hanging="360"/>
      </w:pPr>
    </w:lvl>
    <w:lvl w:ilvl="8" w:tplc="041B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8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137668D"/>
    <w:multiLevelType w:val="hybridMultilevel"/>
    <w:tmpl w:val="F7FE71B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D161B8"/>
    <w:multiLevelType w:val="hybridMultilevel"/>
    <w:tmpl w:val="435214E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5C2385B"/>
    <w:multiLevelType w:val="hybridMultilevel"/>
    <w:tmpl w:val="5276E25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775327"/>
    <w:multiLevelType w:val="hybridMultilevel"/>
    <w:tmpl w:val="CC38231C"/>
    <w:lvl w:ilvl="0" w:tplc="A6DA9DA8">
      <w:start w:val="1"/>
      <w:numFmt w:val="lowerLetter"/>
      <w:lvlText w:val="%1-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72F6374"/>
    <w:multiLevelType w:val="hybridMultilevel"/>
    <w:tmpl w:val="2B24524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E6C10A4"/>
    <w:multiLevelType w:val="hybridMultilevel"/>
    <w:tmpl w:val="5658F9A2"/>
    <w:lvl w:ilvl="0" w:tplc="041B0001">
      <w:start w:val="1"/>
      <w:numFmt w:val="bullet"/>
      <w:lvlText w:val=""/>
      <w:lvlJc w:val="left"/>
      <w:pPr>
        <w:ind w:left="1841" w:hanging="360"/>
      </w:pPr>
      <w:rPr>
        <w:rFonts w:ascii="Symbol" w:hAnsi="Symbol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F44500"/>
    <w:multiLevelType w:val="hybridMultilevel"/>
    <w:tmpl w:val="2AEE53E0"/>
    <w:lvl w:ilvl="0" w:tplc="22E4FA50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8DA37A0"/>
    <w:multiLevelType w:val="hybridMultilevel"/>
    <w:tmpl w:val="4F721838"/>
    <w:lvl w:ilvl="0" w:tplc="70247F2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360" w:hanging="360"/>
      </w:pPr>
    </w:lvl>
    <w:lvl w:ilvl="2" w:tplc="041B001B" w:tentative="1">
      <w:start w:val="1"/>
      <w:numFmt w:val="lowerRoman"/>
      <w:lvlText w:val="%3."/>
      <w:lvlJc w:val="right"/>
      <w:pPr>
        <w:ind w:left="1080" w:hanging="180"/>
      </w:pPr>
    </w:lvl>
    <w:lvl w:ilvl="3" w:tplc="041B000F" w:tentative="1">
      <w:start w:val="1"/>
      <w:numFmt w:val="decimal"/>
      <w:lvlText w:val="%4."/>
      <w:lvlJc w:val="left"/>
      <w:pPr>
        <w:ind w:left="1800" w:hanging="360"/>
      </w:pPr>
    </w:lvl>
    <w:lvl w:ilvl="4" w:tplc="041B0019" w:tentative="1">
      <w:start w:val="1"/>
      <w:numFmt w:val="lowerLetter"/>
      <w:lvlText w:val="%5."/>
      <w:lvlJc w:val="left"/>
      <w:pPr>
        <w:ind w:left="2520" w:hanging="360"/>
      </w:pPr>
    </w:lvl>
    <w:lvl w:ilvl="5" w:tplc="041B001B" w:tentative="1">
      <w:start w:val="1"/>
      <w:numFmt w:val="lowerRoman"/>
      <w:lvlText w:val="%6."/>
      <w:lvlJc w:val="right"/>
      <w:pPr>
        <w:ind w:left="3240" w:hanging="180"/>
      </w:pPr>
    </w:lvl>
    <w:lvl w:ilvl="6" w:tplc="041B000F" w:tentative="1">
      <w:start w:val="1"/>
      <w:numFmt w:val="decimal"/>
      <w:lvlText w:val="%7."/>
      <w:lvlJc w:val="left"/>
      <w:pPr>
        <w:ind w:left="3960" w:hanging="360"/>
      </w:pPr>
    </w:lvl>
    <w:lvl w:ilvl="7" w:tplc="041B0019" w:tentative="1">
      <w:start w:val="1"/>
      <w:numFmt w:val="lowerLetter"/>
      <w:lvlText w:val="%8."/>
      <w:lvlJc w:val="left"/>
      <w:pPr>
        <w:ind w:left="4680" w:hanging="360"/>
      </w:pPr>
    </w:lvl>
    <w:lvl w:ilvl="8" w:tplc="041B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9">
    <w:nsid w:val="79D07410"/>
    <w:multiLevelType w:val="hybridMultilevel"/>
    <w:tmpl w:val="AB02E8A8"/>
    <w:lvl w:ilvl="0" w:tplc="3CA029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466F36"/>
    <w:multiLevelType w:val="hybridMultilevel"/>
    <w:tmpl w:val="75CA2C0C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7"/>
  </w:num>
  <w:num w:numId="3">
    <w:abstractNumId w:val="9"/>
  </w:num>
  <w:num w:numId="4">
    <w:abstractNumId w:val="15"/>
  </w:num>
  <w:num w:numId="5">
    <w:abstractNumId w:val="5"/>
  </w:num>
  <w:num w:numId="6">
    <w:abstractNumId w:val="27"/>
  </w:num>
  <w:num w:numId="7">
    <w:abstractNumId w:val="16"/>
  </w:num>
  <w:num w:numId="8">
    <w:abstractNumId w:val="24"/>
  </w:num>
  <w:num w:numId="9">
    <w:abstractNumId w:val="0"/>
  </w:num>
  <w:num w:numId="10">
    <w:abstractNumId w:val="17"/>
  </w:num>
  <w:num w:numId="11">
    <w:abstractNumId w:val="14"/>
  </w:num>
  <w:num w:numId="12">
    <w:abstractNumId w:val="8"/>
  </w:num>
  <w:num w:numId="13">
    <w:abstractNumId w:val="10"/>
  </w:num>
  <w:num w:numId="14">
    <w:abstractNumId w:val="29"/>
  </w:num>
  <w:num w:numId="15">
    <w:abstractNumId w:val="4"/>
  </w:num>
  <w:num w:numId="16">
    <w:abstractNumId w:val="18"/>
  </w:num>
  <w:num w:numId="17">
    <w:abstractNumId w:val="2"/>
  </w:num>
  <w:num w:numId="18">
    <w:abstractNumId w:val="6"/>
  </w:num>
  <w:num w:numId="19">
    <w:abstractNumId w:val="19"/>
  </w:num>
  <w:num w:numId="20">
    <w:abstractNumId w:val="21"/>
  </w:num>
  <w:num w:numId="21">
    <w:abstractNumId w:val="13"/>
  </w:num>
  <w:num w:numId="22">
    <w:abstractNumId w:val="3"/>
  </w:num>
  <w:num w:numId="23">
    <w:abstractNumId w:val="23"/>
  </w:num>
  <w:num w:numId="24">
    <w:abstractNumId w:val="1"/>
  </w:num>
  <w:num w:numId="25">
    <w:abstractNumId w:val="20"/>
  </w:num>
  <w:num w:numId="26">
    <w:abstractNumId w:val="12"/>
  </w:num>
  <w:num w:numId="27">
    <w:abstractNumId w:val="30"/>
  </w:num>
  <w:num w:numId="28">
    <w:abstractNumId w:val="26"/>
  </w:num>
  <w:num w:numId="29">
    <w:abstractNumId w:val="11"/>
  </w:num>
  <w:num w:numId="30">
    <w:abstractNumId w:val="25"/>
  </w:num>
  <w:num w:numId="31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01BE"/>
    <w:rsid w:val="00006293"/>
    <w:rsid w:val="0003546B"/>
    <w:rsid w:val="0006410A"/>
    <w:rsid w:val="001748EC"/>
    <w:rsid w:val="00180CF6"/>
    <w:rsid w:val="0020707E"/>
    <w:rsid w:val="002555D5"/>
    <w:rsid w:val="0026415D"/>
    <w:rsid w:val="002741D5"/>
    <w:rsid w:val="002B29F4"/>
    <w:rsid w:val="002C5F57"/>
    <w:rsid w:val="002C7465"/>
    <w:rsid w:val="00406215"/>
    <w:rsid w:val="004F5275"/>
    <w:rsid w:val="005301BE"/>
    <w:rsid w:val="005D18A4"/>
    <w:rsid w:val="00644B2B"/>
    <w:rsid w:val="00714A92"/>
    <w:rsid w:val="00780E02"/>
    <w:rsid w:val="007A1FC1"/>
    <w:rsid w:val="009748C1"/>
    <w:rsid w:val="009E44E8"/>
    <w:rsid w:val="009E6E0E"/>
    <w:rsid w:val="009F62A1"/>
    <w:rsid w:val="00A62DDF"/>
    <w:rsid w:val="00AB6970"/>
    <w:rsid w:val="00AF052D"/>
    <w:rsid w:val="00B65AA0"/>
    <w:rsid w:val="00B84822"/>
    <w:rsid w:val="00B85D47"/>
    <w:rsid w:val="00B94C62"/>
    <w:rsid w:val="00C82736"/>
    <w:rsid w:val="00C836DE"/>
    <w:rsid w:val="00CA65F2"/>
    <w:rsid w:val="00D23E72"/>
    <w:rsid w:val="00D24EEE"/>
    <w:rsid w:val="00D34FB9"/>
    <w:rsid w:val="00D729B0"/>
    <w:rsid w:val="00DA185B"/>
    <w:rsid w:val="00E15DE6"/>
    <w:rsid w:val="00E27DA3"/>
    <w:rsid w:val="00E562F9"/>
    <w:rsid w:val="00E57A8B"/>
    <w:rsid w:val="00E722E3"/>
    <w:rsid w:val="00F33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01BE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"/>
    <w:qFormat/>
    <w:rsid w:val="005301BE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nhideWhenUsed/>
    <w:qFormat/>
    <w:rsid w:val="005301BE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5301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5301BE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5301BE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5301BE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nhideWhenUsed/>
    <w:qFormat/>
    <w:rsid w:val="005301BE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nhideWhenUsed/>
    <w:qFormat/>
    <w:rsid w:val="005301BE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nhideWhenUsed/>
    <w:qFormat/>
    <w:rsid w:val="005301BE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301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rsid w:val="005301B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rsid w:val="005301B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rsid w:val="005301BE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rsid w:val="005301BE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rsid w:val="005301BE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rsid w:val="005301BE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rsid w:val="005301BE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rsid w:val="005301BE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5301BE"/>
    <w:pPr>
      <w:spacing w:after="0" w:line="240" w:lineRule="auto"/>
    </w:pPr>
    <w:rPr>
      <w:rFonts w:ascii="Arial Narrow" w:eastAsia="Times New Roman" w:hAnsi="Arial Narrow" w:cs="Times New Roman"/>
      <w:sz w:val="20"/>
      <w:szCs w:val="36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530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01BE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530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01BE"/>
    <w:rPr>
      <w:rFonts w:ascii="Arial Narrow" w:eastAsia="Times New Roman" w:hAnsi="Arial Narrow" w:cs="Times New Roman"/>
      <w:szCs w:val="36"/>
    </w:rPr>
  </w:style>
  <w:style w:type="character" w:customStyle="1" w:styleId="TextpoznmkypodiarouChar128">
    <w:name w:val="Text poznámky pod čiarou Char128"/>
    <w:uiPriority w:val="99"/>
    <w:semiHidden/>
    <w:rsid w:val="005301BE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301BE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301B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mkypodiarouChar127">
    <w:name w:val="Text poznámky pod čiarou Char127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sid w:val="005301BE"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5301BE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5301BE"/>
    <w:rPr>
      <w:rFonts w:ascii="Arial Narrow" w:eastAsia="Times New Roman" w:hAnsi="Arial Narrow" w:cs="Times New Roman"/>
      <w:b/>
      <w:bCs/>
      <w:kern w:val="28"/>
      <w:szCs w:val="32"/>
    </w:rPr>
  </w:style>
  <w:style w:type="character" w:customStyle="1" w:styleId="NzovChar127">
    <w:name w:val="Názov Char127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sid w:val="005301BE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unhideWhenUsed/>
    <w:rsid w:val="005301BE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5301BE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127">
    <w:name w:val="Základný text Char127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sid w:val="005301BE"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301BE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5301BE"/>
    <w:rPr>
      <w:rFonts w:ascii="Cambria" w:eastAsia="Times New Roman" w:hAnsi="Cambria" w:cs="Times New Roman"/>
      <w:szCs w:val="24"/>
    </w:rPr>
  </w:style>
  <w:style w:type="character" w:customStyle="1" w:styleId="PodtitulChar127">
    <w:name w:val="Podtitul Char127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sid w:val="005301BE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unhideWhenUsed/>
    <w:rsid w:val="005301BE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5301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127">
    <w:name w:val="Základný text 2 Char127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sid w:val="005301BE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nhideWhenUsed/>
    <w:rsid w:val="005301BE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5301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2Char127">
    <w:name w:val="Zarážka základného textu 2 Char127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sid w:val="005301BE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5301BE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5301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3Char127">
    <w:name w:val="Zarážka základného textu 3 Char127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sid w:val="005301BE"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sid w:val="005301BE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semiHidden/>
    <w:unhideWhenUsed/>
    <w:rsid w:val="005301BE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semiHidden/>
    <w:rsid w:val="005301BE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127">
    <w:name w:val="Text bubliny Char127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sid w:val="005301BE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sid w:val="005301BE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sid w:val="005301BE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sid w:val="005301BE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34"/>
    <w:qFormat/>
    <w:rsid w:val="005301BE"/>
    <w:pPr>
      <w:ind w:left="720"/>
      <w:contextualSpacing/>
    </w:pPr>
  </w:style>
  <w:style w:type="paragraph" w:customStyle="1" w:styleId="TopHeader">
    <w:name w:val="Top Header"/>
    <w:basedOn w:val="Normlny"/>
    <w:qFormat/>
    <w:rsid w:val="005301BE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unhideWhenUsed/>
    <w:rsid w:val="005301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5301BE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</w:rPr>
  </w:style>
  <w:style w:type="paragraph" w:customStyle="1" w:styleId="Pismenka">
    <w:name w:val="Pismenka"/>
    <w:basedOn w:val="Zkladntext"/>
    <w:rsid w:val="005301BE"/>
    <w:pPr>
      <w:numPr>
        <w:numId w:val="1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5301BE"/>
    <w:rPr>
      <w:vertAlign w:val="superscript"/>
    </w:rPr>
  </w:style>
  <w:style w:type="numbering" w:customStyle="1" w:styleId="Bezzoznamu1">
    <w:name w:val="Bez zoznamu1"/>
    <w:next w:val="Bezzoznamu"/>
    <w:uiPriority w:val="99"/>
    <w:semiHidden/>
    <w:unhideWhenUsed/>
    <w:rsid w:val="005301BE"/>
  </w:style>
  <w:style w:type="character" w:customStyle="1" w:styleId="OdsekzoznamuChar">
    <w:name w:val="Odsek zoznamu Char"/>
    <w:link w:val="Odsekzoznamu"/>
    <w:uiPriority w:val="34"/>
    <w:locked/>
    <w:rsid w:val="005301BE"/>
    <w:rPr>
      <w:rFonts w:ascii="Arial Narrow" w:eastAsia="Times New Roman" w:hAnsi="Arial Narrow" w:cs="Times New Roman"/>
      <w:szCs w:val="36"/>
    </w:rPr>
  </w:style>
  <w:style w:type="table" w:customStyle="1" w:styleId="Mriekatabuky2">
    <w:name w:val="Mriežka tabuľky2"/>
    <w:basedOn w:val="Normlnatabuka"/>
    <w:uiPriority w:val="59"/>
    <w:rsid w:val="005301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11">
    <w:name w:val="Mriežka tabuľky11"/>
    <w:basedOn w:val="Normlnatabuka"/>
    <w:uiPriority w:val="39"/>
    <w:rsid w:val="005301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3">
    <w:name w:val="Mriežka tabuľky3"/>
    <w:basedOn w:val="Normlnatabuka"/>
    <w:next w:val="Mriekatabuky"/>
    <w:uiPriority w:val="39"/>
    <w:rsid w:val="005301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1">
    <w:name w:val="Mriežka tabuľky1"/>
    <w:basedOn w:val="Normlnatabuka"/>
    <w:next w:val="Mriekatabuky"/>
    <w:uiPriority w:val="59"/>
    <w:rsid w:val="005301B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12">
    <w:name w:val="Mriežka tabuľky12"/>
    <w:basedOn w:val="Normlnatabuka"/>
    <w:uiPriority w:val="39"/>
    <w:rsid w:val="005301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1">
    <w:name w:val="Bez zoznamu11"/>
    <w:next w:val="Bezzoznamu"/>
    <w:uiPriority w:val="99"/>
    <w:semiHidden/>
    <w:unhideWhenUsed/>
    <w:rsid w:val="005301BE"/>
  </w:style>
  <w:style w:type="paragraph" w:styleId="Zarkazkladnhotextu">
    <w:name w:val="Body Text Indent"/>
    <w:basedOn w:val="Normlny"/>
    <w:link w:val="ZarkazkladnhotextuChar"/>
    <w:uiPriority w:val="99"/>
    <w:rsid w:val="005301BE"/>
    <w:pPr>
      <w:spacing w:after="0" w:line="240" w:lineRule="auto"/>
      <w:ind w:left="360"/>
    </w:pPr>
    <w:rPr>
      <w:iCs/>
      <w:sz w:val="24"/>
      <w:szCs w:val="28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5301BE"/>
    <w:rPr>
      <w:rFonts w:ascii="Arial Narrow" w:eastAsia="Times New Roman" w:hAnsi="Arial Narrow" w:cs="Times New Roman"/>
      <w:iCs/>
      <w:sz w:val="24"/>
      <w:szCs w:val="28"/>
      <w:lang w:eastAsia="cs-CZ"/>
    </w:rPr>
  </w:style>
  <w:style w:type="character" w:styleId="slostrany">
    <w:name w:val="page number"/>
    <w:uiPriority w:val="99"/>
    <w:rsid w:val="005301BE"/>
  </w:style>
  <w:style w:type="paragraph" w:styleId="Zkladntext3">
    <w:name w:val="Body Text 3"/>
    <w:basedOn w:val="Normlny"/>
    <w:link w:val="Zkladntext3Char"/>
    <w:uiPriority w:val="99"/>
    <w:rsid w:val="005301BE"/>
    <w:pPr>
      <w:spacing w:after="0" w:line="240" w:lineRule="auto"/>
      <w:jc w:val="both"/>
    </w:pPr>
    <w:rPr>
      <w:bCs/>
      <w:sz w:val="24"/>
      <w:szCs w:val="24"/>
      <w:lang w:eastAsia="cs-CZ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5301BE"/>
    <w:rPr>
      <w:rFonts w:ascii="Arial Narrow" w:eastAsia="Times New Roman" w:hAnsi="Arial Narrow" w:cs="Times New Roman"/>
      <w:bCs/>
      <w:sz w:val="24"/>
      <w:szCs w:val="24"/>
      <w:lang w:eastAsia="cs-CZ"/>
    </w:rPr>
  </w:style>
  <w:style w:type="table" w:customStyle="1" w:styleId="Mriekatabuky13">
    <w:name w:val="Mriežka tabuľky13"/>
    <w:basedOn w:val="Normlnatabuka"/>
    <w:next w:val="Mriekatabuky"/>
    <w:uiPriority w:val="99"/>
    <w:rsid w:val="005301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kladntext0">
    <w:name w:val="Základní text"/>
    <w:rsid w:val="005301BE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sk-SK"/>
    </w:rPr>
  </w:style>
  <w:style w:type="paragraph" w:customStyle="1" w:styleId="Normlnywebov5">
    <w:name w:val="Normálny (webový)5"/>
    <w:basedOn w:val="Normlny"/>
    <w:rsid w:val="005301BE"/>
    <w:pPr>
      <w:spacing w:after="204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Tabulka">
    <w:name w:val="Tabulka"/>
    <w:basedOn w:val="Normlny"/>
    <w:rsid w:val="005301BE"/>
    <w:pPr>
      <w:spacing w:after="0" w:line="240" w:lineRule="auto"/>
    </w:pPr>
    <w:rPr>
      <w:rFonts w:ascii="Times New Roman" w:hAnsi="Times New Roman"/>
      <w:color w:val="000000"/>
      <w:sz w:val="18"/>
      <w:szCs w:val="20"/>
    </w:rPr>
  </w:style>
  <w:style w:type="paragraph" w:styleId="Textkomentra">
    <w:name w:val="annotation text"/>
    <w:basedOn w:val="Normlny"/>
    <w:link w:val="TextkomentraChar"/>
    <w:uiPriority w:val="99"/>
    <w:unhideWhenUsed/>
    <w:rsid w:val="005301BE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301B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5301B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5301BE"/>
    <w:rPr>
      <w:b/>
      <w:bCs/>
    </w:rPr>
  </w:style>
  <w:style w:type="paragraph" w:styleId="Revzia">
    <w:name w:val="Revision"/>
    <w:hidden/>
    <w:uiPriority w:val="99"/>
    <w:semiHidden/>
    <w:rsid w:val="005301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Uvod">
    <w:name w:val="Uvod"/>
    <w:basedOn w:val="Normlny"/>
    <w:rsid w:val="005301BE"/>
    <w:pPr>
      <w:spacing w:after="0" w:line="240" w:lineRule="auto"/>
      <w:ind w:left="284" w:hanging="284"/>
      <w:jc w:val="both"/>
    </w:pPr>
    <w:rPr>
      <w:rFonts w:ascii="Times New Roman" w:hAnsi="Times New Roman"/>
      <w:szCs w:val="20"/>
    </w:rPr>
  </w:style>
  <w:style w:type="paragraph" w:styleId="Obsah1">
    <w:name w:val="toc 1"/>
    <w:basedOn w:val="Normlny"/>
    <w:next w:val="Normlny"/>
    <w:autoRedefine/>
    <w:rsid w:val="005301BE"/>
    <w:pPr>
      <w:tabs>
        <w:tab w:val="left" w:pos="426"/>
        <w:tab w:val="right" w:pos="9203"/>
      </w:tabs>
      <w:spacing w:before="360" w:after="0" w:line="240" w:lineRule="auto"/>
    </w:pPr>
    <w:rPr>
      <w:rFonts w:ascii="Times New Roman" w:hAnsi="Times New Roman"/>
      <w:b/>
      <w:bCs/>
      <w:caps/>
      <w:noProof/>
      <w:sz w:val="20"/>
      <w:szCs w:val="18"/>
    </w:rPr>
  </w:style>
  <w:style w:type="paragraph" w:styleId="Obsah2">
    <w:name w:val="toc 2"/>
    <w:basedOn w:val="Normlny"/>
    <w:next w:val="Normlny"/>
    <w:autoRedefine/>
    <w:rsid w:val="005301BE"/>
    <w:pPr>
      <w:tabs>
        <w:tab w:val="left" w:pos="993"/>
        <w:tab w:val="right" w:pos="9203"/>
      </w:tabs>
      <w:spacing w:after="0" w:line="240" w:lineRule="auto"/>
      <w:ind w:firstLine="567"/>
    </w:pPr>
    <w:rPr>
      <w:rFonts w:ascii="Times New Roman" w:hAnsi="Times New Roman"/>
      <w:b/>
      <w:bCs/>
      <w:noProof/>
      <w:sz w:val="20"/>
      <w:szCs w:val="18"/>
    </w:rPr>
  </w:style>
  <w:style w:type="paragraph" w:styleId="Obsah3">
    <w:name w:val="toc 3"/>
    <w:basedOn w:val="Normlny"/>
    <w:next w:val="Normlny"/>
    <w:autoRedefine/>
    <w:rsid w:val="005301BE"/>
    <w:pPr>
      <w:spacing w:after="0" w:line="240" w:lineRule="auto"/>
      <w:ind w:left="200"/>
    </w:pPr>
    <w:rPr>
      <w:rFonts w:ascii="Times New Roman" w:hAnsi="Times New Roman"/>
      <w:sz w:val="20"/>
      <w:szCs w:val="24"/>
    </w:rPr>
  </w:style>
  <w:style w:type="paragraph" w:styleId="Obsah4">
    <w:name w:val="toc 4"/>
    <w:basedOn w:val="Normlny"/>
    <w:next w:val="Normlny"/>
    <w:autoRedefine/>
    <w:rsid w:val="005301BE"/>
    <w:pPr>
      <w:spacing w:after="0" w:line="240" w:lineRule="auto"/>
      <w:ind w:left="400"/>
    </w:pPr>
    <w:rPr>
      <w:rFonts w:ascii="Times New Roman" w:hAnsi="Times New Roman"/>
      <w:sz w:val="20"/>
      <w:szCs w:val="24"/>
    </w:rPr>
  </w:style>
  <w:style w:type="paragraph" w:styleId="Obsah5">
    <w:name w:val="toc 5"/>
    <w:basedOn w:val="Normlny"/>
    <w:next w:val="Normlny"/>
    <w:autoRedefine/>
    <w:rsid w:val="005301BE"/>
    <w:pPr>
      <w:spacing w:after="0" w:line="240" w:lineRule="auto"/>
      <w:ind w:left="600"/>
    </w:pPr>
    <w:rPr>
      <w:rFonts w:ascii="Times New Roman" w:hAnsi="Times New Roman"/>
      <w:sz w:val="20"/>
      <w:szCs w:val="24"/>
    </w:rPr>
  </w:style>
  <w:style w:type="paragraph" w:styleId="Obsah6">
    <w:name w:val="toc 6"/>
    <w:basedOn w:val="Normlny"/>
    <w:next w:val="Normlny"/>
    <w:autoRedefine/>
    <w:rsid w:val="005301BE"/>
    <w:pPr>
      <w:spacing w:after="0" w:line="240" w:lineRule="auto"/>
      <w:ind w:left="800"/>
    </w:pPr>
    <w:rPr>
      <w:rFonts w:ascii="Times New Roman" w:hAnsi="Times New Roman"/>
      <w:sz w:val="20"/>
      <w:szCs w:val="24"/>
    </w:rPr>
  </w:style>
  <w:style w:type="paragraph" w:styleId="Obsah7">
    <w:name w:val="toc 7"/>
    <w:basedOn w:val="Normlny"/>
    <w:next w:val="Normlny"/>
    <w:autoRedefine/>
    <w:rsid w:val="005301BE"/>
    <w:pPr>
      <w:spacing w:after="0" w:line="240" w:lineRule="auto"/>
      <w:ind w:left="1000"/>
    </w:pPr>
    <w:rPr>
      <w:rFonts w:ascii="Times New Roman" w:hAnsi="Times New Roman"/>
      <w:sz w:val="20"/>
      <w:szCs w:val="24"/>
    </w:rPr>
  </w:style>
  <w:style w:type="paragraph" w:styleId="Obsah8">
    <w:name w:val="toc 8"/>
    <w:basedOn w:val="Normlny"/>
    <w:next w:val="Normlny"/>
    <w:autoRedefine/>
    <w:rsid w:val="005301BE"/>
    <w:pPr>
      <w:spacing w:after="0" w:line="240" w:lineRule="auto"/>
      <w:ind w:left="1200"/>
    </w:pPr>
    <w:rPr>
      <w:rFonts w:ascii="Times New Roman" w:hAnsi="Times New Roman"/>
      <w:sz w:val="20"/>
      <w:szCs w:val="24"/>
    </w:rPr>
  </w:style>
  <w:style w:type="paragraph" w:styleId="Obsah9">
    <w:name w:val="toc 9"/>
    <w:basedOn w:val="Normlny"/>
    <w:next w:val="Normlny"/>
    <w:autoRedefine/>
    <w:rsid w:val="005301BE"/>
    <w:pPr>
      <w:spacing w:after="0" w:line="240" w:lineRule="auto"/>
      <w:ind w:left="1400"/>
    </w:pPr>
    <w:rPr>
      <w:rFonts w:ascii="Times New Roman" w:hAnsi="Times New Roman"/>
      <w:sz w:val="20"/>
      <w:szCs w:val="24"/>
    </w:rPr>
  </w:style>
  <w:style w:type="character" w:styleId="Hypertextovprepojenie">
    <w:name w:val="Hyperlink"/>
    <w:uiPriority w:val="99"/>
    <w:rsid w:val="005301BE"/>
    <w:rPr>
      <w:color w:val="0000FF"/>
      <w:u w:val="single"/>
    </w:rPr>
  </w:style>
  <w:style w:type="character" w:styleId="PouitHypertextovPrepojenie">
    <w:name w:val="FollowedHyperlink"/>
    <w:rsid w:val="005301BE"/>
    <w:rPr>
      <w:color w:val="800080"/>
      <w:u w:val="single"/>
    </w:rPr>
  </w:style>
  <w:style w:type="character" w:customStyle="1" w:styleId="ra">
    <w:name w:val="ra"/>
    <w:rsid w:val="005301BE"/>
  </w:style>
  <w:style w:type="table" w:styleId="Jednoduchtabuka2">
    <w:name w:val="Table Simple 2"/>
    <w:basedOn w:val="Normlnatabuka"/>
    <w:uiPriority w:val="99"/>
    <w:unhideWhenUsed/>
    <w:rsid w:val="005301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podnadpis2">
    <w:name w:val="podnadpis2"/>
    <w:basedOn w:val="Normlny"/>
    <w:rsid w:val="005301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nadpis">
    <w:name w:val="nadpis"/>
    <w:basedOn w:val="Normlny"/>
    <w:rsid w:val="005301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podnadpis">
    <w:name w:val="podnadpis"/>
    <w:basedOn w:val="Normlny"/>
    <w:rsid w:val="005301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styleId="Siln">
    <w:name w:val="Strong"/>
    <w:uiPriority w:val="22"/>
    <w:qFormat/>
    <w:rsid w:val="005301BE"/>
    <w:rPr>
      <w:rFonts w:cs="Times New Roman"/>
      <w:b/>
    </w:rPr>
  </w:style>
  <w:style w:type="character" w:styleId="Zvraznenie">
    <w:name w:val="Emphasis"/>
    <w:uiPriority w:val="20"/>
    <w:qFormat/>
    <w:rsid w:val="005301BE"/>
    <w:rPr>
      <w:rFonts w:cs="Times New Roman"/>
      <w:i/>
    </w:rPr>
  </w:style>
  <w:style w:type="paragraph" w:customStyle="1" w:styleId="zaklad">
    <w:name w:val="zaklad"/>
    <w:basedOn w:val="Normlny"/>
    <w:rsid w:val="005301BE"/>
    <w:pPr>
      <w:spacing w:before="240" w:after="0" w:line="240" w:lineRule="auto"/>
      <w:jc w:val="both"/>
    </w:pPr>
    <w:rPr>
      <w:rFonts w:ascii="Times New Roman" w:hAnsi="Times New Roman"/>
      <w:sz w:val="24"/>
      <w:szCs w:val="24"/>
      <w:lang w:eastAsia="sk-SK"/>
    </w:rPr>
  </w:style>
  <w:style w:type="paragraph" w:customStyle="1" w:styleId="zakladB">
    <w:name w:val="zaklad B"/>
    <w:basedOn w:val="zaklad"/>
    <w:rsid w:val="005301BE"/>
    <w:pPr>
      <w:spacing w:before="0"/>
    </w:pPr>
    <w:rPr>
      <w:szCs w:val="20"/>
      <w:lang w:eastAsia="cs-CZ"/>
    </w:rPr>
  </w:style>
  <w:style w:type="paragraph" w:customStyle="1" w:styleId="zakladSB">
    <w:name w:val="zaklad S B"/>
    <w:basedOn w:val="Normlny"/>
    <w:rsid w:val="005301BE"/>
    <w:pPr>
      <w:spacing w:after="0" w:line="240" w:lineRule="auto"/>
      <w:jc w:val="center"/>
    </w:pPr>
    <w:rPr>
      <w:rFonts w:ascii="Times New Roman" w:hAnsi="Times New Roman"/>
      <w:sz w:val="24"/>
      <w:szCs w:val="20"/>
      <w:lang w:eastAsia="cs-CZ"/>
    </w:rPr>
  </w:style>
  <w:style w:type="paragraph" w:customStyle="1" w:styleId="Odsekzoznamu2">
    <w:name w:val="Odsek zoznamu2"/>
    <w:basedOn w:val="Normlny"/>
    <w:qFormat/>
    <w:rsid w:val="005301BE"/>
    <w:pPr>
      <w:spacing w:after="0" w:line="240" w:lineRule="auto"/>
      <w:ind w:left="708"/>
    </w:pPr>
    <w:rPr>
      <w:rFonts w:ascii="Times New Roman" w:hAnsi="Times New Roman"/>
      <w:sz w:val="24"/>
      <w:szCs w:val="24"/>
      <w:lang w:eastAsia="sk-SK"/>
    </w:rPr>
  </w:style>
  <w:style w:type="character" w:customStyle="1" w:styleId="Textzstupnhosymbolu1">
    <w:name w:val="Text zástupného symbolu1"/>
    <w:semiHidden/>
    <w:rsid w:val="005301BE"/>
    <w:rPr>
      <w:rFonts w:ascii="Times New Roman" w:hAnsi="Times New Roman"/>
      <w:color w:val="808080"/>
    </w:rPr>
  </w:style>
  <w:style w:type="paragraph" w:customStyle="1" w:styleId="ListParagraph1">
    <w:name w:val="List Paragraph1"/>
    <w:basedOn w:val="Normlny"/>
    <w:rsid w:val="005301B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sk-SK"/>
    </w:rPr>
  </w:style>
  <w:style w:type="paragraph" w:customStyle="1" w:styleId="Text">
    <w:name w:val="Text"/>
    <w:basedOn w:val="Normlny"/>
    <w:rsid w:val="005301BE"/>
    <w:pPr>
      <w:spacing w:after="0" w:line="240" w:lineRule="auto"/>
      <w:jc w:val="both"/>
    </w:pPr>
    <w:rPr>
      <w:rFonts w:ascii="Times New Roman" w:hAnsi="Times New Roman"/>
      <w:szCs w:val="22"/>
      <w:lang w:eastAsia="cs-CZ"/>
    </w:rPr>
  </w:style>
  <w:style w:type="paragraph" w:customStyle="1" w:styleId="Nadpis-centrovany">
    <w:name w:val="Nadpis - centrovany"/>
    <w:basedOn w:val="Normlny"/>
    <w:rsid w:val="005301BE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cs-CZ"/>
    </w:rPr>
  </w:style>
  <w:style w:type="paragraph" w:customStyle="1" w:styleId="Podpis">
    <w:name w:val="Podpis_"/>
    <w:basedOn w:val="Normlny"/>
    <w:rsid w:val="005301BE"/>
    <w:pPr>
      <w:spacing w:after="0" w:line="240" w:lineRule="auto"/>
      <w:ind w:left="6237"/>
      <w:jc w:val="center"/>
    </w:pPr>
    <w:rPr>
      <w:rFonts w:ascii="Times New Roman" w:hAnsi="Times New Roman"/>
      <w:szCs w:val="22"/>
      <w:lang w:eastAsia="cs-CZ"/>
    </w:rPr>
  </w:style>
  <w:style w:type="paragraph" w:customStyle="1" w:styleId="Odsekzoznamu1">
    <w:name w:val="Odsek zoznamu1"/>
    <w:basedOn w:val="Normlny"/>
    <w:rsid w:val="005301BE"/>
    <w:pPr>
      <w:ind w:left="720"/>
    </w:pPr>
  </w:style>
  <w:style w:type="character" w:customStyle="1" w:styleId="CharChar5">
    <w:name w:val="Char Char5"/>
    <w:locked/>
    <w:rsid w:val="005301BE"/>
    <w:rPr>
      <w:rFonts w:cs="Times New Roman"/>
      <w:b/>
      <w:sz w:val="28"/>
      <w:lang w:val="sk-SK" w:eastAsia="sk-SK" w:bidi="ar-SA"/>
    </w:rPr>
  </w:style>
  <w:style w:type="character" w:customStyle="1" w:styleId="CharChar18">
    <w:name w:val="Char Char18"/>
    <w:locked/>
    <w:rsid w:val="005301BE"/>
    <w:rPr>
      <w:rFonts w:ascii="Calibri" w:hAnsi="Calibri" w:cs="Times New Roman"/>
      <w:b/>
      <w:bCs/>
      <w:sz w:val="22"/>
      <w:szCs w:val="22"/>
      <w:lang w:val="sk-SK" w:eastAsia="en-US" w:bidi="ar-SA"/>
    </w:rPr>
  </w:style>
  <w:style w:type="paragraph" w:styleId="Obyajntext">
    <w:name w:val="Plain Text"/>
    <w:basedOn w:val="Normlny"/>
    <w:link w:val="ObyajntextChar"/>
    <w:uiPriority w:val="99"/>
    <w:unhideWhenUsed/>
    <w:rsid w:val="005301BE"/>
    <w:pPr>
      <w:spacing w:after="0" w:line="240" w:lineRule="auto"/>
    </w:pPr>
    <w:rPr>
      <w:rFonts w:eastAsia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5301BE"/>
    <w:rPr>
      <w:rFonts w:ascii="Arial Narrow" w:eastAsia="Calibri" w:hAnsi="Arial Narrow" w:cs="Times New Roman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BE6208-1318-4DBD-936C-FD0A54F3A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uctovnik</dc:creator>
  <cp:lastModifiedBy>uctovnik</cp:lastModifiedBy>
  <cp:revision>2</cp:revision>
  <dcterms:created xsi:type="dcterms:W3CDTF">2019-03-31T14:07:00Z</dcterms:created>
  <dcterms:modified xsi:type="dcterms:W3CDTF">2019-03-31T14:07:00Z</dcterms:modified>
</cp:coreProperties>
</file>