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EC6" w:rsidRDefault="003B6EC6" w:rsidP="003B6EC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 individuálnej účtovnej závierke  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31.12.2017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2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530"/>
      </w:tblGrid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GardenKa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s.r.o.</w:t>
            </w:r>
          </w:p>
        </w:tc>
      </w:tr>
      <w:tr w:rsidR="003B6EC6" w:rsidRPr="00631B70" w:rsidTr="0098056E">
        <w:trPr>
          <w:trHeight w:hRule="exact" w:val="7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Bottova 2769,  9630 1 Krupina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Dátum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17.03.2012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Spôsob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Spoločenská zmluva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46 566 384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2023480866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Uskutočňovanie sta</w:t>
            </w:r>
            <w:r w:rsidR="00C5378B"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ieb a ich zmien</w:t>
            </w:r>
          </w:p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42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BD4C68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t xml:space="preserve">    riadna</w:t>
            </w:r>
          </w:p>
          <w:p w:rsidR="003B6EC6" w:rsidRPr="00631B70" w:rsidRDefault="00BD4C68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t xml:space="preserve">    mimoriadna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1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468"/>
      </w:tblGrid>
      <w:tr w:rsidR="003B6EC6" w:rsidRPr="00631B70" w:rsidTr="0098056E">
        <w:trPr>
          <w:trHeight w:hRule="exact" w:val="62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Štatutárny orgán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Ing. Branislav Tichý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Organizačné členenie účtovnej jednotky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201</w:t>
      </w:r>
      <w:r w:rsidR="00C5378B">
        <w:rPr>
          <w:rFonts w:ascii="Arial" w:hAnsi="Arial" w:cs="Arial"/>
          <w:sz w:val="20"/>
          <w:szCs w:val="20"/>
        </w:rPr>
        <w:t xml:space="preserve">8 </w:t>
      </w:r>
      <w:r>
        <w:rPr>
          <w:rFonts w:ascii="Arial" w:hAnsi="Arial" w:cs="Arial"/>
          <w:sz w:val="20"/>
          <w:szCs w:val="20"/>
        </w:rPr>
        <w:t>nevykonávala žiadnu činnosť.</w:t>
      </w: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0F1444" w:rsidRDefault="000F1444"/>
    <w:sectPr w:rsidR="000F1444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B6EC6"/>
    <w:rsid w:val="000F1444"/>
    <w:rsid w:val="003B6EC6"/>
    <w:rsid w:val="00981091"/>
    <w:rsid w:val="00BD4C68"/>
    <w:rsid w:val="00C5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EC6"/>
    <w:rPr>
      <w:rFonts w:ascii="Arial Narrow" w:eastAsia="Times New Roman" w:hAnsi="Arial Narrow" w:cs="Times New Roman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2018-07-02T04:40:00Z</dcterms:created>
  <dcterms:modified xsi:type="dcterms:W3CDTF">2019-04-01T18:40:00Z</dcterms:modified>
</cp:coreProperties>
</file>