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2FF2A" w14:textId="7C10F421" w:rsidR="008C288C" w:rsidRDefault="008C288C" w:rsidP="00505EB4">
      <w:pPr>
        <w:pStyle w:val="Zkladntext"/>
        <w:ind w:left="0"/>
        <w:jc w:val="center"/>
        <w:rPr>
          <w:b/>
          <w:sz w:val="24"/>
        </w:rPr>
      </w:pPr>
      <w:r w:rsidRPr="00FA0C14">
        <w:rPr>
          <w:b/>
          <w:sz w:val="24"/>
        </w:rPr>
        <w:t xml:space="preserve">Poznámky </w:t>
      </w:r>
      <w:r w:rsidR="00075465">
        <w:rPr>
          <w:b/>
          <w:sz w:val="24"/>
        </w:rPr>
        <w:t xml:space="preserve">individuálnej </w:t>
      </w:r>
      <w:r w:rsidRPr="00FA0C14">
        <w:rPr>
          <w:b/>
          <w:sz w:val="24"/>
        </w:rPr>
        <w:t>účtovnej závierk</w:t>
      </w:r>
      <w:r>
        <w:rPr>
          <w:b/>
          <w:sz w:val="24"/>
        </w:rPr>
        <w:t>y</w:t>
      </w:r>
      <w:r w:rsidRPr="00FA0C14">
        <w:rPr>
          <w:b/>
          <w:sz w:val="24"/>
        </w:rPr>
        <w:t xml:space="preserve"> </w:t>
      </w:r>
      <w:r w:rsidR="00075465">
        <w:rPr>
          <w:b/>
          <w:sz w:val="24"/>
        </w:rPr>
        <w:t xml:space="preserve">zostavenej </w:t>
      </w:r>
      <w:r w:rsidRPr="00FA0C14">
        <w:rPr>
          <w:b/>
          <w:sz w:val="24"/>
        </w:rPr>
        <w:t xml:space="preserve">k 31. </w:t>
      </w:r>
      <w:r w:rsidR="00C86A05">
        <w:rPr>
          <w:b/>
          <w:sz w:val="24"/>
        </w:rPr>
        <w:t>d</w:t>
      </w:r>
      <w:r>
        <w:rPr>
          <w:b/>
          <w:sz w:val="24"/>
        </w:rPr>
        <w:t>ecembru</w:t>
      </w:r>
      <w:r w:rsidR="00C86A05">
        <w:rPr>
          <w:b/>
          <w:sz w:val="24"/>
        </w:rPr>
        <w:t xml:space="preserve"> </w:t>
      </w:r>
      <w:r>
        <w:rPr>
          <w:b/>
          <w:sz w:val="24"/>
        </w:rPr>
        <w:t>20</w:t>
      </w:r>
      <w:r w:rsidR="006716C4">
        <w:rPr>
          <w:b/>
          <w:sz w:val="24"/>
        </w:rPr>
        <w:t>1</w:t>
      </w:r>
      <w:r w:rsidR="00B05F7A">
        <w:rPr>
          <w:b/>
          <w:sz w:val="24"/>
        </w:rPr>
        <w:t>8</w:t>
      </w:r>
    </w:p>
    <w:p w14:paraId="7D4E846D" w14:textId="77777777" w:rsidR="00F755E0" w:rsidRDefault="00F755E0" w:rsidP="00505EB4">
      <w:pPr>
        <w:pStyle w:val="Zkladntext"/>
        <w:ind w:left="0"/>
        <w:jc w:val="center"/>
        <w:rPr>
          <w:b/>
          <w:sz w:val="24"/>
        </w:rPr>
      </w:pPr>
    </w:p>
    <w:p w14:paraId="483B48FA" w14:textId="77777777" w:rsidR="00F755E0" w:rsidRDefault="00F755E0" w:rsidP="00505EB4">
      <w:pPr>
        <w:pStyle w:val="Zkladntext"/>
        <w:ind w:left="0"/>
        <w:jc w:val="center"/>
        <w:rPr>
          <w:b/>
          <w:sz w:val="24"/>
        </w:rPr>
      </w:pPr>
    </w:p>
    <w:p w14:paraId="5602FF2B" w14:textId="77777777" w:rsidR="00075465" w:rsidRDefault="00075465" w:rsidP="00075465">
      <w:pPr>
        <w:pStyle w:val="Zkladntext"/>
      </w:pPr>
    </w:p>
    <w:p w14:paraId="5602FF2C" w14:textId="77777777" w:rsidR="00B0124E" w:rsidRDefault="00075465" w:rsidP="00075465">
      <w:pPr>
        <w:pStyle w:val="Zkladntext"/>
      </w:pPr>
      <w:r>
        <w:t>v celých eurách</w:t>
      </w:r>
    </w:p>
    <w:tbl>
      <w:tblPr>
        <w:tblStyle w:val="Mkatabulky"/>
        <w:tblW w:w="0" w:type="auto"/>
        <w:tblInd w:w="6771" w:type="dxa"/>
        <w:tblLook w:val="04A0" w:firstRow="1" w:lastRow="0" w:firstColumn="1" w:lastColumn="0" w:noHBand="0" w:noVBand="1"/>
      </w:tblPr>
      <w:tblGrid>
        <w:gridCol w:w="3084"/>
      </w:tblGrid>
      <w:tr w:rsidR="00B0124E" w14:paraId="5602FF2E" w14:textId="77777777" w:rsidTr="00DD1D64">
        <w:trPr>
          <w:trHeight w:val="498"/>
        </w:trPr>
        <w:tc>
          <w:tcPr>
            <w:tcW w:w="3084" w:type="dxa"/>
          </w:tcPr>
          <w:p w14:paraId="5602FF2D" w14:textId="77777777" w:rsidR="00B0124E" w:rsidRDefault="00B0124E" w:rsidP="00150380">
            <w:pPr>
              <w:pStyle w:val="Zkladntext"/>
              <w:spacing w:before="120"/>
              <w:ind w:left="0"/>
              <w:jc w:val="center"/>
            </w:pPr>
            <w:r>
              <w:t xml:space="preserve">Poznámky </w:t>
            </w:r>
            <w:proofErr w:type="spellStart"/>
            <w:r>
              <w:t>Úč</w:t>
            </w:r>
            <w:proofErr w:type="spellEnd"/>
            <w:r>
              <w:t xml:space="preserve"> POD 3-04</w:t>
            </w:r>
          </w:p>
        </w:tc>
      </w:tr>
    </w:tbl>
    <w:p w14:paraId="5602FF2F" w14:textId="22A4D935" w:rsidR="00075465" w:rsidRPr="00B05F7A" w:rsidRDefault="00075465" w:rsidP="00075465">
      <w:pPr>
        <w:pStyle w:val="Zkladntext"/>
        <w:rPr>
          <w:b/>
        </w:rPr>
      </w:pPr>
      <w:r w:rsidRPr="00B05F7A">
        <w:rPr>
          <w:b/>
        </w:rPr>
        <w:t>Za obdobie od 01-201</w:t>
      </w:r>
      <w:r w:rsidR="00B05F7A" w:rsidRPr="00B05F7A">
        <w:rPr>
          <w:b/>
        </w:rPr>
        <w:t>8</w:t>
      </w:r>
      <w:r w:rsidRPr="00B05F7A">
        <w:rPr>
          <w:b/>
        </w:rPr>
        <w:t xml:space="preserve"> do 12-201</w:t>
      </w:r>
      <w:r w:rsidR="00B05F7A" w:rsidRPr="00B05F7A">
        <w:rPr>
          <w:b/>
        </w:rPr>
        <w:t>8</w:t>
      </w:r>
    </w:p>
    <w:p w14:paraId="5602FF30" w14:textId="00498FD0" w:rsidR="00B0124E" w:rsidRPr="00B05F7A" w:rsidRDefault="0056218B" w:rsidP="00075465">
      <w:pPr>
        <w:pStyle w:val="Zkladntext"/>
        <w:rPr>
          <w:b/>
        </w:rPr>
      </w:pPr>
      <w:r w:rsidRPr="00B05F7A">
        <w:rPr>
          <w:b/>
        </w:rPr>
        <w:t>P</w:t>
      </w:r>
      <w:r w:rsidR="00075465" w:rsidRPr="00B05F7A">
        <w:rPr>
          <w:b/>
        </w:rPr>
        <w:t>redchádzajúce obdobie od 01-201</w:t>
      </w:r>
      <w:r w:rsidR="00B05F7A" w:rsidRPr="00B05F7A">
        <w:rPr>
          <w:b/>
        </w:rPr>
        <w:t>7</w:t>
      </w:r>
      <w:r w:rsidR="00075465" w:rsidRPr="00B05F7A">
        <w:rPr>
          <w:b/>
        </w:rPr>
        <w:t xml:space="preserve"> do 12-201</w:t>
      </w:r>
      <w:r w:rsidR="00B05F7A" w:rsidRPr="00B05F7A">
        <w:rPr>
          <w:b/>
        </w:rPr>
        <w:t>7</w:t>
      </w:r>
    </w:p>
    <w:p w14:paraId="5602FF31" w14:textId="77777777" w:rsidR="00075465" w:rsidRDefault="00075465" w:rsidP="00075465">
      <w:pPr>
        <w:pStyle w:val="Zkladntext"/>
      </w:pPr>
    </w:p>
    <w:p w14:paraId="5602FF32" w14:textId="77777777" w:rsidR="00075465" w:rsidRDefault="00075465" w:rsidP="00075465">
      <w:pPr>
        <w:pStyle w:val="Zkladntext"/>
      </w:pPr>
    </w:p>
    <w:p w14:paraId="3EBC6318" w14:textId="77777777" w:rsidR="00F755E0" w:rsidRDefault="00F755E0" w:rsidP="00075465">
      <w:pPr>
        <w:pStyle w:val="Zkladntext"/>
        <w:rPr>
          <w:b/>
        </w:rPr>
      </w:pPr>
    </w:p>
    <w:p w14:paraId="5C3274B8" w14:textId="77777777" w:rsidR="00F755E0" w:rsidRDefault="00F755E0" w:rsidP="00075465">
      <w:pPr>
        <w:pStyle w:val="Zkladntext"/>
        <w:rPr>
          <w:b/>
        </w:rPr>
      </w:pPr>
    </w:p>
    <w:p w14:paraId="16B4B15B" w14:textId="77777777" w:rsidR="00F755E0" w:rsidRDefault="00F755E0" w:rsidP="00075465">
      <w:pPr>
        <w:pStyle w:val="Zkladntext"/>
        <w:rPr>
          <w:b/>
        </w:rPr>
      </w:pPr>
    </w:p>
    <w:p w14:paraId="5602FF33" w14:textId="71934240" w:rsidR="00B0124E" w:rsidRPr="00B05F7A" w:rsidRDefault="00075465" w:rsidP="00075465">
      <w:pPr>
        <w:pStyle w:val="Zkladntext"/>
        <w:rPr>
          <w:b/>
        </w:rPr>
      </w:pPr>
      <w:r w:rsidRPr="00B05F7A">
        <w:rPr>
          <w:b/>
        </w:rPr>
        <w:t xml:space="preserve">Dátum vzniku účtovnej jednotky: </w:t>
      </w:r>
      <w:r w:rsidR="00B05F7A" w:rsidRPr="00B05F7A">
        <w:rPr>
          <w:b/>
        </w:rPr>
        <w:t>4.3.2009</w:t>
      </w:r>
    </w:p>
    <w:p w14:paraId="5602FF34" w14:textId="77777777" w:rsidR="00075465" w:rsidRDefault="00075465" w:rsidP="00B0124E">
      <w:pPr>
        <w:pStyle w:val="Zkladntext"/>
        <w:tabs>
          <w:tab w:val="left" w:pos="5670"/>
        </w:tabs>
      </w:pPr>
      <w:r>
        <w:t>Účtovná závierka</w:t>
      </w:r>
      <w:r w:rsidRPr="00B05F7A">
        <w:rPr>
          <w:b/>
        </w:rPr>
        <w:t xml:space="preserve">: </w:t>
      </w:r>
      <w:r w:rsidR="00B0124E" w:rsidRPr="00B05F7A">
        <w:rPr>
          <w:b/>
        </w:rPr>
        <w:t xml:space="preserve">X </w:t>
      </w:r>
      <w:r w:rsidRPr="00B05F7A">
        <w:rPr>
          <w:b/>
        </w:rPr>
        <w:t>riadna</w:t>
      </w:r>
      <w:r w:rsidR="00B0124E">
        <w:t xml:space="preserve"> /</w:t>
      </w:r>
      <w:r>
        <w:t xml:space="preserve"> </w:t>
      </w:r>
      <w:r w:rsidR="00B0124E">
        <w:t xml:space="preserve">__ mimoriadna / __ priebežná </w:t>
      </w:r>
      <w:r>
        <w:tab/>
        <w:t xml:space="preserve">Účtovná závierka: </w:t>
      </w:r>
      <w:r w:rsidR="00B0124E" w:rsidRPr="00B05F7A">
        <w:rPr>
          <w:b/>
        </w:rPr>
        <w:t xml:space="preserve">X </w:t>
      </w:r>
      <w:r w:rsidRPr="00B05F7A">
        <w:rPr>
          <w:b/>
        </w:rPr>
        <w:t>zostavená</w:t>
      </w:r>
      <w:r w:rsidR="00B0124E">
        <w:t xml:space="preserve"> / __ schválená</w:t>
      </w:r>
    </w:p>
    <w:p w14:paraId="5602FF35" w14:textId="77777777" w:rsidR="00075465" w:rsidRDefault="00075465" w:rsidP="00075465">
      <w:pPr>
        <w:pStyle w:val="Zkladntext"/>
      </w:pPr>
    </w:p>
    <w:p w14:paraId="5602FF36" w14:textId="4EB15A55" w:rsidR="00075465" w:rsidRDefault="00075465" w:rsidP="00075465">
      <w:pPr>
        <w:pStyle w:val="Zkladntext"/>
      </w:pPr>
      <w:r w:rsidRPr="00B05F7A">
        <w:t xml:space="preserve">IČO: </w:t>
      </w:r>
      <w:r w:rsidR="00B05F7A" w:rsidRPr="00B05F7A">
        <w:t>3</w:t>
      </w:r>
      <w:r w:rsidR="00B05F7A">
        <w:t>6</w:t>
      </w:r>
      <w:r w:rsidR="00B05F7A" w:rsidRPr="00B05F7A">
        <w:t>862495</w:t>
      </w:r>
      <w:r w:rsidRPr="00B05F7A">
        <w:t xml:space="preserve"> </w:t>
      </w:r>
      <w:r w:rsidRPr="00B05F7A">
        <w:tab/>
        <w:t xml:space="preserve">DIČ: </w:t>
      </w:r>
      <w:r w:rsidR="00B05F7A" w:rsidRPr="00B05F7A">
        <w:t>2022791155</w:t>
      </w:r>
      <w:r w:rsidRPr="00B05F7A">
        <w:t xml:space="preserve"> </w:t>
      </w:r>
      <w:r w:rsidRPr="00B05F7A">
        <w:tab/>
        <w:t xml:space="preserve">Kód SK NACE: </w:t>
      </w:r>
      <w:r w:rsidR="00B05F7A" w:rsidRPr="00B05F7A">
        <w:t>92.00.0</w:t>
      </w:r>
    </w:p>
    <w:p w14:paraId="6F43A373" w14:textId="77777777" w:rsidR="00F755E0" w:rsidRDefault="00F755E0" w:rsidP="00075465">
      <w:pPr>
        <w:pStyle w:val="Zkladntext"/>
      </w:pPr>
    </w:p>
    <w:p w14:paraId="10E25E4D" w14:textId="77777777" w:rsidR="00F755E0" w:rsidRDefault="00F755E0" w:rsidP="00075465">
      <w:pPr>
        <w:pStyle w:val="Zkladntext"/>
      </w:pPr>
    </w:p>
    <w:p w14:paraId="57487CA0" w14:textId="77777777" w:rsidR="00F755E0" w:rsidRDefault="00F755E0" w:rsidP="00075465">
      <w:pPr>
        <w:pStyle w:val="Zkladntext"/>
      </w:pPr>
    </w:p>
    <w:p w14:paraId="12E1D900" w14:textId="77777777" w:rsidR="00F755E0" w:rsidRPr="00B05F7A" w:rsidRDefault="00F755E0" w:rsidP="00075465">
      <w:pPr>
        <w:pStyle w:val="Zkladntext"/>
      </w:pPr>
    </w:p>
    <w:p w14:paraId="5602FF37" w14:textId="77777777" w:rsidR="008C288C" w:rsidRPr="00B05F7A" w:rsidRDefault="008C288C">
      <w:pPr>
        <w:pStyle w:val="Nadpis1"/>
      </w:pPr>
      <w:bookmarkStart w:id="0" w:name="_Toc530739894"/>
      <w:r w:rsidRPr="00B05F7A">
        <w:t>Informácie o účtovnej jednotke</w:t>
      </w:r>
      <w:bookmarkEnd w:id="0"/>
    </w:p>
    <w:p w14:paraId="5602FF38" w14:textId="77777777" w:rsidR="008C288C" w:rsidRDefault="008C288C">
      <w:pPr>
        <w:pStyle w:val="Zkladntext"/>
      </w:pPr>
    </w:p>
    <w:p w14:paraId="5602FF39" w14:textId="77777777" w:rsidR="008C288C" w:rsidRDefault="008C288C">
      <w:pPr>
        <w:pStyle w:val="Nadpis2"/>
      </w:pPr>
      <w:bookmarkStart w:id="1" w:name="_Toc530739895"/>
      <w:r>
        <w:t>Obchodné meno a sídlo spoločnosti:</w:t>
      </w:r>
      <w:bookmarkEnd w:id="1"/>
    </w:p>
    <w:p w14:paraId="5602FF3A" w14:textId="1D1D6011" w:rsidR="008C288C" w:rsidRPr="00B05F7A" w:rsidRDefault="00B05F7A">
      <w:pPr>
        <w:pStyle w:val="Zkladntext"/>
        <w:rPr>
          <w:b/>
        </w:rPr>
      </w:pPr>
      <w:r w:rsidRPr="00B05F7A">
        <w:rPr>
          <w:b/>
        </w:rPr>
        <w:t xml:space="preserve">Slovak </w:t>
      </w:r>
      <w:proofErr w:type="spellStart"/>
      <w:r w:rsidRPr="00B05F7A">
        <w:rPr>
          <w:b/>
        </w:rPr>
        <w:t>Games</w:t>
      </w:r>
      <w:proofErr w:type="spellEnd"/>
      <w:r w:rsidRPr="00B05F7A">
        <w:rPr>
          <w:b/>
        </w:rPr>
        <w:t>, s.r.o.</w:t>
      </w:r>
    </w:p>
    <w:p w14:paraId="5602FF3B" w14:textId="28434431" w:rsidR="008C288C" w:rsidRPr="00B05F7A" w:rsidRDefault="00B05F7A">
      <w:pPr>
        <w:pStyle w:val="Zkladntext"/>
        <w:rPr>
          <w:b/>
        </w:rPr>
      </w:pPr>
      <w:proofErr w:type="spellStart"/>
      <w:r w:rsidRPr="00B05F7A">
        <w:rPr>
          <w:b/>
        </w:rPr>
        <w:t>Gajova</w:t>
      </w:r>
      <w:proofErr w:type="spellEnd"/>
      <w:r w:rsidRPr="00B05F7A">
        <w:rPr>
          <w:b/>
        </w:rPr>
        <w:t xml:space="preserve">  11</w:t>
      </w:r>
    </w:p>
    <w:p w14:paraId="5602FF3C" w14:textId="6D8172E7" w:rsidR="008C288C" w:rsidRPr="00B05F7A" w:rsidRDefault="00B05F7A">
      <w:pPr>
        <w:pStyle w:val="Zkladntext"/>
        <w:rPr>
          <w:b/>
        </w:rPr>
      </w:pPr>
      <w:r w:rsidRPr="00B05F7A">
        <w:rPr>
          <w:b/>
        </w:rPr>
        <w:t>811 09  Bratislava</w:t>
      </w:r>
    </w:p>
    <w:p w14:paraId="5602FF3D" w14:textId="77777777" w:rsidR="00B0124E" w:rsidRDefault="00B0124E">
      <w:pPr>
        <w:pStyle w:val="Zkladntext"/>
      </w:pPr>
    </w:p>
    <w:p w14:paraId="07002DDB" w14:textId="77777777" w:rsidR="00F613DF" w:rsidRDefault="00F613DF" w:rsidP="00F613DF">
      <w:pPr>
        <w:pStyle w:val="Zkladntext"/>
      </w:pPr>
      <w:r>
        <w:t>číslo telefónu: 0917/696672</w:t>
      </w:r>
    </w:p>
    <w:p w14:paraId="2CEBF0D8" w14:textId="77777777" w:rsidR="00F613DF" w:rsidRPr="0051532F" w:rsidRDefault="00F613DF" w:rsidP="00F613DF">
      <w:pPr>
        <w:pStyle w:val="Zkladntext"/>
      </w:pPr>
      <w:r>
        <w:t>E-mailová adresa: geisbacherova@bdo.cz</w:t>
      </w:r>
    </w:p>
    <w:p w14:paraId="7283507A" w14:textId="77777777" w:rsidR="00F613DF" w:rsidRDefault="00F613DF" w:rsidP="00F613DF">
      <w:pPr>
        <w:pStyle w:val="Zkladntext"/>
      </w:pPr>
      <w:r>
        <w:t>IČ DPH: SK2022791155</w:t>
      </w:r>
    </w:p>
    <w:p w14:paraId="32B3597F" w14:textId="034DF615" w:rsidR="00F613DF" w:rsidRDefault="00F613DF" w:rsidP="00F613DF">
      <w:pPr>
        <w:pStyle w:val="Zkladntext"/>
      </w:pPr>
      <w:r>
        <w:t xml:space="preserve">Spoločnosť Slovak </w:t>
      </w:r>
      <w:proofErr w:type="spellStart"/>
      <w:r>
        <w:t>Games</w:t>
      </w:r>
      <w:proofErr w:type="spellEnd"/>
      <w:r>
        <w:t>,  s</w:t>
      </w:r>
      <w:r w:rsidR="004B03D9">
        <w:t>.</w:t>
      </w:r>
      <w:r>
        <w:t> r.</w:t>
      </w:r>
      <w:r w:rsidR="004B03D9">
        <w:t xml:space="preserve"> </w:t>
      </w:r>
      <w:r>
        <w:t xml:space="preserve">o. (ďalej len Spoločnosť) </w:t>
      </w:r>
      <w:r w:rsidR="005E6B59">
        <w:t xml:space="preserve"> </w:t>
      </w:r>
      <w:r>
        <w:t>bola založená 19.</w:t>
      </w:r>
      <w:r w:rsidR="004B03D9">
        <w:t xml:space="preserve"> </w:t>
      </w:r>
      <w:r>
        <w:t>2.</w:t>
      </w:r>
      <w:r w:rsidR="004B03D9">
        <w:t xml:space="preserve"> </w:t>
      </w:r>
      <w:r>
        <w:t>2009  a do obchodného registra bola zapísaná  4.</w:t>
      </w:r>
      <w:r w:rsidR="004B03D9">
        <w:t xml:space="preserve"> </w:t>
      </w:r>
      <w:r>
        <w:t>3.</w:t>
      </w:r>
      <w:r w:rsidR="004B03D9">
        <w:t xml:space="preserve"> </w:t>
      </w:r>
      <w:r>
        <w:t xml:space="preserve">2009 (Obchodný register </w:t>
      </w:r>
      <w:r w:rsidRPr="009050A7">
        <w:t xml:space="preserve">Okresného súdu Bratislava ,oddiel </w:t>
      </w:r>
      <w:proofErr w:type="spellStart"/>
      <w:r w:rsidRPr="009050A7">
        <w:t>Sro</w:t>
      </w:r>
      <w:proofErr w:type="spellEnd"/>
      <w:r w:rsidRPr="009050A7">
        <w:t>, vložka 57149/B.</w:t>
      </w:r>
      <w:r>
        <w:t xml:space="preserve"> </w:t>
      </w:r>
    </w:p>
    <w:p w14:paraId="2D04A2DD" w14:textId="77777777" w:rsidR="00F755E0" w:rsidRDefault="00F755E0" w:rsidP="00F755E0">
      <w:pPr>
        <w:pStyle w:val="Zkladntext"/>
        <w:ind w:left="0"/>
      </w:pPr>
    </w:p>
    <w:p w14:paraId="25E8B19B" w14:textId="77777777" w:rsidR="00F755E0" w:rsidRDefault="00F755E0" w:rsidP="00F755E0">
      <w:pPr>
        <w:pStyle w:val="Zkladntext"/>
        <w:ind w:left="0"/>
      </w:pPr>
    </w:p>
    <w:p w14:paraId="256B7092" w14:textId="77777777" w:rsidR="00F755E0" w:rsidRDefault="00F755E0" w:rsidP="00F755E0">
      <w:pPr>
        <w:pStyle w:val="Zkladntext"/>
        <w:ind w:left="0"/>
      </w:pPr>
    </w:p>
    <w:p w14:paraId="4968EFFE" w14:textId="77777777" w:rsidR="00AE10B3" w:rsidRDefault="00AE10B3" w:rsidP="00F755E0">
      <w:pPr>
        <w:pStyle w:val="Zkladntext"/>
        <w:ind w:left="0"/>
      </w:pPr>
    </w:p>
    <w:p w14:paraId="25CA4B09" w14:textId="77777777" w:rsidR="00F755E0" w:rsidRDefault="00F755E0" w:rsidP="00F755E0">
      <w:pPr>
        <w:pStyle w:val="Zkladntext"/>
        <w:ind w:left="0"/>
      </w:pPr>
    </w:p>
    <w:p w14:paraId="5CAD625F" w14:textId="77777777" w:rsidR="00F755E0" w:rsidRDefault="00F755E0" w:rsidP="00F755E0">
      <w:pPr>
        <w:pStyle w:val="Zkladntext"/>
        <w:ind w:left="0"/>
      </w:pPr>
    </w:p>
    <w:p w14:paraId="5602FF46" w14:textId="77777777" w:rsidR="00B0124E" w:rsidRDefault="00B0124E" w:rsidP="00B0124E">
      <w:pPr>
        <w:pStyle w:val="Zkladntext"/>
      </w:pPr>
    </w:p>
    <w:p w14:paraId="5602FF47" w14:textId="77777777" w:rsidR="00B0124E" w:rsidRDefault="00B0124E" w:rsidP="00B0124E">
      <w:pPr>
        <w:pStyle w:val="Zkladntext"/>
      </w:pPr>
    </w:p>
    <w:p w14:paraId="5602FF48" w14:textId="52ABBBED" w:rsidR="00B0124E" w:rsidRPr="008B3C01" w:rsidRDefault="00B0124E" w:rsidP="00B0124E">
      <w:pPr>
        <w:pStyle w:val="Zkladntext"/>
        <w:tabs>
          <w:tab w:val="center" w:pos="1985"/>
          <w:tab w:val="center" w:pos="7655"/>
        </w:tabs>
      </w:pPr>
      <w:r>
        <w:tab/>
      </w:r>
      <w:r w:rsidR="009050A7" w:rsidRPr="008B3C01">
        <w:t>2</w:t>
      </w:r>
      <w:r w:rsidR="00091AC5" w:rsidRPr="008B3C01">
        <w:t>7</w:t>
      </w:r>
      <w:r w:rsidR="009050A7" w:rsidRPr="008B3C01">
        <w:t>.</w:t>
      </w:r>
      <w:r w:rsidR="004B03D9">
        <w:t xml:space="preserve"> </w:t>
      </w:r>
      <w:r w:rsidR="009050A7" w:rsidRPr="008B3C01">
        <w:t>3.</w:t>
      </w:r>
      <w:r w:rsidR="004B03D9">
        <w:t xml:space="preserve"> </w:t>
      </w:r>
      <w:r w:rsidR="009050A7" w:rsidRPr="008B3C01">
        <w:t>2019</w:t>
      </w:r>
      <w:r w:rsidRPr="008B3C01">
        <w:tab/>
        <w:t>_____</w:t>
      </w:r>
      <w:r w:rsidR="009050A7" w:rsidRPr="008B3C01">
        <w:t>____</w:t>
      </w:r>
      <w:r w:rsidRPr="008B3C01">
        <w:t>_____________</w:t>
      </w:r>
    </w:p>
    <w:p w14:paraId="5602FF49" w14:textId="77777777" w:rsidR="00B0124E" w:rsidRPr="008B3C01" w:rsidRDefault="00B0124E" w:rsidP="00B0124E">
      <w:pPr>
        <w:pStyle w:val="Zkladntext"/>
        <w:tabs>
          <w:tab w:val="center" w:pos="1985"/>
          <w:tab w:val="center" w:pos="7655"/>
        </w:tabs>
      </w:pPr>
      <w:r w:rsidRPr="008B3C01">
        <w:tab/>
        <w:t>Dátum zostavenia účtovnej závierky</w:t>
      </w:r>
      <w:r w:rsidRPr="008B3C01">
        <w:tab/>
        <w:t>Dátum schválenia účtovnej závierky</w:t>
      </w:r>
    </w:p>
    <w:p w14:paraId="5602FF4A" w14:textId="77777777" w:rsidR="00B0124E" w:rsidRPr="008B3C01" w:rsidRDefault="00B0124E" w:rsidP="00B0124E">
      <w:pPr>
        <w:pStyle w:val="Zkladntext"/>
      </w:pPr>
    </w:p>
    <w:p w14:paraId="5602FF4B" w14:textId="77777777" w:rsidR="00B0124E" w:rsidRPr="008B3C01" w:rsidRDefault="00B0124E" w:rsidP="00B0124E">
      <w:pPr>
        <w:pStyle w:val="Zkladntext"/>
      </w:pPr>
    </w:p>
    <w:p w14:paraId="5602FF4C" w14:textId="77777777" w:rsidR="00B0124E" w:rsidRPr="008B3C01" w:rsidRDefault="00B0124E" w:rsidP="00B0124E">
      <w:pPr>
        <w:pStyle w:val="Zkladntext"/>
      </w:pPr>
    </w:p>
    <w:p w14:paraId="5602FF4D" w14:textId="77777777" w:rsidR="00B0124E" w:rsidRPr="008B3C01" w:rsidRDefault="00B0124E" w:rsidP="00B0124E">
      <w:pPr>
        <w:pStyle w:val="Zkladntext"/>
        <w:tabs>
          <w:tab w:val="center" w:pos="1701"/>
          <w:tab w:val="center" w:pos="4820"/>
          <w:tab w:val="center" w:pos="7938"/>
        </w:tabs>
        <w:ind w:left="0"/>
      </w:pPr>
      <w:r w:rsidRPr="008B3C01">
        <w:tab/>
        <w:t>_________________________</w:t>
      </w:r>
      <w:r w:rsidRPr="008B3C01">
        <w:tab/>
        <w:t>_________________________</w:t>
      </w:r>
      <w:r w:rsidRPr="008B3C01">
        <w:tab/>
        <w:t>_________________________</w:t>
      </w:r>
    </w:p>
    <w:p w14:paraId="5602FF4E" w14:textId="77777777" w:rsidR="00B0124E" w:rsidRPr="008B3C01" w:rsidRDefault="00B0124E" w:rsidP="00B0124E">
      <w:pPr>
        <w:pStyle w:val="Zkladntext"/>
        <w:tabs>
          <w:tab w:val="center" w:pos="1701"/>
          <w:tab w:val="center" w:pos="4820"/>
          <w:tab w:val="center" w:pos="7938"/>
        </w:tabs>
        <w:ind w:left="0"/>
      </w:pPr>
      <w:r w:rsidRPr="008B3C01">
        <w:tab/>
        <w:t>Podpis štatutárneho orgánu</w:t>
      </w:r>
      <w:r w:rsidRPr="008B3C01">
        <w:tab/>
        <w:t>Podpis osoby zodpovednej</w:t>
      </w:r>
      <w:r w:rsidRPr="008B3C01">
        <w:tab/>
        <w:t>Podpis osoby zodpovednej</w:t>
      </w:r>
    </w:p>
    <w:p w14:paraId="5602FF4F" w14:textId="77777777" w:rsidR="00B0124E" w:rsidRDefault="00B0124E" w:rsidP="00B0124E">
      <w:pPr>
        <w:pStyle w:val="Zkladntext"/>
        <w:tabs>
          <w:tab w:val="center" w:pos="1701"/>
          <w:tab w:val="center" w:pos="4820"/>
          <w:tab w:val="center" w:pos="7938"/>
        </w:tabs>
        <w:ind w:left="0"/>
      </w:pPr>
      <w:r w:rsidRPr="008B3C01">
        <w:tab/>
      </w:r>
      <w:r w:rsidRPr="008B3C01">
        <w:tab/>
        <w:t>za zostavenie účtovnej závierky</w:t>
      </w:r>
      <w:r w:rsidRPr="008B3C01">
        <w:tab/>
        <w:t>za vedenie účtovníctva</w:t>
      </w:r>
    </w:p>
    <w:p w14:paraId="5602FF50" w14:textId="77777777" w:rsidR="00B0124E" w:rsidRPr="00075465" w:rsidRDefault="00B0124E" w:rsidP="00B0124E">
      <w:pPr>
        <w:pStyle w:val="Zkladntext"/>
      </w:pPr>
    </w:p>
    <w:p w14:paraId="5602FF51" w14:textId="77777777" w:rsidR="008C288C" w:rsidRDefault="008C288C"/>
    <w:p w14:paraId="5602FF52" w14:textId="77777777" w:rsidR="008C288C" w:rsidRDefault="008C288C" w:rsidP="00B0124E">
      <w:pPr>
        <w:pStyle w:val="Nadpis2"/>
        <w:pageBreakBefore/>
        <w:ind w:left="357" w:hanging="357"/>
      </w:pPr>
      <w:bookmarkStart w:id="2" w:name="_Toc530739896"/>
      <w:r>
        <w:lastRenderedPageBreak/>
        <w:t>Hlavnými činnosťami Spoločnosti sú:</w:t>
      </w:r>
      <w:bookmarkEnd w:id="2"/>
    </w:p>
    <w:p w14:paraId="5602FF53" w14:textId="1914AE21" w:rsidR="008C288C" w:rsidRDefault="008C288C">
      <w:pPr>
        <w:pStyle w:val="Zkladntext"/>
      </w:pPr>
    </w:p>
    <w:p w14:paraId="3BCEAA52" w14:textId="77777777" w:rsidR="00F477FC" w:rsidRPr="009B0922" w:rsidRDefault="00F477FC" w:rsidP="000C6143">
      <w:pPr>
        <w:pStyle w:val="Odstavecseseznamem"/>
        <w:numPr>
          <w:ilvl w:val="0"/>
          <w:numId w:val="13"/>
        </w:numPr>
        <w:spacing w:after="200" w:line="276" w:lineRule="auto"/>
        <w:contextualSpacing/>
        <w:rPr>
          <w:sz w:val="18"/>
          <w:szCs w:val="18"/>
        </w:rPr>
      </w:pPr>
      <w:r w:rsidRPr="009B0922">
        <w:rPr>
          <w:sz w:val="18"/>
          <w:szCs w:val="18"/>
        </w:rPr>
        <w:t>prenájom nehnuteľností, bytových a nebytových priestorov bez poskytovania iných než základných služieb spojených s prenájmom nehnuteľností, bytových a nebytových priestorov</w:t>
      </w:r>
    </w:p>
    <w:p w14:paraId="0268D35A" w14:textId="544EAED1" w:rsidR="00F477FC" w:rsidRPr="00D23442" w:rsidRDefault="00F477FC" w:rsidP="000C6143">
      <w:pPr>
        <w:pStyle w:val="Odstavecseseznamem"/>
        <w:numPr>
          <w:ilvl w:val="0"/>
          <w:numId w:val="13"/>
        </w:numPr>
        <w:spacing w:after="200" w:line="276" w:lineRule="auto"/>
        <w:contextualSpacing/>
        <w:rPr>
          <w:sz w:val="18"/>
          <w:szCs w:val="18"/>
        </w:rPr>
      </w:pPr>
      <w:r w:rsidRPr="009B0922">
        <w:rPr>
          <w:sz w:val="18"/>
          <w:szCs w:val="18"/>
        </w:rPr>
        <w:t>prevádzkovanie videohier v zmysle § 3 ods. 2 písm. e) v nadväznosti na § 8 ods. 4 zákona č.171/2005 Z. z. o hazardných</w:t>
      </w:r>
      <w:r w:rsidRPr="0056152D">
        <w:rPr>
          <w:rFonts w:ascii="FuturaTEE-Demi" w:hAnsi="FuturaTEE-Demi" w:cs="FuturaTEE-Demi"/>
          <w:sz w:val="18"/>
          <w:szCs w:val="18"/>
        </w:rPr>
        <w:t xml:space="preserve"> </w:t>
      </w:r>
      <w:r w:rsidRPr="00D23442">
        <w:rPr>
          <w:sz w:val="18"/>
          <w:szCs w:val="18"/>
        </w:rPr>
        <w:t>hrách, v znení neskorších predpisov</w:t>
      </w:r>
    </w:p>
    <w:p w14:paraId="5602FF56" w14:textId="77777777" w:rsidR="008C288C" w:rsidRDefault="008C288C">
      <w:pPr>
        <w:pStyle w:val="Zkladntext"/>
      </w:pPr>
    </w:p>
    <w:p w14:paraId="5602FF57" w14:textId="77777777" w:rsidR="008C288C" w:rsidRPr="001D56D8" w:rsidRDefault="008C288C">
      <w:pPr>
        <w:pStyle w:val="Nadpis2"/>
      </w:pPr>
      <w:bookmarkStart w:id="3" w:name="OLE_LINK3"/>
      <w:bookmarkStart w:id="4" w:name="OLE_LINK4"/>
      <w:r w:rsidRPr="001D56D8">
        <w:t xml:space="preserve">Počet zamestnancov </w:t>
      </w:r>
    </w:p>
    <w:bookmarkStart w:id="5" w:name="_MON_1393392127"/>
    <w:bookmarkStart w:id="6" w:name="_MON_1393392166"/>
    <w:bookmarkStart w:id="7" w:name="_MON_1393392498"/>
    <w:bookmarkStart w:id="8" w:name="_MON_1393398988"/>
    <w:bookmarkStart w:id="9" w:name="_MON_1393399964"/>
    <w:bookmarkStart w:id="10" w:name="_MON_1393400051"/>
    <w:bookmarkStart w:id="11" w:name="_MON_1393400062"/>
    <w:bookmarkStart w:id="12" w:name="_MON_1393400076"/>
    <w:bookmarkStart w:id="13" w:name="_MON_1393400113"/>
    <w:bookmarkStart w:id="14" w:name="_MON_1393400135"/>
    <w:bookmarkEnd w:id="3"/>
    <w:bookmarkEnd w:id="4"/>
    <w:bookmarkEnd w:id="5"/>
    <w:bookmarkEnd w:id="6"/>
    <w:bookmarkEnd w:id="7"/>
    <w:bookmarkEnd w:id="8"/>
    <w:bookmarkEnd w:id="9"/>
    <w:bookmarkEnd w:id="10"/>
    <w:bookmarkEnd w:id="11"/>
    <w:bookmarkEnd w:id="12"/>
    <w:bookmarkEnd w:id="13"/>
    <w:bookmarkEnd w:id="14"/>
    <w:bookmarkStart w:id="15" w:name="_MON_1393400147"/>
    <w:bookmarkEnd w:id="15"/>
    <w:p w14:paraId="5602FF58" w14:textId="64E91778" w:rsidR="00C624C1" w:rsidRDefault="00B40D44" w:rsidP="00C624C1">
      <w:pPr>
        <w:pStyle w:val="Zkladntext"/>
      </w:pPr>
      <w:r>
        <w:object w:dxaOrig="9253" w:dyaOrig="1219" w14:anchorId="56030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65.5pt" o:ole="" o:preferrelative="f">
            <v:imagedata r:id="rId9" o:title=""/>
            <o:lock v:ext="edit" aspectratio="f"/>
          </v:shape>
          <o:OLEObject Type="Embed" ProgID="Excel.Sheet.12" ShapeID="_x0000_i1025" DrawAspect="Content" ObjectID="_1616932834" r:id="rId10"/>
        </w:object>
      </w:r>
    </w:p>
    <w:p w14:paraId="5602FF59" w14:textId="77777777" w:rsidR="008C288C" w:rsidRDefault="008C288C">
      <w:pPr>
        <w:pStyle w:val="Zkladntext"/>
      </w:pPr>
    </w:p>
    <w:p w14:paraId="5602FF5A" w14:textId="77777777" w:rsidR="008C288C" w:rsidRDefault="008C288C" w:rsidP="00AA168B">
      <w:pPr>
        <w:pStyle w:val="Nadpis2"/>
      </w:pPr>
      <w:r>
        <w:t>Údaje o neobmedzenom ručení</w:t>
      </w:r>
    </w:p>
    <w:p w14:paraId="5602FF5B" w14:textId="77777777" w:rsidR="008C288C" w:rsidRDefault="008C288C">
      <w:pPr>
        <w:ind w:left="450"/>
        <w:jc w:val="both"/>
        <w:rPr>
          <w:sz w:val="18"/>
          <w:szCs w:val="18"/>
        </w:rPr>
      </w:pPr>
      <w:r w:rsidRPr="00D87FBD">
        <w:rPr>
          <w:sz w:val="18"/>
          <w:szCs w:val="18"/>
        </w:rPr>
        <w:t>Spoločnosť nie je neobmedzene ručiacim spoločníkom v</w:t>
      </w:r>
      <w:r w:rsidRPr="00C35B60">
        <w:rPr>
          <w:sz w:val="18"/>
          <w:szCs w:val="18"/>
        </w:rPr>
        <w:t> </w:t>
      </w:r>
      <w:r w:rsidRPr="00D87FBD">
        <w:rPr>
          <w:sz w:val="18"/>
          <w:szCs w:val="18"/>
        </w:rPr>
        <w:t xml:space="preserve">iných </w:t>
      </w:r>
      <w:r>
        <w:rPr>
          <w:sz w:val="18"/>
          <w:szCs w:val="18"/>
        </w:rPr>
        <w:t xml:space="preserve">spoločnostiach podľa </w:t>
      </w:r>
      <w:r w:rsidRPr="00467471">
        <w:rPr>
          <w:sz w:val="18"/>
          <w:szCs w:val="18"/>
        </w:rPr>
        <w:t>§ 56 ods. 5 Obchodného zákonníka</w:t>
      </w:r>
      <w:r w:rsidRPr="00D87FBD">
        <w:rPr>
          <w:sz w:val="18"/>
          <w:szCs w:val="18"/>
        </w:rPr>
        <w:t>.</w:t>
      </w:r>
    </w:p>
    <w:p w14:paraId="5602FF5C" w14:textId="77777777" w:rsidR="008C288C" w:rsidRDefault="008C288C">
      <w:pPr>
        <w:pStyle w:val="Zkladntext"/>
      </w:pPr>
    </w:p>
    <w:p w14:paraId="5602FF5D" w14:textId="77777777" w:rsidR="008C288C" w:rsidRDefault="008C288C">
      <w:pPr>
        <w:pStyle w:val="Nadpis2"/>
      </w:pPr>
      <w:r>
        <w:t>Právny dôvod na zostavenie účtovnej závierky</w:t>
      </w:r>
    </w:p>
    <w:p w14:paraId="5602FF5E" w14:textId="7B1ACDEF" w:rsidR="008C288C" w:rsidRDefault="008C288C">
      <w:pPr>
        <w:pStyle w:val="Zkladntext"/>
        <w:ind w:hanging="426"/>
      </w:pPr>
      <w:r>
        <w:tab/>
        <w:t>Účtovná závierka Spoločnosti k 31. decembru 20</w:t>
      </w:r>
      <w:r w:rsidR="00404C6A">
        <w:t>1</w:t>
      </w:r>
      <w:r w:rsidR="0084411A">
        <w:t>8</w:t>
      </w:r>
      <w:r>
        <w:t xml:space="preserve"> je zostavená ako riadna účtovná závierka podľa § 17 ods. 6 zákona </w:t>
      </w:r>
      <w:r w:rsidRPr="009C33CC">
        <w:t>NR</w:t>
      </w:r>
      <w:r>
        <w:t> </w:t>
      </w:r>
      <w:r w:rsidRPr="009C33CC">
        <w:t>SR</w:t>
      </w:r>
      <w:r>
        <w:t xml:space="preserve"> č. 431/2002 Z. z. o účtovníctve, za účtovné obdobie od 1. januára 20</w:t>
      </w:r>
      <w:r w:rsidR="00404C6A">
        <w:t>1</w:t>
      </w:r>
      <w:r w:rsidR="0084411A">
        <w:t>8</w:t>
      </w:r>
      <w:r>
        <w:t xml:space="preserve"> do 31. decembra 20</w:t>
      </w:r>
      <w:r w:rsidR="00404C6A">
        <w:t>1</w:t>
      </w:r>
      <w:r w:rsidR="0084411A">
        <w:t>8</w:t>
      </w:r>
      <w:r>
        <w:t>.</w:t>
      </w:r>
    </w:p>
    <w:p w14:paraId="5602FF5F" w14:textId="77777777" w:rsidR="008C288C" w:rsidRDefault="008C288C">
      <w:pPr>
        <w:pStyle w:val="Zkladntext"/>
        <w:ind w:hanging="426"/>
      </w:pPr>
    </w:p>
    <w:p w14:paraId="5602FF60" w14:textId="77777777" w:rsidR="008C288C" w:rsidRDefault="008C288C">
      <w:pPr>
        <w:pStyle w:val="Nadpis2"/>
      </w:pPr>
      <w:r>
        <w:t>Dátum schválenia účtovnej závierky za predchádzajúce účtovné obdobie</w:t>
      </w:r>
    </w:p>
    <w:p w14:paraId="5602FF61" w14:textId="5E540589" w:rsidR="008C288C" w:rsidRDefault="008C288C">
      <w:pPr>
        <w:pStyle w:val="Zkladntext"/>
        <w:ind w:hanging="426"/>
      </w:pPr>
      <w:r>
        <w:tab/>
        <w:t>Účtovná závierka Spoločnosti k 31. decembru 20</w:t>
      </w:r>
      <w:r w:rsidR="00C624C1">
        <w:t>1</w:t>
      </w:r>
      <w:r w:rsidR="009941B5">
        <w:t>7</w:t>
      </w:r>
      <w:r>
        <w:t xml:space="preserve">, za predchádzajúce účtovné obdobie, bola schválená valným zhromaždením </w:t>
      </w:r>
      <w:r w:rsidR="00A938F8">
        <w:t>s</w:t>
      </w:r>
      <w:r>
        <w:t xml:space="preserve">poločnosti dňa </w:t>
      </w:r>
      <w:r w:rsidR="009941B5" w:rsidRPr="00D23442">
        <w:t>6</w:t>
      </w:r>
      <w:r w:rsidR="009A61E3" w:rsidRPr="00D23442">
        <w:t>.</w:t>
      </w:r>
      <w:r w:rsidR="009941B5" w:rsidRPr="00D23442">
        <w:t xml:space="preserve"> mar</w:t>
      </w:r>
      <w:r w:rsidR="00B40D44" w:rsidRPr="00D23442">
        <w:t>c</w:t>
      </w:r>
      <w:r w:rsidR="009941B5" w:rsidRPr="00D23442">
        <w:t>a</w:t>
      </w:r>
      <w:r w:rsidRPr="00D23442">
        <w:t xml:space="preserve"> 20</w:t>
      </w:r>
      <w:r w:rsidR="00404C6A" w:rsidRPr="00D23442">
        <w:t>1</w:t>
      </w:r>
      <w:r w:rsidR="009941B5" w:rsidRPr="00D23442">
        <w:t>8</w:t>
      </w:r>
      <w:r w:rsidRPr="00D23442">
        <w:t>.</w:t>
      </w:r>
    </w:p>
    <w:p w14:paraId="5602FF62" w14:textId="77777777" w:rsidR="008C288C" w:rsidRDefault="008C288C">
      <w:pPr>
        <w:pStyle w:val="Zkladntext"/>
        <w:ind w:hanging="426"/>
      </w:pPr>
    </w:p>
    <w:p w14:paraId="5602FF66" w14:textId="77777777" w:rsidR="008C288C" w:rsidRDefault="008C288C" w:rsidP="005D0DD7">
      <w:pPr>
        <w:pStyle w:val="Nadpis2"/>
      </w:pPr>
      <w:bookmarkStart w:id="16" w:name="OLE_LINK13"/>
      <w:bookmarkStart w:id="17" w:name="OLE_LINK14"/>
      <w:r>
        <w:t>Schválenie audítora</w:t>
      </w:r>
    </w:p>
    <w:p w14:paraId="5602FF67" w14:textId="2132B6B6" w:rsidR="008C288C" w:rsidRDefault="008C288C" w:rsidP="00BE74FC">
      <w:pPr>
        <w:pStyle w:val="Zkladntext"/>
      </w:pPr>
      <w:r>
        <w:t xml:space="preserve">Valné zhromaždenie </w:t>
      </w:r>
      <w:r w:rsidR="009941B5">
        <w:t xml:space="preserve"> v roku</w:t>
      </w:r>
      <w:r>
        <w:t xml:space="preserve"> 20</w:t>
      </w:r>
      <w:r w:rsidR="00A8188D">
        <w:t>1</w:t>
      </w:r>
      <w:r w:rsidR="004F4A75">
        <w:t>3</w:t>
      </w:r>
      <w:r>
        <w:t xml:space="preserve"> schválilo spoločnosť </w:t>
      </w:r>
      <w:r w:rsidR="00CF5756">
        <w:t xml:space="preserve">AT </w:t>
      </w:r>
      <w:proofErr w:type="spellStart"/>
      <w:r w:rsidR="00CF5756">
        <w:t>Partners</w:t>
      </w:r>
      <w:proofErr w:type="spellEnd"/>
      <w:r w:rsidR="00CF5756">
        <w:t xml:space="preserve"> Audit</w:t>
      </w:r>
      <w:r w:rsidR="001F371D">
        <w:t xml:space="preserve"> s.r.o.</w:t>
      </w:r>
      <w:r>
        <w:t xml:space="preserve"> ako audítora na overenie účtovnej závierky za účtovné obdobi</w:t>
      </w:r>
      <w:r w:rsidR="00FF6405">
        <w:t>a</w:t>
      </w:r>
      <w:r>
        <w:t xml:space="preserve"> od 1. januára 20</w:t>
      </w:r>
      <w:r w:rsidR="00A8188D">
        <w:t>1</w:t>
      </w:r>
      <w:r w:rsidR="00CF5756">
        <w:t>3</w:t>
      </w:r>
      <w:r w:rsidRPr="00FF6405">
        <w:rPr>
          <w:vanish/>
        </w:rPr>
        <w:t xml:space="preserve"> do 31. decembra 20</w:t>
      </w:r>
      <w:r w:rsidR="00A8188D" w:rsidRPr="00FF6405">
        <w:rPr>
          <w:vanish/>
        </w:rPr>
        <w:t>1</w:t>
      </w:r>
      <w:r w:rsidR="00FF6405" w:rsidRPr="00FF6405">
        <w:rPr>
          <w:vanish/>
        </w:rPr>
        <w:t>3</w:t>
      </w:r>
      <w:r>
        <w:t>.</w:t>
      </w:r>
      <w:r w:rsidR="009A61E3">
        <w:t xml:space="preserve"> Spoločnosť AT </w:t>
      </w:r>
      <w:proofErr w:type="spellStart"/>
      <w:r w:rsidR="009A61E3">
        <w:t>Par</w:t>
      </w:r>
      <w:r w:rsidR="009156C4">
        <w:t>t</w:t>
      </w:r>
      <w:r w:rsidR="009A61E3">
        <w:t>ners</w:t>
      </w:r>
      <w:proofErr w:type="spellEnd"/>
      <w:r w:rsidR="009A61E3">
        <w:t xml:space="preserve"> Audit s.r.o. zmenila k 15.</w:t>
      </w:r>
      <w:r w:rsidR="00535123">
        <w:t> </w:t>
      </w:r>
      <w:r w:rsidR="009A61E3">
        <w:t>septembru 2016 názov na A</w:t>
      </w:r>
      <w:r w:rsidR="00535123">
        <w:t>UDI</w:t>
      </w:r>
      <w:r w:rsidR="009A61E3">
        <w:t xml:space="preserve"> A</w:t>
      </w:r>
      <w:r w:rsidR="00535123">
        <w:t>LTERAM</w:t>
      </w:r>
      <w:r w:rsidR="009A61E3">
        <w:t xml:space="preserve"> s.r.o.</w:t>
      </w:r>
    </w:p>
    <w:bookmarkEnd w:id="16"/>
    <w:bookmarkEnd w:id="17"/>
    <w:p w14:paraId="5602FF68" w14:textId="77777777" w:rsidR="008C288C" w:rsidRDefault="008C288C" w:rsidP="00BE74FC">
      <w:pPr>
        <w:pStyle w:val="Zkladntext"/>
        <w:jc w:val="left"/>
      </w:pPr>
    </w:p>
    <w:p w14:paraId="5602FF69" w14:textId="77777777" w:rsidR="008C288C" w:rsidRDefault="008C288C">
      <w:pPr>
        <w:pStyle w:val="Nadpis1"/>
      </w:pPr>
      <w:bookmarkStart w:id="18" w:name="_Toc530739897"/>
      <w:r>
        <w:t>Informácie o orgánoch účtovnej jednotky</w:t>
      </w:r>
      <w:bookmarkEnd w:id="18"/>
    </w:p>
    <w:p w14:paraId="5602FF6A" w14:textId="4799390B" w:rsidR="008C288C" w:rsidRDefault="008C288C" w:rsidP="006542C2">
      <w:pPr>
        <w:pStyle w:val="Zkladntext"/>
        <w:tabs>
          <w:tab w:val="left" w:pos="1701"/>
        </w:tabs>
      </w:pPr>
      <w:r>
        <w:t>Konate</w:t>
      </w:r>
      <w:r w:rsidR="00CF5756">
        <w:t>ľ</w:t>
      </w:r>
      <w:r>
        <w:tab/>
      </w:r>
      <w:r w:rsidR="001F2C38">
        <w:t xml:space="preserve">Vladimír Dostál </w:t>
      </w:r>
    </w:p>
    <w:p w14:paraId="5602FF6B" w14:textId="77777777" w:rsidR="008C288C" w:rsidRDefault="008C288C"/>
    <w:p w14:paraId="5602FF6C" w14:textId="77777777" w:rsidR="008C288C" w:rsidRDefault="008C288C" w:rsidP="004B2795">
      <w:pPr>
        <w:pStyle w:val="Nadpis1"/>
      </w:pPr>
      <w:bookmarkStart w:id="19" w:name="_Toc530739898"/>
      <w:r>
        <w:t>informácie o spoločníkoch účtovnej jednotky</w:t>
      </w:r>
      <w:bookmarkEnd w:id="19"/>
    </w:p>
    <w:p w14:paraId="5602FF6D" w14:textId="77777777" w:rsidR="008C288C" w:rsidRDefault="008C288C" w:rsidP="004B2795">
      <w:pPr>
        <w:keepNext/>
      </w:pPr>
    </w:p>
    <w:p w14:paraId="46CAA5E3" w14:textId="77777777" w:rsidR="00AE10B3" w:rsidRDefault="00AE10B3" w:rsidP="004B2795">
      <w:pPr>
        <w:keepNext/>
      </w:pPr>
    </w:p>
    <w:p w14:paraId="5602FF6E" w14:textId="71A85EB1" w:rsidR="008C288C" w:rsidRDefault="008C288C" w:rsidP="004B2795">
      <w:pPr>
        <w:pStyle w:val="Zkladntext"/>
        <w:keepNext/>
      </w:pPr>
      <w:r>
        <w:t>Štruktúra spoločníkov Spoločnosti</w:t>
      </w:r>
      <w:r w:rsidR="00AF2711">
        <w:t xml:space="preserve"> </w:t>
      </w:r>
      <w:r w:rsidR="00707978">
        <w:t>počas roku 201</w:t>
      </w:r>
      <w:r w:rsidR="001F2C38">
        <w:t>8</w:t>
      </w:r>
      <w:r>
        <w:t xml:space="preserve"> bola </w:t>
      </w:r>
      <w:r w:rsidR="006542C2">
        <w:t>nasledovná</w:t>
      </w:r>
      <w:r>
        <w:t>:</w:t>
      </w:r>
    </w:p>
    <w:p w14:paraId="6C6FE46F" w14:textId="77777777" w:rsidR="005E6B59" w:rsidRDefault="005E6B59" w:rsidP="004B2795">
      <w:pPr>
        <w:pStyle w:val="Zkladntext"/>
        <w:keepNext/>
      </w:pPr>
    </w:p>
    <w:bookmarkStart w:id="20" w:name="_MON_1454173479"/>
    <w:bookmarkEnd w:id="20"/>
    <w:p w14:paraId="0A04FC70" w14:textId="3F62B08E" w:rsidR="000200C0" w:rsidRDefault="00793AFC" w:rsidP="00D2417F">
      <w:pPr>
        <w:pStyle w:val="Zkladntext"/>
        <w:rPr>
          <w:color w:val="000000" w:themeColor="text1"/>
        </w:rPr>
      </w:pPr>
      <w:r>
        <w:object w:dxaOrig="8401" w:dyaOrig="1447" w14:anchorId="56030146">
          <v:shape id="_x0000_i1026" type="#_x0000_t75" style="width:419pt;height:76pt" o:ole="">
            <v:imagedata r:id="rId11" o:title=""/>
          </v:shape>
          <o:OLEObject Type="Embed" ProgID="Excel.Sheet.8" ShapeID="_x0000_i1026" DrawAspect="Content" ObjectID="_1616932835" r:id="rId12"/>
        </w:object>
      </w:r>
    </w:p>
    <w:p w14:paraId="0EDDBE0A" w14:textId="357DF208" w:rsidR="000200C0" w:rsidRPr="000200C0" w:rsidRDefault="000200C0" w:rsidP="00D2417F">
      <w:pPr>
        <w:pStyle w:val="Zkladntext"/>
        <w:rPr>
          <w:color w:val="000000" w:themeColor="text1"/>
        </w:rPr>
      </w:pPr>
      <w:r w:rsidRPr="000200C0">
        <w:rPr>
          <w:color w:val="000000" w:themeColor="text1"/>
        </w:rPr>
        <w:t>Dňa 11.1.2018 došlo ku zmene vlastníka účtovnej jednotky,</w:t>
      </w:r>
      <w:r>
        <w:rPr>
          <w:color w:val="000000" w:themeColor="text1"/>
        </w:rPr>
        <w:t xml:space="preserve"> do 10.1.2018 mal tento podiel p</w:t>
      </w:r>
      <w:r w:rsidR="005E6B59">
        <w:rPr>
          <w:color w:val="000000" w:themeColor="text1"/>
        </w:rPr>
        <w:t>á</w:t>
      </w:r>
      <w:r>
        <w:rPr>
          <w:color w:val="000000" w:themeColor="text1"/>
        </w:rPr>
        <w:t>n Josef Endl Olomouc.</w:t>
      </w:r>
    </w:p>
    <w:p w14:paraId="116A5C30" w14:textId="77777777" w:rsidR="000200C0" w:rsidRDefault="000200C0" w:rsidP="00D2417F">
      <w:pPr>
        <w:pStyle w:val="Zkladntext"/>
      </w:pPr>
    </w:p>
    <w:p w14:paraId="674AC663" w14:textId="77777777" w:rsidR="00AE10B3" w:rsidRPr="000200C0" w:rsidRDefault="00AE10B3" w:rsidP="00D2417F">
      <w:pPr>
        <w:pStyle w:val="Zkladntext"/>
      </w:pPr>
    </w:p>
    <w:p w14:paraId="5602FF70" w14:textId="77777777" w:rsidR="00B56B52" w:rsidRDefault="00B56B52" w:rsidP="00B56B52">
      <w:pPr>
        <w:pStyle w:val="Nadpis1"/>
      </w:pPr>
      <w:r>
        <w:t>informácie o</w:t>
      </w:r>
      <w:r w:rsidR="003F7EF1">
        <w:t> KONSOLIDOVANOM CELKU</w:t>
      </w:r>
    </w:p>
    <w:p w14:paraId="3627EE74" w14:textId="77777777" w:rsidR="001F2C38" w:rsidRPr="001F2C38" w:rsidRDefault="001F2C38" w:rsidP="001F2C38"/>
    <w:p w14:paraId="128FBC2A" w14:textId="77777777" w:rsidR="001F2C38" w:rsidRPr="00421E6B" w:rsidRDefault="001F2C38" w:rsidP="001F2C38">
      <w:pPr>
        <w:ind w:left="426"/>
        <w:jc w:val="both"/>
        <w:rPr>
          <w:sz w:val="18"/>
        </w:rPr>
      </w:pPr>
      <w:r w:rsidRPr="00421E6B">
        <w:rPr>
          <w:sz w:val="18"/>
        </w:rPr>
        <w:t>Spoločnosť nie je súčasťou konsolidovaného celku.</w:t>
      </w:r>
    </w:p>
    <w:p w14:paraId="2F324258" w14:textId="77777777" w:rsidR="001F2C38" w:rsidRDefault="001F2C38" w:rsidP="001F2C38">
      <w:pPr>
        <w:pStyle w:val="Zkladntext"/>
        <w:ind w:hanging="426"/>
      </w:pPr>
    </w:p>
    <w:p w14:paraId="5602FF71" w14:textId="77777777" w:rsidR="008C288C" w:rsidRPr="00345DB0" w:rsidRDefault="008C288C">
      <w:pPr>
        <w:pStyle w:val="Zkladntext"/>
        <w:rPr>
          <w:lang w:val="de-DE"/>
        </w:rPr>
      </w:pPr>
    </w:p>
    <w:p w14:paraId="5602FF73" w14:textId="77777777" w:rsidR="008C288C" w:rsidRDefault="008C288C">
      <w:pPr>
        <w:pStyle w:val="Zkladntext"/>
      </w:pPr>
    </w:p>
    <w:p w14:paraId="5602FF74" w14:textId="77777777" w:rsidR="008C288C" w:rsidRDefault="008C288C" w:rsidP="00883667">
      <w:pPr>
        <w:pStyle w:val="Nadpis1"/>
        <w:pageBreakBefore/>
        <w:ind w:left="357" w:hanging="357"/>
      </w:pPr>
      <w:bookmarkStart w:id="21" w:name="_Toc530739899"/>
      <w:r>
        <w:lastRenderedPageBreak/>
        <w:t xml:space="preserve">Informácie o účtovných zásadách a účtovných metódach  </w:t>
      </w:r>
      <w:bookmarkEnd w:id="21"/>
    </w:p>
    <w:p w14:paraId="5602FF75" w14:textId="77777777" w:rsidR="008C288C" w:rsidRDefault="008C288C">
      <w:pPr>
        <w:pStyle w:val="Zkladntext"/>
      </w:pPr>
    </w:p>
    <w:p w14:paraId="5602FF76" w14:textId="77777777" w:rsidR="008C288C" w:rsidRDefault="008C288C" w:rsidP="00350046">
      <w:pPr>
        <w:pStyle w:val="Pismenka"/>
      </w:pPr>
      <w:r w:rsidRPr="003D0F75">
        <w:t>(a)</w:t>
      </w:r>
      <w:r w:rsidRPr="003D0F75">
        <w:tab/>
      </w:r>
      <w:r>
        <w:t>Východiská pre zostavenie účtovnej závierky</w:t>
      </w:r>
    </w:p>
    <w:p w14:paraId="5602FF77" w14:textId="77777777" w:rsidR="008C288C" w:rsidRDefault="008C288C">
      <w:pPr>
        <w:pStyle w:val="Zkladntext"/>
        <w:ind w:left="450"/>
      </w:pPr>
      <w:r>
        <w:t>Účtovná závierka bola zostavená za predpokladu nepretržitého trvania Spoločnosti (</w:t>
      </w:r>
      <w:proofErr w:type="spellStart"/>
      <w:r>
        <w:t>going</w:t>
      </w:r>
      <w:proofErr w:type="spellEnd"/>
      <w:r>
        <w:t xml:space="preserve"> </w:t>
      </w:r>
      <w:proofErr w:type="spellStart"/>
      <w:r>
        <w:t>concern</w:t>
      </w:r>
      <w:proofErr w:type="spellEnd"/>
      <w:r>
        <w:t>).</w:t>
      </w:r>
    </w:p>
    <w:p w14:paraId="5602FF78" w14:textId="77777777" w:rsidR="008C288C" w:rsidRDefault="008C288C">
      <w:pPr>
        <w:pStyle w:val="Zkladntext"/>
        <w:ind w:left="450"/>
      </w:pPr>
    </w:p>
    <w:p w14:paraId="5602FF79" w14:textId="77777777" w:rsidR="008C288C" w:rsidRPr="00194BFD" w:rsidRDefault="008C288C">
      <w:pPr>
        <w:pStyle w:val="Zkladntext"/>
        <w:ind w:left="450"/>
      </w:pPr>
      <w:r w:rsidRPr="00194BFD">
        <w:t>Účtovné metódy a všeobecné účtovné zásady boli účtovnou jednotkou konzistentne aplikované</w:t>
      </w:r>
      <w:r w:rsidR="00870AFE">
        <w:t>.</w:t>
      </w:r>
    </w:p>
    <w:p w14:paraId="4D723001" w14:textId="77777777" w:rsidR="00F402D9" w:rsidRDefault="00F402D9" w:rsidP="00350046">
      <w:pPr>
        <w:pStyle w:val="Pismenka"/>
      </w:pPr>
    </w:p>
    <w:p w14:paraId="5602FF87" w14:textId="41CF6C15" w:rsidR="008C288C" w:rsidRDefault="00F402D9" w:rsidP="00350046">
      <w:pPr>
        <w:pStyle w:val="Pismenka"/>
      </w:pPr>
      <w:r>
        <w:t xml:space="preserve"> </w:t>
      </w:r>
      <w:r w:rsidR="008C288C">
        <w:t>(b)</w:t>
      </w:r>
      <w:r w:rsidR="008C288C">
        <w:tab/>
        <w:t>Dlhodobý nehmotný majetok a dlhodobý hmotný majetok</w:t>
      </w:r>
    </w:p>
    <w:p w14:paraId="5602FF88" w14:textId="30A8700E" w:rsidR="008C288C" w:rsidRDefault="008C288C">
      <w:pPr>
        <w:pStyle w:val="Zkladntext"/>
      </w:pPr>
      <w:r>
        <w:t xml:space="preserve">Dlhodobý majetok nakupovaný sa oceňuje obstarávacou cenou, ktorá zahŕňa cenu obstarania a náklady súvisiace s obstaraním (clo, prepravu, montáž, poistné a pod.). </w:t>
      </w:r>
    </w:p>
    <w:p w14:paraId="5602FF89" w14:textId="77777777" w:rsidR="008C288C" w:rsidRDefault="008C288C">
      <w:pPr>
        <w:pStyle w:val="Zkladntext"/>
      </w:pPr>
    </w:p>
    <w:p w14:paraId="5602FF8A" w14:textId="77777777" w:rsidR="003349D9" w:rsidRDefault="00C25F51" w:rsidP="00E567DF">
      <w:pPr>
        <w:pStyle w:val="Zkladntext"/>
      </w:pPr>
      <w:r>
        <w:t xml:space="preserve">Odpisy dlhodobého nehmotného majetku sú stanovené vychádzajúc z predpokladanej doby jeho používania a predpokladaného priebehu jeho opotrebenia. Odpisovať sa začína prvým dňom mesiaca nasledujúceho po uvedení dlhodobého majetku do používania. Drobný dlhodobý nehmotný majetok, ktorého obstarávacia cena (resp. vlastné náklady) je </w:t>
      </w:r>
      <w:r w:rsidRPr="00F7710B">
        <w:t>2</w:t>
      </w:r>
      <w:r w:rsidRPr="00DF04B4">
        <w:t> </w:t>
      </w:r>
      <w:r>
        <w:t>400</w:t>
      </w:r>
      <w:r w:rsidRPr="00DF04B4">
        <w:t xml:space="preserve"> EUR</w:t>
      </w:r>
      <w:r>
        <w:t xml:space="preserve"> a nižšia, sa odpisuje jednorazovo pri uvedení do používania.</w:t>
      </w:r>
    </w:p>
    <w:p w14:paraId="5602FF8B" w14:textId="77777777" w:rsidR="00C25F51" w:rsidRDefault="00C25F51" w:rsidP="00E567DF">
      <w:pPr>
        <w:pStyle w:val="Zkladntext"/>
      </w:pPr>
    </w:p>
    <w:p w14:paraId="5602FF8C" w14:textId="77777777" w:rsidR="00C25F51" w:rsidRDefault="00C25F51" w:rsidP="00C25F51">
      <w:pPr>
        <w:pStyle w:val="Zkladntext"/>
      </w:pPr>
      <w:r>
        <w:t>Odpisy dlhodobého hmotného majetku sú stanovené vychádzajúc z predpokladanej doby jeho používania a predpokladaného priebehu jeho opotrebenia. Odpisovať sa začína prvým dňom mesiaca nasledujúceho po uvedení dlhodobého majetku do používania. Drobný dlhodobý hmotný majetok, ktorého obstarávacia cena (resp. vlastné náklady) je 1 700 EUR a nižšia, sa odpisuje jednorazovo</w:t>
      </w:r>
      <w:r w:rsidR="00E24D46">
        <w:t xml:space="preserve"> pri uvedení do používania alebo rovnomerne počas 24 mesiacov</w:t>
      </w:r>
      <w:r>
        <w:t>. Pozemky sa neodpisujú</w:t>
      </w:r>
      <w:r w:rsidR="00E24D46">
        <w:t>.</w:t>
      </w:r>
    </w:p>
    <w:p w14:paraId="5602FF8D" w14:textId="77777777" w:rsidR="00C25F51" w:rsidRDefault="00C25F51" w:rsidP="00E567DF">
      <w:pPr>
        <w:pStyle w:val="Zkladntext"/>
      </w:pPr>
    </w:p>
    <w:p w14:paraId="5602FF8E" w14:textId="77777777" w:rsidR="008C288C" w:rsidRDefault="008C288C" w:rsidP="0029251E">
      <w:pPr>
        <w:pStyle w:val="Zkladntext"/>
        <w:keepNext/>
        <w:ind w:left="425"/>
      </w:pPr>
      <w:r>
        <w:t>Predpokladaná doba používania, metóda odpisovania a odpisová sadzba sú uvedené v nasledujúcej tabuľke:</w:t>
      </w:r>
    </w:p>
    <w:p w14:paraId="5602FF8F" w14:textId="77777777" w:rsidR="008C288C" w:rsidRDefault="008C288C" w:rsidP="0029251E">
      <w:pPr>
        <w:pStyle w:val="Zkladntext"/>
        <w:keepNext/>
        <w:ind w:left="425"/>
      </w:pPr>
    </w:p>
    <w:tbl>
      <w:tblPr>
        <w:tblW w:w="19418" w:type="dxa"/>
        <w:tblInd w:w="456" w:type="dxa"/>
        <w:tblCellMar>
          <w:left w:w="30" w:type="dxa"/>
          <w:right w:w="30" w:type="dxa"/>
        </w:tblCellMar>
        <w:tblLook w:val="0000" w:firstRow="0" w:lastRow="0" w:firstColumn="0" w:lastColumn="0" w:noHBand="0" w:noVBand="0"/>
      </w:tblPr>
      <w:tblGrid>
        <w:gridCol w:w="6"/>
        <w:gridCol w:w="1836"/>
        <w:gridCol w:w="2268"/>
        <w:gridCol w:w="2410"/>
        <w:gridCol w:w="1238"/>
        <w:gridCol w:w="936"/>
        <w:gridCol w:w="1433"/>
        <w:gridCol w:w="78"/>
        <w:gridCol w:w="2131"/>
        <w:gridCol w:w="1439"/>
        <w:gridCol w:w="115"/>
        <w:gridCol w:w="418"/>
        <w:gridCol w:w="1439"/>
        <w:gridCol w:w="128"/>
        <w:gridCol w:w="263"/>
        <w:gridCol w:w="1439"/>
        <w:gridCol w:w="140"/>
        <w:gridCol w:w="184"/>
        <w:gridCol w:w="1362"/>
        <w:gridCol w:w="155"/>
      </w:tblGrid>
      <w:tr w:rsidR="00F402D9" w:rsidRPr="00F402D9" w14:paraId="5602FF94" w14:textId="77777777" w:rsidTr="00345DB0">
        <w:trPr>
          <w:trHeight w:val="250"/>
        </w:trPr>
        <w:tc>
          <w:tcPr>
            <w:tcW w:w="1842" w:type="dxa"/>
            <w:gridSpan w:val="2"/>
          </w:tcPr>
          <w:p w14:paraId="20987754" w14:textId="1726116B" w:rsidR="00F402D9" w:rsidRPr="00F402D9" w:rsidRDefault="00F402D9" w:rsidP="0029251E">
            <w:pPr>
              <w:pStyle w:val="Tabulka"/>
              <w:keepNext/>
            </w:pPr>
            <w:r w:rsidRPr="00F402D9">
              <w:br w:type="page"/>
            </w:r>
          </w:p>
        </w:tc>
        <w:tc>
          <w:tcPr>
            <w:tcW w:w="2268" w:type="dxa"/>
          </w:tcPr>
          <w:p w14:paraId="14268F2F" w14:textId="2A76E0CF" w:rsidR="00F402D9" w:rsidRPr="00F402D9" w:rsidRDefault="00F402D9" w:rsidP="0029251E">
            <w:pPr>
              <w:pStyle w:val="Tabulka"/>
              <w:keepNext/>
            </w:pPr>
            <w:r w:rsidRPr="00F402D9">
              <w:t>Predpokladaná</w:t>
            </w:r>
          </w:p>
        </w:tc>
        <w:tc>
          <w:tcPr>
            <w:tcW w:w="2410" w:type="dxa"/>
          </w:tcPr>
          <w:p w14:paraId="264FC45C" w14:textId="2D9B1BC0" w:rsidR="00F402D9" w:rsidRPr="00F402D9" w:rsidRDefault="00F402D9" w:rsidP="0029251E">
            <w:pPr>
              <w:pStyle w:val="Tabulka"/>
              <w:keepNext/>
            </w:pPr>
            <w:r w:rsidRPr="00F402D9">
              <w:t>Metóda</w:t>
            </w:r>
          </w:p>
        </w:tc>
        <w:tc>
          <w:tcPr>
            <w:tcW w:w="3685" w:type="dxa"/>
            <w:gridSpan w:val="4"/>
          </w:tcPr>
          <w:p w14:paraId="5D2CBF6F" w14:textId="32845138" w:rsidR="00F402D9" w:rsidRPr="00F402D9" w:rsidRDefault="00F402D9" w:rsidP="00415A3D">
            <w:pPr>
              <w:pStyle w:val="Tabulka"/>
              <w:keepNext/>
              <w:ind w:left="-33"/>
            </w:pPr>
            <w:r w:rsidRPr="00F402D9">
              <w:t>Ročná odpisová</w:t>
            </w:r>
          </w:p>
        </w:tc>
        <w:tc>
          <w:tcPr>
            <w:tcW w:w="3685" w:type="dxa"/>
            <w:gridSpan w:val="3"/>
          </w:tcPr>
          <w:p w14:paraId="5602FF90" w14:textId="1AB15862" w:rsidR="00F402D9" w:rsidRPr="00F402D9" w:rsidRDefault="00F402D9" w:rsidP="0029251E">
            <w:pPr>
              <w:pStyle w:val="Tabulka"/>
              <w:keepNext/>
            </w:pPr>
          </w:p>
        </w:tc>
        <w:tc>
          <w:tcPr>
            <w:tcW w:w="1985" w:type="dxa"/>
            <w:gridSpan w:val="3"/>
          </w:tcPr>
          <w:p w14:paraId="5602FF91" w14:textId="192A4C76" w:rsidR="00F402D9" w:rsidRPr="00F402D9" w:rsidRDefault="00F402D9" w:rsidP="00C25F51">
            <w:pPr>
              <w:pStyle w:val="Tabulka"/>
              <w:keepNext/>
              <w:jc w:val="center"/>
            </w:pPr>
          </w:p>
        </w:tc>
        <w:tc>
          <w:tcPr>
            <w:tcW w:w="1842" w:type="dxa"/>
            <w:gridSpan w:val="3"/>
          </w:tcPr>
          <w:p w14:paraId="5602FF92" w14:textId="5C39316F" w:rsidR="00F402D9" w:rsidRPr="00F402D9" w:rsidRDefault="00F402D9" w:rsidP="00C25F51">
            <w:pPr>
              <w:pStyle w:val="Tabulka"/>
              <w:keepNext/>
              <w:jc w:val="center"/>
            </w:pPr>
          </w:p>
        </w:tc>
        <w:tc>
          <w:tcPr>
            <w:tcW w:w="1701" w:type="dxa"/>
            <w:gridSpan w:val="3"/>
          </w:tcPr>
          <w:p w14:paraId="5602FF93" w14:textId="77777777" w:rsidR="00F402D9" w:rsidRPr="00F402D9" w:rsidRDefault="00F402D9" w:rsidP="00C25F51">
            <w:pPr>
              <w:pStyle w:val="Tabulka"/>
              <w:keepNext/>
              <w:jc w:val="center"/>
            </w:pPr>
            <w:r w:rsidRPr="00F402D9">
              <w:t>Ročná odpisová</w:t>
            </w:r>
          </w:p>
        </w:tc>
      </w:tr>
      <w:tr w:rsidR="00F402D9" w:rsidRPr="00F402D9" w14:paraId="5602FF99" w14:textId="77777777" w:rsidTr="00345DB0">
        <w:trPr>
          <w:trHeight w:val="250"/>
        </w:trPr>
        <w:tc>
          <w:tcPr>
            <w:tcW w:w="1842" w:type="dxa"/>
            <w:gridSpan w:val="2"/>
            <w:tcBorders>
              <w:bottom w:val="single" w:sz="4" w:space="0" w:color="auto"/>
            </w:tcBorders>
          </w:tcPr>
          <w:p w14:paraId="077B7E41" w14:textId="77777777" w:rsidR="00F402D9" w:rsidRPr="00F402D9" w:rsidRDefault="00F402D9" w:rsidP="0029251E">
            <w:pPr>
              <w:pStyle w:val="Tabulka"/>
              <w:keepNext/>
              <w:rPr>
                <w:color w:val="auto"/>
              </w:rPr>
            </w:pPr>
          </w:p>
        </w:tc>
        <w:tc>
          <w:tcPr>
            <w:tcW w:w="2268" w:type="dxa"/>
            <w:tcBorders>
              <w:bottom w:val="single" w:sz="4" w:space="0" w:color="auto"/>
            </w:tcBorders>
          </w:tcPr>
          <w:p w14:paraId="27A7276E" w14:textId="192C9B3A" w:rsidR="00F402D9" w:rsidRPr="00F402D9" w:rsidRDefault="00F402D9" w:rsidP="0029251E">
            <w:pPr>
              <w:pStyle w:val="Tabulka"/>
              <w:keepNext/>
              <w:rPr>
                <w:color w:val="auto"/>
              </w:rPr>
            </w:pPr>
            <w:r w:rsidRPr="00F402D9">
              <w:rPr>
                <w:color w:val="auto"/>
              </w:rPr>
              <w:t>doba používania v rokoch</w:t>
            </w:r>
          </w:p>
        </w:tc>
        <w:tc>
          <w:tcPr>
            <w:tcW w:w="2410" w:type="dxa"/>
            <w:tcBorders>
              <w:bottom w:val="single" w:sz="4" w:space="0" w:color="auto"/>
            </w:tcBorders>
          </w:tcPr>
          <w:p w14:paraId="52A07A0E" w14:textId="5F4BB74A" w:rsidR="00F402D9" w:rsidRPr="00F402D9" w:rsidRDefault="00F402D9" w:rsidP="0029251E">
            <w:pPr>
              <w:pStyle w:val="Tabulka"/>
              <w:keepNext/>
            </w:pPr>
            <w:r w:rsidRPr="00F402D9">
              <w:t>odpisovania</w:t>
            </w:r>
          </w:p>
        </w:tc>
        <w:tc>
          <w:tcPr>
            <w:tcW w:w="3685" w:type="dxa"/>
            <w:gridSpan w:val="4"/>
            <w:tcBorders>
              <w:bottom w:val="single" w:sz="4" w:space="0" w:color="auto"/>
            </w:tcBorders>
          </w:tcPr>
          <w:p w14:paraId="717755C8" w14:textId="76C38D10" w:rsidR="00F402D9" w:rsidRPr="00F402D9" w:rsidRDefault="00F402D9" w:rsidP="0029251E">
            <w:pPr>
              <w:pStyle w:val="Tabulka"/>
              <w:keepNext/>
            </w:pPr>
            <w:r w:rsidRPr="00F402D9">
              <w:t>sadzba v %</w:t>
            </w:r>
          </w:p>
        </w:tc>
        <w:tc>
          <w:tcPr>
            <w:tcW w:w="3685" w:type="dxa"/>
            <w:gridSpan w:val="3"/>
            <w:tcBorders>
              <w:bottom w:val="single" w:sz="4" w:space="0" w:color="auto"/>
            </w:tcBorders>
          </w:tcPr>
          <w:p w14:paraId="5602FF95" w14:textId="18B8E024" w:rsidR="00F402D9" w:rsidRPr="00F402D9" w:rsidRDefault="00F402D9" w:rsidP="0029251E">
            <w:pPr>
              <w:pStyle w:val="Tabulka"/>
              <w:keepNext/>
            </w:pPr>
          </w:p>
        </w:tc>
        <w:tc>
          <w:tcPr>
            <w:tcW w:w="1985" w:type="dxa"/>
            <w:gridSpan w:val="3"/>
            <w:tcBorders>
              <w:bottom w:val="single" w:sz="4" w:space="0" w:color="auto"/>
            </w:tcBorders>
          </w:tcPr>
          <w:p w14:paraId="5602FF96" w14:textId="32175973" w:rsidR="00F402D9" w:rsidRPr="00F402D9" w:rsidRDefault="00F402D9" w:rsidP="00C25F51">
            <w:pPr>
              <w:pStyle w:val="Tabulka"/>
              <w:keepNext/>
              <w:jc w:val="center"/>
            </w:pPr>
          </w:p>
        </w:tc>
        <w:tc>
          <w:tcPr>
            <w:tcW w:w="1842" w:type="dxa"/>
            <w:gridSpan w:val="3"/>
            <w:tcBorders>
              <w:bottom w:val="single" w:sz="4" w:space="0" w:color="auto"/>
            </w:tcBorders>
          </w:tcPr>
          <w:p w14:paraId="5602FF97" w14:textId="3FD38EBA" w:rsidR="00F402D9" w:rsidRPr="00F402D9" w:rsidRDefault="00F402D9" w:rsidP="00C25F51">
            <w:pPr>
              <w:pStyle w:val="Tabulka"/>
              <w:keepNext/>
              <w:jc w:val="center"/>
            </w:pPr>
          </w:p>
        </w:tc>
        <w:tc>
          <w:tcPr>
            <w:tcW w:w="1701" w:type="dxa"/>
            <w:gridSpan w:val="3"/>
            <w:tcBorders>
              <w:bottom w:val="single" w:sz="4" w:space="0" w:color="auto"/>
            </w:tcBorders>
          </w:tcPr>
          <w:p w14:paraId="5602FF98" w14:textId="31A5C717" w:rsidR="00F402D9" w:rsidRPr="00F402D9" w:rsidRDefault="00F402D9" w:rsidP="00C25F51">
            <w:pPr>
              <w:pStyle w:val="Tabulka"/>
              <w:keepNext/>
              <w:jc w:val="center"/>
            </w:pPr>
          </w:p>
        </w:tc>
      </w:tr>
      <w:tr w:rsidR="00F402D9" w:rsidRPr="00F402D9" w14:paraId="0FAE2FBC" w14:textId="77777777" w:rsidTr="00345DB0">
        <w:trPr>
          <w:gridBefore w:val="1"/>
          <w:gridAfter w:val="2"/>
          <w:wBefore w:w="6" w:type="dxa"/>
          <w:wAfter w:w="1517" w:type="dxa"/>
          <w:trHeight w:val="250"/>
        </w:trPr>
        <w:tc>
          <w:tcPr>
            <w:tcW w:w="1836" w:type="dxa"/>
          </w:tcPr>
          <w:p w14:paraId="7412B56D" w14:textId="47079054" w:rsidR="00F402D9" w:rsidRPr="00F402D9" w:rsidRDefault="00F402D9" w:rsidP="00F402D9">
            <w:pPr>
              <w:keepNext/>
              <w:rPr>
                <w:sz w:val="18"/>
              </w:rPr>
            </w:pPr>
            <w:r w:rsidRPr="00F402D9">
              <w:rPr>
                <w:sz w:val="18"/>
              </w:rPr>
              <w:t>Softvér</w:t>
            </w:r>
          </w:p>
        </w:tc>
        <w:tc>
          <w:tcPr>
            <w:tcW w:w="2268" w:type="dxa"/>
          </w:tcPr>
          <w:p w14:paraId="0CC719BA" w14:textId="0838C78D" w:rsidR="00F402D9" w:rsidRPr="00F402D9" w:rsidRDefault="00F402D9" w:rsidP="00F402D9">
            <w:pPr>
              <w:keepNext/>
              <w:rPr>
                <w:sz w:val="18"/>
              </w:rPr>
            </w:pPr>
            <w:r w:rsidRPr="00F402D9">
              <w:rPr>
                <w:sz w:val="18"/>
              </w:rPr>
              <w:t>5</w:t>
            </w:r>
          </w:p>
        </w:tc>
        <w:tc>
          <w:tcPr>
            <w:tcW w:w="2410" w:type="dxa"/>
          </w:tcPr>
          <w:p w14:paraId="4D32A340" w14:textId="054C2852" w:rsidR="00F402D9" w:rsidRPr="00F402D9" w:rsidRDefault="00F402D9" w:rsidP="00F402D9">
            <w:pPr>
              <w:keepNext/>
              <w:rPr>
                <w:sz w:val="18"/>
              </w:rPr>
            </w:pPr>
            <w:r w:rsidRPr="00F402D9">
              <w:rPr>
                <w:sz w:val="18"/>
              </w:rPr>
              <w:t>lineárna</w:t>
            </w:r>
          </w:p>
        </w:tc>
        <w:tc>
          <w:tcPr>
            <w:tcW w:w="2174" w:type="dxa"/>
            <w:gridSpan w:val="2"/>
          </w:tcPr>
          <w:p w14:paraId="2AADAE4F" w14:textId="55B378D3" w:rsidR="00F402D9" w:rsidRPr="00F402D9" w:rsidRDefault="00F402D9" w:rsidP="00F402D9">
            <w:pPr>
              <w:keepNext/>
              <w:rPr>
                <w:color w:val="000000"/>
                <w:sz w:val="18"/>
              </w:rPr>
            </w:pPr>
            <w:r w:rsidRPr="00F402D9">
              <w:rPr>
                <w:color w:val="000000"/>
                <w:sz w:val="18"/>
              </w:rPr>
              <w:t>20,00</w:t>
            </w:r>
          </w:p>
        </w:tc>
        <w:tc>
          <w:tcPr>
            <w:tcW w:w="3642" w:type="dxa"/>
            <w:gridSpan w:val="3"/>
          </w:tcPr>
          <w:p w14:paraId="5038D5F3" w14:textId="0A22CCAD" w:rsidR="00F402D9" w:rsidRPr="00F402D9" w:rsidRDefault="00F402D9" w:rsidP="00F402D9">
            <w:pPr>
              <w:keepNext/>
              <w:rPr>
                <w:color w:val="000000"/>
                <w:sz w:val="18"/>
              </w:rPr>
            </w:pPr>
          </w:p>
        </w:tc>
        <w:tc>
          <w:tcPr>
            <w:tcW w:w="1972" w:type="dxa"/>
            <w:gridSpan w:val="3"/>
          </w:tcPr>
          <w:p w14:paraId="2F74A904" w14:textId="7D2EF438" w:rsidR="00F402D9" w:rsidRPr="00F402D9" w:rsidRDefault="00F402D9" w:rsidP="00F402D9">
            <w:pPr>
              <w:keepNext/>
              <w:jc w:val="center"/>
              <w:rPr>
                <w:color w:val="000000"/>
                <w:sz w:val="18"/>
              </w:rPr>
            </w:pPr>
          </w:p>
        </w:tc>
        <w:tc>
          <w:tcPr>
            <w:tcW w:w="1830" w:type="dxa"/>
            <w:gridSpan w:val="3"/>
          </w:tcPr>
          <w:p w14:paraId="2984BAD9" w14:textId="33E54258" w:rsidR="00F402D9" w:rsidRPr="00F402D9" w:rsidRDefault="00F402D9" w:rsidP="00F402D9">
            <w:pPr>
              <w:keepNext/>
              <w:jc w:val="center"/>
              <w:rPr>
                <w:color w:val="000000"/>
                <w:sz w:val="18"/>
              </w:rPr>
            </w:pPr>
          </w:p>
        </w:tc>
        <w:tc>
          <w:tcPr>
            <w:tcW w:w="1763" w:type="dxa"/>
            <w:gridSpan w:val="3"/>
          </w:tcPr>
          <w:p w14:paraId="6400D9BE" w14:textId="2C7C340B" w:rsidR="00F402D9" w:rsidRPr="00F402D9" w:rsidRDefault="00F402D9" w:rsidP="00F402D9">
            <w:pPr>
              <w:keepNext/>
              <w:jc w:val="center"/>
              <w:rPr>
                <w:color w:val="000000"/>
                <w:sz w:val="18"/>
              </w:rPr>
            </w:pPr>
          </w:p>
        </w:tc>
      </w:tr>
      <w:tr w:rsidR="00F402D9" w:rsidRPr="00F402D9" w14:paraId="2E04B0C8" w14:textId="77777777" w:rsidTr="00345DB0">
        <w:trPr>
          <w:gridBefore w:val="1"/>
          <w:gridAfter w:val="2"/>
          <w:wBefore w:w="6" w:type="dxa"/>
          <w:wAfter w:w="1517" w:type="dxa"/>
          <w:trHeight w:val="250"/>
        </w:trPr>
        <w:tc>
          <w:tcPr>
            <w:tcW w:w="1836" w:type="dxa"/>
            <w:tcBorders>
              <w:bottom w:val="single" w:sz="4" w:space="0" w:color="auto"/>
            </w:tcBorders>
          </w:tcPr>
          <w:p w14:paraId="2A43D6DC" w14:textId="612F28D7" w:rsidR="00F402D9" w:rsidRPr="00F402D9" w:rsidRDefault="00F402D9" w:rsidP="00F402D9">
            <w:pPr>
              <w:keepNext/>
              <w:rPr>
                <w:sz w:val="18"/>
              </w:rPr>
            </w:pPr>
            <w:r w:rsidRPr="00F402D9">
              <w:rPr>
                <w:sz w:val="18"/>
              </w:rPr>
              <w:t>Výherné prístroje</w:t>
            </w:r>
          </w:p>
        </w:tc>
        <w:tc>
          <w:tcPr>
            <w:tcW w:w="2268" w:type="dxa"/>
            <w:tcBorders>
              <w:bottom w:val="single" w:sz="4" w:space="0" w:color="auto"/>
            </w:tcBorders>
          </w:tcPr>
          <w:p w14:paraId="07967CE2" w14:textId="693EB96A" w:rsidR="00F402D9" w:rsidRPr="00F402D9" w:rsidRDefault="00F402D9" w:rsidP="00F402D9">
            <w:pPr>
              <w:keepNext/>
              <w:rPr>
                <w:sz w:val="18"/>
              </w:rPr>
            </w:pPr>
            <w:r w:rsidRPr="00F402D9">
              <w:rPr>
                <w:sz w:val="18"/>
              </w:rPr>
              <w:t>6</w:t>
            </w:r>
          </w:p>
        </w:tc>
        <w:tc>
          <w:tcPr>
            <w:tcW w:w="2410" w:type="dxa"/>
            <w:tcBorders>
              <w:bottom w:val="single" w:sz="4" w:space="0" w:color="auto"/>
            </w:tcBorders>
          </w:tcPr>
          <w:p w14:paraId="33419E1A" w14:textId="265BF445" w:rsidR="00F402D9" w:rsidRPr="00F402D9" w:rsidRDefault="00F402D9" w:rsidP="00F402D9">
            <w:pPr>
              <w:keepNext/>
              <w:rPr>
                <w:sz w:val="18"/>
              </w:rPr>
            </w:pPr>
            <w:r w:rsidRPr="00F402D9">
              <w:rPr>
                <w:sz w:val="18"/>
              </w:rPr>
              <w:t>lineárna</w:t>
            </w:r>
          </w:p>
        </w:tc>
        <w:tc>
          <w:tcPr>
            <w:tcW w:w="2174" w:type="dxa"/>
            <w:gridSpan w:val="2"/>
            <w:tcBorders>
              <w:bottom w:val="single" w:sz="4" w:space="0" w:color="auto"/>
            </w:tcBorders>
          </w:tcPr>
          <w:p w14:paraId="775B2787" w14:textId="30B6CFF6" w:rsidR="00F402D9" w:rsidRPr="00F402D9" w:rsidRDefault="00F402D9" w:rsidP="00F402D9">
            <w:pPr>
              <w:keepNext/>
              <w:rPr>
                <w:color w:val="000000"/>
                <w:sz w:val="18"/>
              </w:rPr>
            </w:pPr>
            <w:r w:rsidRPr="00F402D9">
              <w:rPr>
                <w:color w:val="000000"/>
                <w:sz w:val="18"/>
              </w:rPr>
              <w:t>16,66</w:t>
            </w:r>
          </w:p>
        </w:tc>
        <w:tc>
          <w:tcPr>
            <w:tcW w:w="3642" w:type="dxa"/>
            <w:gridSpan w:val="3"/>
            <w:tcBorders>
              <w:bottom w:val="single" w:sz="4" w:space="0" w:color="auto"/>
            </w:tcBorders>
          </w:tcPr>
          <w:p w14:paraId="2869ED61" w14:textId="6404E14B" w:rsidR="00F402D9" w:rsidRPr="00F402D9" w:rsidRDefault="00F402D9" w:rsidP="00F402D9">
            <w:pPr>
              <w:keepNext/>
              <w:rPr>
                <w:color w:val="000000"/>
                <w:sz w:val="18"/>
              </w:rPr>
            </w:pPr>
          </w:p>
        </w:tc>
        <w:tc>
          <w:tcPr>
            <w:tcW w:w="1972" w:type="dxa"/>
            <w:gridSpan w:val="3"/>
            <w:tcBorders>
              <w:bottom w:val="single" w:sz="4" w:space="0" w:color="auto"/>
            </w:tcBorders>
          </w:tcPr>
          <w:p w14:paraId="02C470EB" w14:textId="017C8ABA" w:rsidR="00F402D9" w:rsidRPr="00F402D9" w:rsidRDefault="00F402D9" w:rsidP="00F402D9">
            <w:pPr>
              <w:keepNext/>
              <w:jc w:val="center"/>
              <w:rPr>
                <w:color w:val="000000"/>
                <w:sz w:val="18"/>
              </w:rPr>
            </w:pPr>
          </w:p>
        </w:tc>
        <w:tc>
          <w:tcPr>
            <w:tcW w:w="1830" w:type="dxa"/>
            <w:gridSpan w:val="3"/>
            <w:tcBorders>
              <w:bottom w:val="single" w:sz="4" w:space="0" w:color="auto"/>
            </w:tcBorders>
          </w:tcPr>
          <w:p w14:paraId="452C9035" w14:textId="2CB39C36" w:rsidR="00F402D9" w:rsidRPr="00F402D9" w:rsidRDefault="00F402D9" w:rsidP="00F402D9">
            <w:pPr>
              <w:keepNext/>
              <w:jc w:val="center"/>
              <w:rPr>
                <w:color w:val="000000"/>
                <w:sz w:val="18"/>
              </w:rPr>
            </w:pPr>
          </w:p>
        </w:tc>
        <w:tc>
          <w:tcPr>
            <w:tcW w:w="1763" w:type="dxa"/>
            <w:gridSpan w:val="3"/>
            <w:tcBorders>
              <w:bottom w:val="single" w:sz="4" w:space="0" w:color="auto"/>
            </w:tcBorders>
          </w:tcPr>
          <w:p w14:paraId="59A51ADF" w14:textId="1EC9544C" w:rsidR="00F402D9" w:rsidRPr="00F402D9" w:rsidRDefault="00F402D9" w:rsidP="00F402D9">
            <w:pPr>
              <w:keepNext/>
              <w:jc w:val="center"/>
              <w:rPr>
                <w:color w:val="000000"/>
                <w:sz w:val="18"/>
              </w:rPr>
            </w:pPr>
          </w:p>
        </w:tc>
      </w:tr>
      <w:tr w:rsidR="00F402D9" w:rsidRPr="00F402D9" w14:paraId="27D22968" w14:textId="77777777" w:rsidTr="00345DB0">
        <w:tblPrEx>
          <w:tblCellMar>
            <w:left w:w="108" w:type="dxa"/>
            <w:right w:w="108" w:type="dxa"/>
          </w:tblCellMar>
        </w:tblPrEx>
        <w:trPr>
          <w:gridAfter w:val="1"/>
          <w:wAfter w:w="155" w:type="dxa"/>
          <w:trHeight w:val="245"/>
        </w:trPr>
        <w:tc>
          <w:tcPr>
            <w:tcW w:w="1842" w:type="dxa"/>
            <w:gridSpan w:val="2"/>
          </w:tcPr>
          <w:p w14:paraId="01A320EA" w14:textId="77777777" w:rsidR="00F402D9" w:rsidRPr="00F402D9" w:rsidRDefault="00F402D9" w:rsidP="00F402D9">
            <w:pPr>
              <w:keepNext/>
              <w:ind w:hanging="84"/>
              <w:rPr>
                <w:sz w:val="18"/>
              </w:rPr>
            </w:pPr>
          </w:p>
        </w:tc>
        <w:tc>
          <w:tcPr>
            <w:tcW w:w="2268" w:type="dxa"/>
          </w:tcPr>
          <w:p w14:paraId="6A32642E" w14:textId="77777777" w:rsidR="00F402D9" w:rsidRPr="00F402D9" w:rsidRDefault="00F402D9" w:rsidP="00F402D9">
            <w:pPr>
              <w:keepNext/>
              <w:ind w:hanging="84"/>
              <w:rPr>
                <w:sz w:val="18"/>
              </w:rPr>
            </w:pPr>
          </w:p>
        </w:tc>
        <w:tc>
          <w:tcPr>
            <w:tcW w:w="3648" w:type="dxa"/>
            <w:gridSpan w:val="2"/>
          </w:tcPr>
          <w:p w14:paraId="2A3A3B3D" w14:textId="77777777" w:rsidR="00F402D9" w:rsidRPr="00F402D9" w:rsidRDefault="00F402D9" w:rsidP="00F402D9">
            <w:pPr>
              <w:keepNext/>
              <w:ind w:hanging="84"/>
              <w:rPr>
                <w:color w:val="000000"/>
                <w:sz w:val="18"/>
              </w:rPr>
            </w:pPr>
          </w:p>
        </w:tc>
        <w:tc>
          <w:tcPr>
            <w:tcW w:w="2369" w:type="dxa"/>
            <w:gridSpan w:val="2"/>
          </w:tcPr>
          <w:p w14:paraId="16FF6223" w14:textId="77777777" w:rsidR="00F402D9" w:rsidRPr="00F402D9" w:rsidRDefault="00F402D9" w:rsidP="00F402D9">
            <w:pPr>
              <w:keepNext/>
              <w:ind w:hanging="84"/>
              <w:rPr>
                <w:color w:val="000000"/>
                <w:sz w:val="18"/>
              </w:rPr>
            </w:pPr>
          </w:p>
        </w:tc>
        <w:tc>
          <w:tcPr>
            <w:tcW w:w="3648" w:type="dxa"/>
            <w:gridSpan w:val="3"/>
          </w:tcPr>
          <w:p w14:paraId="04FEC559" w14:textId="7F086F4F" w:rsidR="00F402D9" w:rsidRPr="00F402D9" w:rsidRDefault="00F402D9" w:rsidP="00F402D9">
            <w:pPr>
              <w:keepNext/>
              <w:ind w:hanging="84"/>
              <w:rPr>
                <w:color w:val="000000"/>
                <w:sz w:val="18"/>
              </w:rPr>
            </w:pPr>
          </w:p>
        </w:tc>
        <w:tc>
          <w:tcPr>
            <w:tcW w:w="1972" w:type="dxa"/>
            <w:gridSpan w:val="3"/>
          </w:tcPr>
          <w:p w14:paraId="3CE58EE5" w14:textId="43886FB2" w:rsidR="00F402D9" w:rsidRPr="00F402D9" w:rsidRDefault="00F402D9" w:rsidP="00F402D9">
            <w:pPr>
              <w:keepNext/>
              <w:jc w:val="center"/>
              <w:rPr>
                <w:color w:val="000000"/>
                <w:sz w:val="18"/>
              </w:rPr>
            </w:pPr>
          </w:p>
        </w:tc>
        <w:tc>
          <w:tcPr>
            <w:tcW w:w="1830" w:type="dxa"/>
            <w:gridSpan w:val="3"/>
          </w:tcPr>
          <w:p w14:paraId="4DA7BD6F" w14:textId="13732613" w:rsidR="00F402D9" w:rsidRPr="00F402D9" w:rsidRDefault="00F402D9" w:rsidP="00F402D9">
            <w:pPr>
              <w:keepNext/>
              <w:jc w:val="center"/>
              <w:rPr>
                <w:color w:val="000000"/>
                <w:sz w:val="18"/>
              </w:rPr>
            </w:pPr>
          </w:p>
        </w:tc>
        <w:tc>
          <w:tcPr>
            <w:tcW w:w="1686" w:type="dxa"/>
            <w:gridSpan w:val="3"/>
          </w:tcPr>
          <w:p w14:paraId="371B27C9" w14:textId="21E2C382" w:rsidR="00F402D9" w:rsidRPr="00F402D9" w:rsidRDefault="00F402D9" w:rsidP="00F402D9">
            <w:pPr>
              <w:keepNext/>
              <w:ind w:right="33"/>
              <w:jc w:val="center"/>
              <w:rPr>
                <w:color w:val="000000"/>
                <w:sz w:val="18"/>
              </w:rPr>
            </w:pPr>
          </w:p>
        </w:tc>
      </w:tr>
    </w:tbl>
    <w:p w14:paraId="5602FFB4" w14:textId="09A12D3A" w:rsidR="008C288C" w:rsidRDefault="00F402D9" w:rsidP="00350046">
      <w:pPr>
        <w:pStyle w:val="Pismenka"/>
      </w:pPr>
      <w:r>
        <w:t xml:space="preserve"> </w:t>
      </w:r>
      <w:r w:rsidR="008C288C">
        <w:t>(</w:t>
      </w:r>
      <w:r w:rsidR="004D0F84">
        <w:t>c</w:t>
      </w:r>
      <w:r w:rsidR="008C288C">
        <w:t>)</w:t>
      </w:r>
      <w:r w:rsidR="008C288C">
        <w:tab/>
        <w:t xml:space="preserve">Zásoby </w:t>
      </w:r>
    </w:p>
    <w:p w14:paraId="3278E081" w14:textId="77777777" w:rsidR="00F402D9" w:rsidRPr="00F402D9" w:rsidRDefault="00F402D9" w:rsidP="00F402D9">
      <w:pPr>
        <w:ind w:left="426"/>
        <w:jc w:val="both"/>
        <w:rPr>
          <w:sz w:val="18"/>
        </w:rPr>
      </w:pPr>
      <w:r w:rsidRPr="00F402D9">
        <w:rPr>
          <w:sz w:val="18"/>
        </w:rPr>
        <w:t>Nakúpené zásoby sa oceňujú nižšou z nasledujúcich hodnôt: obstarávacou cenou (nakupované zásoby) alebo čistou realizačnou hodnotou. Obstarávacia cena zahŕňa cenu zásob a náklady súvisiace s obstaraním (clo, prepravu, poistné, provízie, skonto a pod.).</w:t>
      </w:r>
    </w:p>
    <w:p w14:paraId="6249814A" w14:textId="77777777" w:rsidR="00F402D9" w:rsidRPr="00F402D9" w:rsidRDefault="00F402D9" w:rsidP="00F402D9">
      <w:pPr>
        <w:ind w:left="426"/>
        <w:jc w:val="both"/>
        <w:rPr>
          <w:sz w:val="18"/>
        </w:rPr>
      </w:pPr>
    </w:p>
    <w:p w14:paraId="38F1D836" w14:textId="77777777" w:rsidR="00F402D9" w:rsidRPr="00F402D9" w:rsidRDefault="00F402D9" w:rsidP="00F402D9">
      <w:pPr>
        <w:ind w:left="426"/>
        <w:jc w:val="both"/>
        <w:rPr>
          <w:sz w:val="18"/>
        </w:rPr>
      </w:pPr>
      <w:r w:rsidRPr="00F402D9">
        <w:rPr>
          <w:sz w:val="18"/>
        </w:rPr>
        <w:t>Spoločnosť neeviduje zásoby vlastnej výroby.</w:t>
      </w:r>
    </w:p>
    <w:p w14:paraId="310071C6" w14:textId="77777777" w:rsidR="00F402D9" w:rsidRPr="00F402D9" w:rsidRDefault="00F402D9" w:rsidP="00F402D9">
      <w:pPr>
        <w:ind w:left="426"/>
        <w:jc w:val="both"/>
        <w:rPr>
          <w:sz w:val="18"/>
        </w:rPr>
      </w:pPr>
    </w:p>
    <w:p w14:paraId="791990D1" w14:textId="77777777" w:rsidR="00F402D9" w:rsidRPr="00F402D9" w:rsidRDefault="00F402D9" w:rsidP="00F402D9">
      <w:pPr>
        <w:ind w:left="426"/>
        <w:jc w:val="both"/>
        <w:rPr>
          <w:sz w:val="18"/>
        </w:rPr>
      </w:pPr>
      <w:r w:rsidRPr="00F402D9">
        <w:rPr>
          <w:sz w:val="18"/>
        </w:rPr>
        <w:t>Zníženie hodnoty zásob sa upravuje vytvorením opravnej položky.</w:t>
      </w:r>
    </w:p>
    <w:p w14:paraId="5602FFBE" w14:textId="77777777" w:rsidR="008C288C" w:rsidRDefault="008C288C" w:rsidP="00F402D9">
      <w:pPr>
        <w:pStyle w:val="Zkladntext"/>
        <w:ind w:left="0"/>
      </w:pPr>
    </w:p>
    <w:p w14:paraId="5602FFBF" w14:textId="77777777" w:rsidR="008C288C" w:rsidRDefault="008C288C" w:rsidP="00350046">
      <w:pPr>
        <w:pStyle w:val="Pismenka"/>
      </w:pPr>
      <w:r>
        <w:t>(</w:t>
      </w:r>
      <w:r w:rsidR="004D0F84">
        <w:t>d</w:t>
      </w:r>
      <w:r>
        <w:t>)</w:t>
      </w:r>
      <w:r>
        <w:tab/>
        <w:t>Pohľadávky</w:t>
      </w:r>
    </w:p>
    <w:p w14:paraId="5602FFC0" w14:textId="77777777" w:rsidR="008C288C" w:rsidRDefault="008C288C">
      <w:pPr>
        <w:pStyle w:val="Zkladntext"/>
      </w:pPr>
      <w:r>
        <w:t>Pohľadávky pri ich vzniku sa oceňujú ich menovitou hodnotou; postúpené pohľadávky a pohľadávky nadobudnuté vkladom do základného imania sa oceňujú obstarávacou cenou vrátane nákladov súvisiacich s obstaraním. Toto ocenenie sa znižuje o</w:t>
      </w:r>
      <w:r w:rsidR="003349D9">
        <w:t> </w:t>
      </w:r>
      <w:r>
        <w:t>pochybné a nevymožiteľné pohľadávky.</w:t>
      </w:r>
    </w:p>
    <w:p w14:paraId="5602FFC1" w14:textId="77777777" w:rsidR="008C288C" w:rsidRDefault="008C288C">
      <w:pPr>
        <w:pStyle w:val="Zkladntext"/>
      </w:pPr>
    </w:p>
    <w:p w14:paraId="5602FFC2" w14:textId="77777777" w:rsidR="008C288C" w:rsidRDefault="008C288C" w:rsidP="00350046">
      <w:pPr>
        <w:pStyle w:val="Pismenka"/>
      </w:pPr>
      <w:r>
        <w:t>(</w:t>
      </w:r>
      <w:r w:rsidR="004D0F84">
        <w:t>e</w:t>
      </w:r>
      <w:r>
        <w:t>)</w:t>
      </w:r>
      <w:r>
        <w:tab/>
        <w:t>Peňažné prostriedky a ceniny</w:t>
      </w:r>
    </w:p>
    <w:p w14:paraId="5602FFC3" w14:textId="77777777" w:rsidR="008C288C" w:rsidRDefault="008C288C">
      <w:pPr>
        <w:pStyle w:val="Zkladntext"/>
      </w:pPr>
      <w:r>
        <w:t>Peňažné prostriedky a ceniny sa oceňujú ich menovitou hodnotou. Zníženie ich hodnoty sa vyjadruje opravnou položkou.</w:t>
      </w:r>
    </w:p>
    <w:p w14:paraId="5602FFC4" w14:textId="77777777" w:rsidR="008C288C" w:rsidRDefault="008C288C">
      <w:pPr>
        <w:pStyle w:val="Zkladntext"/>
      </w:pPr>
    </w:p>
    <w:p w14:paraId="5602FFC5" w14:textId="77777777" w:rsidR="008C288C" w:rsidRDefault="008C288C" w:rsidP="00350046">
      <w:pPr>
        <w:pStyle w:val="Pismenka"/>
      </w:pPr>
      <w:r>
        <w:t>(</w:t>
      </w:r>
      <w:r w:rsidR="004D0F84">
        <w:t>f</w:t>
      </w:r>
      <w:r>
        <w:t>)</w:t>
      </w:r>
      <w:r>
        <w:tab/>
        <w:t>Náklady budúcich období a príjmy budúcich období</w:t>
      </w:r>
    </w:p>
    <w:p w14:paraId="5602FFC6" w14:textId="77777777" w:rsidR="008C288C" w:rsidRDefault="008C288C">
      <w:pPr>
        <w:pStyle w:val="Zkladntext"/>
      </w:pPr>
      <w:r>
        <w:t>Náklady budúcich období a príjmy budúcich období sa vykazujú vo výške, ktorá je potrebná na dodržanie zásady vecnej a časovej súvislosti s účtovným obdobím.</w:t>
      </w:r>
    </w:p>
    <w:p w14:paraId="5602FFC7" w14:textId="77777777" w:rsidR="008C288C" w:rsidRDefault="008C288C">
      <w:pPr>
        <w:pStyle w:val="Zkladntext"/>
      </w:pPr>
    </w:p>
    <w:p w14:paraId="5602FFC8" w14:textId="77777777" w:rsidR="008C288C" w:rsidRDefault="008C288C" w:rsidP="00350046">
      <w:pPr>
        <w:pStyle w:val="Pismenka"/>
      </w:pPr>
      <w:r>
        <w:t>(</w:t>
      </w:r>
      <w:r w:rsidR="004D0F84">
        <w:t>g</w:t>
      </w:r>
      <w:r>
        <w:t>)</w:t>
      </w:r>
      <w:r>
        <w:tab/>
        <w:t>Rezervy</w:t>
      </w:r>
    </w:p>
    <w:p w14:paraId="5602FFC9" w14:textId="77777777" w:rsidR="008C288C" w:rsidRDefault="008C288C">
      <w:pPr>
        <w:pStyle w:val="Zkladntext"/>
      </w:pPr>
      <w:r>
        <w:t>Rezervy sú záväzky s neurčitým časovým vymedzením alebo výškou; tvoria sa na krytie známych rizík alebo strát z podnikania. Oceňujú sa v očakávanej výške záväzku.</w:t>
      </w:r>
    </w:p>
    <w:p w14:paraId="5602FFCA" w14:textId="77777777" w:rsidR="008C288C" w:rsidRDefault="008C288C" w:rsidP="00350046">
      <w:pPr>
        <w:pStyle w:val="Pismenka"/>
      </w:pPr>
    </w:p>
    <w:p w14:paraId="5602FFCB" w14:textId="77777777" w:rsidR="008C288C" w:rsidRDefault="008C288C" w:rsidP="00350046">
      <w:pPr>
        <w:pStyle w:val="Pismenka"/>
      </w:pPr>
      <w:r>
        <w:t>(</w:t>
      </w:r>
      <w:r w:rsidR="004D0F84">
        <w:t>h</w:t>
      </w:r>
      <w:r>
        <w:t>)</w:t>
      </w:r>
      <w:r>
        <w:tab/>
        <w:t>Záväzky</w:t>
      </w:r>
    </w:p>
    <w:p w14:paraId="5602FFCC" w14:textId="77777777" w:rsidR="008C288C" w:rsidRDefault="008C288C">
      <w:pPr>
        <w:pStyle w:val="Zkladntext"/>
        <w:rPr>
          <w:sz w:val="24"/>
        </w:rPr>
      </w:pPr>
      <w: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14:paraId="5602FFCD" w14:textId="77777777" w:rsidR="008C288C" w:rsidRDefault="008C288C" w:rsidP="00350046">
      <w:pPr>
        <w:pStyle w:val="Pismenka"/>
      </w:pPr>
    </w:p>
    <w:p w14:paraId="5602FFCE" w14:textId="77777777" w:rsidR="008C288C" w:rsidRDefault="008C288C" w:rsidP="00350046">
      <w:pPr>
        <w:pStyle w:val="Pismenka"/>
      </w:pPr>
      <w:r>
        <w:t>(</w:t>
      </w:r>
      <w:r w:rsidR="004D0F84">
        <w:t>i</w:t>
      </w:r>
      <w:r>
        <w:t>)</w:t>
      </w:r>
      <w:r>
        <w:tab/>
        <w:t>Odložené dane</w:t>
      </w:r>
    </w:p>
    <w:p w14:paraId="5602FFCF" w14:textId="77777777" w:rsidR="008C288C" w:rsidRDefault="008C288C">
      <w:pPr>
        <w:pStyle w:val="Zkladntext"/>
      </w:pPr>
      <w:r>
        <w:t xml:space="preserve">Odložené dane (odložená daňová pohľadávka a odložený daňový záväzok) sa vzťahujú na: </w:t>
      </w:r>
    </w:p>
    <w:p w14:paraId="5602FFD0" w14:textId="77777777" w:rsidR="008C288C" w:rsidRDefault="008C288C" w:rsidP="000C6143">
      <w:pPr>
        <w:pStyle w:val="Zkladntext"/>
        <w:numPr>
          <w:ilvl w:val="0"/>
          <w:numId w:val="6"/>
        </w:numPr>
      </w:pPr>
      <w:r>
        <w:t>dočasné rozdiely medzi účtovnou hodnotou majetku a účtovnou hodnotou záväzkov vykázanou v súvahe a ich daňovou základňou,</w:t>
      </w:r>
    </w:p>
    <w:p w14:paraId="5602FFD1" w14:textId="77777777" w:rsidR="008C288C" w:rsidRDefault="008C288C" w:rsidP="000C6143">
      <w:pPr>
        <w:pStyle w:val="Zkladntext"/>
        <w:numPr>
          <w:ilvl w:val="0"/>
          <w:numId w:val="6"/>
        </w:numPr>
      </w:pPr>
      <w:r>
        <w:lastRenderedPageBreak/>
        <w:t>možnosť umorovať daňovú stratu v budúcnosti, ktorou sa rozumie možnosť odpočítať daňovú stratu od základu dane v budúcnosti,</w:t>
      </w:r>
    </w:p>
    <w:p w14:paraId="5602FFD2" w14:textId="77777777" w:rsidR="008C288C" w:rsidRDefault="008C288C" w:rsidP="000C6143">
      <w:pPr>
        <w:pStyle w:val="Zkladntext"/>
        <w:numPr>
          <w:ilvl w:val="0"/>
          <w:numId w:val="6"/>
        </w:numPr>
      </w:pPr>
      <w:r>
        <w:t>možnosť previesť nevyužité daňové odpočty a iné daňové nároky do budúcich období.</w:t>
      </w:r>
    </w:p>
    <w:p w14:paraId="5602FFD3" w14:textId="77777777" w:rsidR="008C288C" w:rsidRDefault="008C288C" w:rsidP="00D87FBD">
      <w:pPr>
        <w:pStyle w:val="Zkladntext"/>
      </w:pPr>
    </w:p>
    <w:p w14:paraId="5602FFD4" w14:textId="77777777" w:rsidR="008C288C" w:rsidRDefault="008C288C" w:rsidP="00350046">
      <w:pPr>
        <w:pStyle w:val="Pismenka"/>
      </w:pPr>
      <w:r>
        <w:t>(</w:t>
      </w:r>
      <w:r w:rsidR="004D0F84">
        <w:t>j</w:t>
      </w:r>
      <w:r>
        <w:t>)</w:t>
      </w:r>
      <w:r>
        <w:tab/>
        <w:t xml:space="preserve">Výdavky </w:t>
      </w:r>
      <w:r w:rsidRPr="00350046">
        <w:t>budúcich</w:t>
      </w:r>
      <w:r>
        <w:t xml:space="preserve"> období a výnosy budúcich období</w:t>
      </w:r>
    </w:p>
    <w:p w14:paraId="5602FFD5" w14:textId="77777777" w:rsidR="008C288C" w:rsidRDefault="008C288C">
      <w:pPr>
        <w:pStyle w:val="Zkladntext"/>
      </w:pPr>
      <w:r>
        <w:t>Výdavky budúcich období a výnosy budúcich období sa vykazujú vo výške, ktorá je potrebná na dodržanie zásady vecnej a časovej súvislosti s účtovným obdobím.</w:t>
      </w:r>
    </w:p>
    <w:p w14:paraId="5602FFD6" w14:textId="77777777" w:rsidR="008C288C" w:rsidRDefault="008C288C">
      <w:pPr>
        <w:pStyle w:val="Zkladntext"/>
      </w:pPr>
    </w:p>
    <w:p w14:paraId="5602FFD7" w14:textId="77777777" w:rsidR="008C288C" w:rsidRDefault="008C288C" w:rsidP="00350046">
      <w:pPr>
        <w:pStyle w:val="Pismenka"/>
      </w:pPr>
      <w:r>
        <w:t>(</w:t>
      </w:r>
      <w:r w:rsidR="004D0F84">
        <w:t>k</w:t>
      </w:r>
      <w:r>
        <w:t>)</w:t>
      </w:r>
      <w:r>
        <w:tab/>
        <w:t>Prenájom (lízing)</w:t>
      </w:r>
    </w:p>
    <w:p w14:paraId="2009A30F" w14:textId="6BE6FEFA" w:rsidR="00F402D9" w:rsidRPr="00F402D9" w:rsidRDefault="00F402D9" w:rsidP="00350046">
      <w:pPr>
        <w:pStyle w:val="Pismenka"/>
        <w:rPr>
          <w:b w:val="0"/>
        </w:rPr>
      </w:pPr>
      <w:r>
        <w:rPr>
          <w:b w:val="0"/>
        </w:rPr>
        <w:t xml:space="preserve">         </w:t>
      </w:r>
      <w:r w:rsidRPr="00F402D9">
        <w:rPr>
          <w:b w:val="0"/>
        </w:rPr>
        <w:t>Spoločnosť nemá uzatvorené žiadne leasingové zmluvy</w:t>
      </w:r>
    </w:p>
    <w:p w14:paraId="63DFB7FC" w14:textId="77777777" w:rsidR="00F402D9" w:rsidRDefault="00F402D9" w:rsidP="00350046">
      <w:pPr>
        <w:pStyle w:val="Pismenka"/>
      </w:pPr>
    </w:p>
    <w:p w14:paraId="5602FFDB" w14:textId="4D2A1E78" w:rsidR="00236F0D" w:rsidRDefault="00F402D9" w:rsidP="00236F0D">
      <w:pPr>
        <w:pStyle w:val="Pismenka"/>
      </w:pPr>
      <w:r>
        <w:t xml:space="preserve"> </w:t>
      </w:r>
      <w:r w:rsidR="00236F0D">
        <w:t xml:space="preserve">(l) </w:t>
      </w:r>
      <w:r w:rsidR="00236F0D">
        <w:tab/>
        <w:t>Deriváty</w:t>
      </w:r>
    </w:p>
    <w:p w14:paraId="65A721B6" w14:textId="77777777" w:rsidR="00CA3032" w:rsidRPr="00CA3032" w:rsidRDefault="00CA3032" w:rsidP="00CA3032">
      <w:pPr>
        <w:ind w:left="426"/>
        <w:jc w:val="both"/>
        <w:rPr>
          <w:sz w:val="18"/>
        </w:rPr>
      </w:pPr>
      <w:r w:rsidRPr="00CA3032">
        <w:rPr>
          <w:sz w:val="18"/>
        </w:rPr>
        <w:t xml:space="preserve">Spoločnosť si nezabezpečuje prevádzkové </w:t>
      </w:r>
      <w:proofErr w:type="spellStart"/>
      <w:r w:rsidRPr="00CA3032">
        <w:rPr>
          <w:sz w:val="18"/>
        </w:rPr>
        <w:t>cash</w:t>
      </w:r>
      <w:proofErr w:type="spellEnd"/>
      <w:r w:rsidRPr="00CA3032">
        <w:rPr>
          <w:sz w:val="18"/>
        </w:rPr>
        <w:t xml:space="preserve"> </w:t>
      </w:r>
      <w:proofErr w:type="spellStart"/>
      <w:r w:rsidRPr="00CA3032">
        <w:rPr>
          <w:sz w:val="18"/>
        </w:rPr>
        <w:t>flow</w:t>
      </w:r>
      <w:proofErr w:type="spellEnd"/>
      <w:r w:rsidRPr="00CA3032">
        <w:rPr>
          <w:sz w:val="18"/>
        </w:rPr>
        <w:t xml:space="preserve"> prostredníctvom derivátov.</w:t>
      </w:r>
    </w:p>
    <w:p w14:paraId="268C5DDD" w14:textId="77777777" w:rsidR="00CA3032" w:rsidRPr="00CA3032" w:rsidRDefault="00CA3032" w:rsidP="00236F0D">
      <w:pPr>
        <w:pStyle w:val="Pismenka"/>
        <w:rPr>
          <w:b w:val="0"/>
        </w:rPr>
      </w:pPr>
    </w:p>
    <w:p w14:paraId="5602FFE4" w14:textId="17D0BC0D" w:rsidR="008C288C" w:rsidRDefault="00F402D9" w:rsidP="00236F0D">
      <w:pPr>
        <w:pStyle w:val="Pismenka"/>
      </w:pPr>
      <w:r>
        <w:t xml:space="preserve"> </w:t>
      </w:r>
      <w:r w:rsidR="00236F0D">
        <w:t xml:space="preserve">(m) </w:t>
      </w:r>
      <w:r w:rsidR="00236F0D">
        <w:tab/>
      </w:r>
      <w:r w:rsidR="008C288C">
        <w:t>Cudzia mena</w:t>
      </w:r>
    </w:p>
    <w:p w14:paraId="5602FFE5" w14:textId="77777777" w:rsidR="008C288C" w:rsidRDefault="008C288C" w:rsidP="004159D5">
      <w:pPr>
        <w:pStyle w:val="Zkladntext"/>
      </w:pPr>
      <w:r w:rsidRPr="00194BFD">
        <w:t xml:space="preserve">Majetok a záväzky vyjadrené v cudzej mene sa ku dňu uskutočnenia účtovného prípadu </w:t>
      </w:r>
      <w:r>
        <w:t xml:space="preserve">prepočítavajú na menu euro referenčným výmenným </w:t>
      </w:r>
      <w:r w:rsidRPr="00194BFD">
        <w:t>kurzom</w:t>
      </w:r>
      <w:r>
        <w:t xml:space="preserve"> určeným a vyhláseným Európskou centrálnou bankou alebo Národnou bankou Slovenska v deň predchádzajúci dňu uskutočnenia účtovného prípadu. </w:t>
      </w:r>
    </w:p>
    <w:p w14:paraId="5602FFE6" w14:textId="77777777" w:rsidR="008C288C" w:rsidRDefault="008C288C" w:rsidP="004159D5">
      <w:pPr>
        <w:pStyle w:val="Zkladntext"/>
      </w:pPr>
    </w:p>
    <w:p w14:paraId="5602FFE7" w14:textId="77777777" w:rsidR="008C288C" w:rsidRDefault="008C288C" w:rsidP="004159D5">
      <w:pPr>
        <w:pStyle w:val="Zkladntext"/>
      </w:pPr>
      <w:r w:rsidRPr="00194BFD">
        <w:t>Majetok a záväzky vyjadrené v cudzej mene (</w:t>
      </w:r>
      <w:r>
        <w:t>okrem</w:t>
      </w:r>
      <w:r w:rsidRPr="00194BFD">
        <w:t xml:space="preserve"> prijatých a poskytnutých preddavkov) sa ku dňu, ku ktorému</w:t>
      </w:r>
      <w:r>
        <w:t xml:space="preserve"> sa</w:t>
      </w:r>
      <w:r w:rsidRPr="00194BFD">
        <w:t xml:space="preserve"> zostavuje účtovná závierka</w:t>
      </w:r>
      <w:r>
        <w:t>,</w:t>
      </w:r>
      <w:r w:rsidRPr="00194BFD">
        <w:t xml:space="preserve"> prepočítavajú na </w:t>
      </w:r>
      <w:r>
        <w:t xml:space="preserve">menu euro referenčným výmenným </w:t>
      </w:r>
      <w:r w:rsidRPr="00194BFD">
        <w:t xml:space="preserve">kurzom </w:t>
      </w:r>
      <w:r>
        <w:t>určeným a vyhláseným Európskou centrálnou bankou alebo Národnou bankou Slovenska v deň, ku ktorému sa zostavuje účtovná závierka,</w:t>
      </w:r>
      <w:r w:rsidRPr="00194BFD">
        <w:t xml:space="preserve"> a účtujú sa s vplyvom na výsledok hospodárenia. </w:t>
      </w:r>
    </w:p>
    <w:p w14:paraId="5602FFE8" w14:textId="77777777" w:rsidR="008C288C" w:rsidRDefault="008C288C" w:rsidP="004159D5">
      <w:pPr>
        <w:pStyle w:val="Zkladntext"/>
      </w:pPr>
    </w:p>
    <w:p w14:paraId="5602FFE9" w14:textId="77777777" w:rsidR="008C288C" w:rsidRPr="00194BFD" w:rsidRDefault="008C288C" w:rsidP="004159D5">
      <w:pPr>
        <w:pStyle w:val="Zkladntext"/>
      </w:pPr>
      <w:r>
        <w:t xml:space="preserve">Prijaté a poskytnuté preddavky v cudzej mene sa prepočítavajú na menu euro referenčným výmenným kurzom určeným a vyhláseným Európskou centrálnou bankou alebo Národnou bankou Slovenska v deň predchádzajúci dňu uskutočnenia účtovného prípadu. Ku dňu, ku ktorému sa zostavuje účtovná závierka, sa na menu euro už neprepočítavajú. </w:t>
      </w:r>
    </w:p>
    <w:p w14:paraId="5602FFEA" w14:textId="77777777" w:rsidR="008C288C" w:rsidRDefault="008C288C" w:rsidP="001D4219">
      <w:pPr>
        <w:pStyle w:val="Zkladntext"/>
      </w:pPr>
    </w:p>
    <w:p w14:paraId="5602FFEB" w14:textId="77777777" w:rsidR="008C288C" w:rsidRDefault="008C288C" w:rsidP="00350046">
      <w:pPr>
        <w:pStyle w:val="Pismenka"/>
      </w:pPr>
      <w:r>
        <w:t>(</w:t>
      </w:r>
      <w:r w:rsidR="00236F0D">
        <w:t>n</w:t>
      </w:r>
      <w:r>
        <w:t>)</w:t>
      </w:r>
      <w:r>
        <w:tab/>
        <w:t>Výnosy</w:t>
      </w:r>
    </w:p>
    <w:p w14:paraId="5602FFEC" w14:textId="77777777" w:rsidR="008C288C" w:rsidRDefault="008C288C">
      <w:pPr>
        <w:pStyle w:val="Zkladntext"/>
      </w:pPr>
      <w:r>
        <w:t>Tržby za vlastné výkony a tovar neobsahujú daň z pridanej hodnoty. Sú tiež znížené o zľavy a zrážky (rabaty, bonusy, skontá, dobropisy a pod.) bez ohľadu na to, či zákazník mal vopred na zľavu nárok, alebo či ide o dodatočne uznanú zľavu.</w:t>
      </w:r>
    </w:p>
    <w:p w14:paraId="5602FFED" w14:textId="13FC0799" w:rsidR="008C288C" w:rsidRDefault="008C288C">
      <w:pPr>
        <w:pStyle w:val="Zkladntext"/>
        <w:rPr>
          <w:sz w:val="16"/>
          <w:szCs w:val="16"/>
        </w:rPr>
      </w:pPr>
    </w:p>
    <w:p w14:paraId="6A146B31" w14:textId="77777777" w:rsidR="00391EC0" w:rsidRDefault="00391EC0" w:rsidP="00391EC0">
      <w:pPr>
        <w:pStyle w:val="Zkladntext"/>
        <w:rPr>
          <w:sz w:val="16"/>
          <w:szCs w:val="16"/>
        </w:rPr>
      </w:pPr>
    </w:p>
    <w:p w14:paraId="1AFA6F8A" w14:textId="77777777" w:rsidR="00CA3032" w:rsidRDefault="00CA3032" w:rsidP="00391EC0">
      <w:pPr>
        <w:pStyle w:val="Zkladntext"/>
        <w:rPr>
          <w:sz w:val="16"/>
          <w:szCs w:val="16"/>
        </w:rPr>
      </w:pPr>
    </w:p>
    <w:p w14:paraId="1495CB04" w14:textId="77777777" w:rsidR="00CA3032" w:rsidRDefault="00CA3032" w:rsidP="00391EC0">
      <w:pPr>
        <w:pStyle w:val="Zkladntext"/>
        <w:rPr>
          <w:sz w:val="16"/>
          <w:szCs w:val="16"/>
        </w:rPr>
      </w:pPr>
    </w:p>
    <w:p w14:paraId="41553114" w14:textId="77777777" w:rsidR="00CA3032" w:rsidRPr="00CA3032" w:rsidRDefault="00CA3032" w:rsidP="00CA3032">
      <w:pPr>
        <w:pStyle w:val="Nadpis1"/>
      </w:pPr>
      <w:r w:rsidRPr="00CA3032">
        <w:t>Ostatné informácie</w:t>
      </w:r>
    </w:p>
    <w:p w14:paraId="7C489CA9" w14:textId="77777777" w:rsidR="00CA3032" w:rsidRPr="001D5F78" w:rsidRDefault="00CA3032" w:rsidP="00CA3032">
      <w:pPr>
        <w:pStyle w:val="Zhlav"/>
        <w:numPr>
          <w:ilvl w:val="12"/>
          <w:numId w:val="0"/>
        </w:numPr>
        <w:jc w:val="both"/>
        <w:rPr>
          <w:sz w:val="18"/>
          <w:szCs w:val="18"/>
        </w:rPr>
      </w:pPr>
    </w:p>
    <w:p w14:paraId="08AEFBC7" w14:textId="77777777" w:rsidR="00CA3032" w:rsidRPr="00642281" w:rsidRDefault="00CA3032" w:rsidP="00CA3032">
      <w:pPr>
        <w:keepNext/>
        <w:tabs>
          <w:tab w:val="num" w:pos="426"/>
        </w:tabs>
        <w:ind w:left="360"/>
        <w:contextualSpacing/>
        <w:jc w:val="both"/>
        <w:rPr>
          <w:rFonts w:ascii="FuturaTEE-Demi" w:hAnsi="FuturaTEE-Demi"/>
          <w:b/>
          <w:sz w:val="18"/>
        </w:rPr>
      </w:pPr>
      <w:r w:rsidRPr="00642281">
        <w:rPr>
          <w:rFonts w:ascii="FuturaTEE-Demi" w:hAnsi="FuturaTEE-Demi"/>
          <w:b/>
          <w:sz w:val="18"/>
        </w:rPr>
        <w:t>Informácie  o štruktúre dlhodobého finančného majetku</w:t>
      </w:r>
    </w:p>
    <w:p w14:paraId="3BFDC8DA" w14:textId="77777777" w:rsidR="00CA3032" w:rsidRPr="00EE52CD" w:rsidRDefault="00CA3032" w:rsidP="00CA3032">
      <w:pPr>
        <w:rPr>
          <w:rFonts w:ascii="FuturaTEE-Demi" w:hAnsi="FuturaTEE-Demi" w:cs="FuturaTEE-Demi"/>
          <w:sz w:val="24"/>
          <w:szCs w:val="24"/>
        </w:rPr>
      </w:pPr>
    </w:p>
    <w:p w14:paraId="120F1895" w14:textId="37D2DA15" w:rsidR="00CA3032" w:rsidRPr="00CA3032" w:rsidRDefault="00CA3032" w:rsidP="00CA3032">
      <w:pPr>
        <w:jc w:val="both"/>
        <w:rPr>
          <w:sz w:val="18"/>
        </w:rPr>
      </w:pPr>
      <w:r w:rsidRPr="00D1154C">
        <w:rPr>
          <w:rFonts w:ascii="FuturaTEE-Demi" w:hAnsi="FuturaTEE-Demi"/>
          <w:color w:val="000000" w:themeColor="text1"/>
          <w:sz w:val="18"/>
          <w:szCs w:val="18"/>
        </w:rPr>
        <w:t xml:space="preserve">         </w:t>
      </w:r>
      <w:r w:rsidRPr="00CA3032">
        <w:rPr>
          <w:sz w:val="18"/>
        </w:rPr>
        <w:t>Spoločnosť eviduje k 31.12.201</w:t>
      </w:r>
      <w:r w:rsidR="00D0085E">
        <w:rPr>
          <w:sz w:val="18"/>
        </w:rPr>
        <w:t>8</w:t>
      </w:r>
      <w:r w:rsidRPr="00CA3032">
        <w:rPr>
          <w:sz w:val="18"/>
        </w:rPr>
        <w:t xml:space="preserve">  dlhodobý finančný majetok na účte 061 002 – podiel na spoločnosti </w:t>
      </w:r>
      <w:r w:rsidR="00267F81">
        <w:rPr>
          <w:sz w:val="18"/>
        </w:rPr>
        <w:t xml:space="preserve"> </w:t>
      </w:r>
      <w:proofErr w:type="spellStart"/>
      <w:r w:rsidRPr="00CA3032">
        <w:rPr>
          <w:sz w:val="18"/>
        </w:rPr>
        <w:t>Lu</w:t>
      </w:r>
      <w:proofErr w:type="spellEnd"/>
      <w:r w:rsidRPr="00CA3032">
        <w:rPr>
          <w:sz w:val="18"/>
        </w:rPr>
        <w:t> </w:t>
      </w:r>
      <w:r w:rsidR="00D0723B">
        <w:rPr>
          <w:sz w:val="18"/>
        </w:rPr>
        <w:t xml:space="preserve"> </w:t>
      </w:r>
      <w:proofErr w:type="spellStart"/>
      <w:r w:rsidR="00D0723B">
        <w:rPr>
          <w:sz w:val="18"/>
        </w:rPr>
        <w:t>Minea</w:t>
      </w:r>
      <w:proofErr w:type="spellEnd"/>
      <w:r w:rsidR="00D0723B">
        <w:rPr>
          <w:sz w:val="18"/>
        </w:rPr>
        <w:t xml:space="preserve"> s.r.o.</w:t>
      </w:r>
      <w:r w:rsidRPr="00CA3032">
        <w:rPr>
          <w:sz w:val="18"/>
        </w:rPr>
        <w:t xml:space="preserve">     </w:t>
      </w:r>
      <w:proofErr w:type="spellStart"/>
      <w:r w:rsidR="00D0723B">
        <w:rPr>
          <w:sz w:val="18"/>
        </w:rPr>
        <w:t>Muchova</w:t>
      </w:r>
      <w:proofErr w:type="spellEnd"/>
      <w:r w:rsidR="00D0723B">
        <w:rPr>
          <w:sz w:val="18"/>
        </w:rPr>
        <w:t xml:space="preserve"> 240/6, </w:t>
      </w:r>
      <w:r w:rsidRPr="00CA3032">
        <w:rPr>
          <w:sz w:val="18"/>
        </w:rPr>
        <w:t>Praha</w:t>
      </w:r>
      <w:r w:rsidR="00D0723B">
        <w:rPr>
          <w:sz w:val="18"/>
        </w:rPr>
        <w:t xml:space="preserve"> - </w:t>
      </w:r>
      <w:proofErr w:type="spellStart"/>
      <w:r w:rsidR="00D0723B">
        <w:rPr>
          <w:sz w:val="18"/>
        </w:rPr>
        <w:t>Dejvice</w:t>
      </w:r>
      <w:proofErr w:type="spellEnd"/>
      <w:r w:rsidRPr="00CA3032">
        <w:rPr>
          <w:sz w:val="18"/>
        </w:rPr>
        <w:t xml:space="preserve"> </w:t>
      </w:r>
      <w:r>
        <w:rPr>
          <w:sz w:val="18"/>
        </w:rPr>
        <w:t xml:space="preserve"> </w:t>
      </w:r>
      <w:r w:rsidRPr="00CA3032">
        <w:rPr>
          <w:sz w:val="18"/>
        </w:rPr>
        <w:t>vo výške  1</w:t>
      </w:r>
      <w:r w:rsidR="00D0723B">
        <w:rPr>
          <w:sz w:val="18"/>
        </w:rPr>
        <w:t> </w:t>
      </w:r>
      <w:r w:rsidRPr="00CA3032">
        <w:rPr>
          <w:sz w:val="18"/>
        </w:rPr>
        <w:t>4</w:t>
      </w:r>
      <w:r w:rsidR="00D0085E">
        <w:rPr>
          <w:sz w:val="18"/>
        </w:rPr>
        <w:t>4</w:t>
      </w:r>
      <w:r w:rsidRPr="00CA3032">
        <w:rPr>
          <w:sz w:val="18"/>
        </w:rPr>
        <w:t>0</w:t>
      </w:r>
      <w:r w:rsidR="00D0723B">
        <w:rPr>
          <w:sz w:val="18"/>
        </w:rPr>
        <w:t xml:space="preserve"> </w:t>
      </w:r>
      <w:r w:rsidR="00267F81">
        <w:rPr>
          <w:sz w:val="18"/>
        </w:rPr>
        <w:t>00</w:t>
      </w:r>
      <w:r w:rsidR="009156C4">
        <w:rPr>
          <w:sz w:val="18"/>
        </w:rPr>
        <w:t>3</w:t>
      </w:r>
      <w:r w:rsidR="00267F81">
        <w:rPr>
          <w:sz w:val="18"/>
        </w:rPr>
        <w:t>,00</w:t>
      </w:r>
      <w:r w:rsidRPr="00CA3032">
        <w:rPr>
          <w:sz w:val="18"/>
        </w:rPr>
        <w:t xml:space="preserve"> EUR</w:t>
      </w:r>
    </w:p>
    <w:p w14:paraId="682EC73F" w14:textId="77777777" w:rsidR="00CA3032" w:rsidRPr="00CA3032" w:rsidRDefault="00CA3032" w:rsidP="00CA3032">
      <w:pPr>
        <w:rPr>
          <w:sz w:val="18"/>
        </w:rPr>
      </w:pPr>
    </w:p>
    <w:p w14:paraId="659EA1CA" w14:textId="77777777" w:rsidR="00CA3032" w:rsidRDefault="00CA3032" w:rsidP="00CA3032">
      <w:pPr>
        <w:rPr>
          <w:rFonts w:ascii="FuturaTEE-Demi" w:hAnsi="FuturaTEE-Demi"/>
          <w:sz w:val="18"/>
          <w:szCs w:val="18"/>
        </w:rPr>
      </w:pPr>
    </w:p>
    <w:p w14:paraId="11B19D6D" w14:textId="77777777" w:rsidR="00CA3032" w:rsidRPr="00A943EC" w:rsidRDefault="00CA3032" w:rsidP="00CA3032">
      <w:pPr>
        <w:rPr>
          <w:rFonts w:ascii="FuturaTEE-Demi" w:hAnsi="FuturaTEE-Demi"/>
          <w:b/>
          <w:sz w:val="18"/>
          <w:szCs w:val="18"/>
        </w:rPr>
      </w:pPr>
      <w:r>
        <w:rPr>
          <w:rFonts w:ascii="FuturaTEE-Demi" w:hAnsi="FuturaTEE-Demi"/>
          <w:sz w:val="18"/>
          <w:szCs w:val="18"/>
        </w:rPr>
        <w:t xml:space="preserve">       </w:t>
      </w:r>
      <w:r w:rsidRPr="00A943EC">
        <w:rPr>
          <w:rFonts w:ascii="FuturaTEE-Demi" w:hAnsi="FuturaTEE-Demi"/>
          <w:b/>
          <w:sz w:val="18"/>
          <w:szCs w:val="18"/>
        </w:rPr>
        <w:t>Informácie o rozdelení výsledku hospod</w:t>
      </w:r>
      <w:r>
        <w:rPr>
          <w:rFonts w:ascii="FuturaTEE-Demi" w:hAnsi="FuturaTEE-Demi"/>
          <w:b/>
          <w:sz w:val="18"/>
          <w:szCs w:val="18"/>
        </w:rPr>
        <w:t>á</w:t>
      </w:r>
      <w:r w:rsidRPr="00A943EC">
        <w:rPr>
          <w:rFonts w:ascii="FuturaTEE-Demi" w:hAnsi="FuturaTEE-Demi"/>
          <w:b/>
          <w:sz w:val="18"/>
          <w:szCs w:val="18"/>
        </w:rPr>
        <w:t>renia za účtovné obdobie 2017</w:t>
      </w:r>
    </w:p>
    <w:p w14:paraId="65F1064F" w14:textId="77777777" w:rsidR="00CA3032" w:rsidRPr="00CA3032" w:rsidRDefault="00CA3032" w:rsidP="00CA3032">
      <w:pPr>
        <w:jc w:val="both"/>
        <w:rPr>
          <w:rFonts w:ascii="FuturaTEE-Demi" w:hAnsi="FuturaTEE-Demi"/>
          <w:color w:val="FF0000"/>
          <w:sz w:val="18"/>
          <w:szCs w:val="18"/>
        </w:rPr>
      </w:pPr>
    </w:p>
    <w:p w14:paraId="6A8BE8E0" w14:textId="45C5A17D" w:rsidR="00CA3032" w:rsidRPr="00CA3032" w:rsidRDefault="00CA3032" w:rsidP="00CA3032">
      <w:pPr>
        <w:jc w:val="both"/>
        <w:rPr>
          <w:sz w:val="18"/>
        </w:rPr>
      </w:pPr>
      <w:r w:rsidRPr="00CA3032">
        <w:rPr>
          <w:sz w:val="18"/>
        </w:rPr>
        <w:t>Výsledok hospodárenia za účtovné obdobie roku 201</w:t>
      </w:r>
      <w:r w:rsidR="002D02B1">
        <w:rPr>
          <w:sz w:val="18"/>
        </w:rPr>
        <w:t>7</w:t>
      </w:r>
      <w:r w:rsidRPr="00CA3032">
        <w:rPr>
          <w:sz w:val="18"/>
        </w:rPr>
        <w:t xml:space="preserve"> bol vo výške </w:t>
      </w:r>
      <w:r w:rsidR="002D02B1">
        <w:rPr>
          <w:sz w:val="18"/>
        </w:rPr>
        <w:t>2 530 968</w:t>
      </w:r>
      <w:r w:rsidRPr="00CA3032">
        <w:rPr>
          <w:sz w:val="18"/>
        </w:rPr>
        <w:t xml:space="preserve"> EUR. O jeho rozdelení rozhod</w:t>
      </w:r>
      <w:r w:rsidR="00267F81">
        <w:rPr>
          <w:sz w:val="18"/>
        </w:rPr>
        <w:t>lo</w:t>
      </w:r>
      <w:r w:rsidRPr="00CA3032">
        <w:rPr>
          <w:sz w:val="18"/>
        </w:rPr>
        <w:t xml:space="preserve"> valné </w:t>
      </w:r>
      <w:r>
        <w:rPr>
          <w:sz w:val="18"/>
        </w:rPr>
        <w:t xml:space="preserve">     </w:t>
      </w:r>
      <w:r w:rsidRPr="00CA3032">
        <w:rPr>
          <w:sz w:val="18"/>
        </w:rPr>
        <w:t>zhromaždenie. Návrh štatutárneho orgánu valnému zhromaždeniu je:  pokrytie strát minulých rokov</w:t>
      </w:r>
    </w:p>
    <w:p w14:paraId="1471D3F6" w14:textId="77777777" w:rsidR="00CA3032" w:rsidRDefault="00CA3032" w:rsidP="00CA3032">
      <w:pPr>
        <w:jc w:val="both"/>
        <w:rPr>
          <w:rFonts w:ascii="FuturaTEE-Demi" w:hAnsi="FuturaTEE-Demi"/>
          <w:b/>
          <w:color w:val="000000" w:themeColor="text1"/>
          <w:sz w:val="18"/>
          <w:szCs w:val="18"/>
        </w:rPr>
      </w:pPr>
    </w:p>
    <w:p w14:paraId="6DDD3E22" w14:textId="77777777" w:rsidR="00CA3032" w:rsidRDefault="00CA3032" w:rsidP="00CA3032">
      <w:pPr>
        <w:rPr>
          <w:rFonts w:ascii="FuturaTEE-Demi" w:hAnsi="FuturaTEE-Demi"/>
          <w:b/>
          <w:color w:val="000000" w:themeColor="text1"/>
          <w:sz w:val="18"/>
          <w:szCs w:val="18"/>
        </w:rPr>
      </w:pPr>
    </w:p>
    <w:p w14:paraId="5BA5A047" w14:textId="01691E05" w:rsidR="00CA3032" w:rsidRDefault="00CA3032" w:rsidP="00CA3032">
      <w:pPr>
        <w:pStyle w:val="Nadpis1"/>
      </w:pPr>
      <w:r w:rsidRPr="00A943EC">
        <w:t xml:space="preserve">  INFORM</w:t>
      </w:r>
      <w:r>
        <w:t>Á</w:t>
      </w:r>
      <w:r w:rsidRPr="00A943EC">
        <w:t>CIE O VLASTNOM IMAN</w:t>
      </w:r>
      <w:r>
        <w:t>Í</w:t>
      </w:r>
    </w:p>
    <w:p w14:paraId="7C029C6E" w14:textId="77777777" w:rsidR="00CA3032" w:rsidRDefault="00CA3032" w:rsidP="00CA3032">
      <w:pPr>
        <w:rPr>
          <w:rFonts w:ascii="FuturaTEE-Demi" w:hAnsi="FuturaTEE-Demi"/>
          <w:b/>
          <w:color w:val="000000" w:themeColor="text1"/>
          <w:sz w:val="18"/>
          <w:szCs w:val="18"/>
        </w:rPr>
      </w:pPr>
    </w:p>
    <w:p w14:paraId="0B382399" w14:textId="3B1DF0C1" w:rsidR="00CA3032" w:rsidRPr="00CA3032" w:rsidRDefault="00CA3032" w:rsidP="00CA3032">
      <w:pPr>
        <w:jc w:val="both"/>
        <w:rPr>
          <w:sz w:val="18"/>
        </w:rPr>
      </w:pPr>
      <w:r w:rsidRPr="00CA3032">
        <w:rPr>
          <w:sz w:val="18"/>
        </w:rPr>
        <w:t>Spoločnosť vykazuje k 31.12.201</w:t>
      </w:r>
      <w:r w:rsidR="00377AB3">
        <w:rPr>
          <w:sz w:val="18"/>
        </w:rPr>
        <w:t>8</w:t>
      </w:r>
      <w:r w:rsidRPr="00CA3032">
        <w:rPr>
          <w:sz w:val="18"/>
        </w:rPr>
        <w:t xml:space="preserve"> </w:t>
      </w:r>
      <w:r w:rsidR="007571A7">
        <w:rPr>
          <w:sz w:val="18"/>
        </w:rPr>
        <w:t>výšku vlastného imania 1 458 017 EUR. Navýšení oproti roku 2017 je o 3 020 991 EUR.</w:t>
      </w:r>
    </w:p>
    <w:p w14:paraId="03BA4CF9" w14:textId="7415F649" w:rsidR="00CA3032" w:rsidRDefault="00CA3032" w:rsidP="007571A7">
      <w:pPr>
        <w:jc w:val="both"/>
        <w:rPr>
          <w:rFonts w:ascii="FuturaTEE-Demi" w:hAnsi="FuturaTEE-Demi"/>
          <w:b/>
          <w:color w:val="000000" w:themeColor="text1"/>
          <w:sz w:val="18"/>
          <w:szCs w:val="18"/>
        </w:rPr>
      </w:pPr>
    </w:p>
    <w:p w14:paraId="1FBF66B1" w14:textId="77777777" w:rsidR="007571A7" w:rsidRDefault="007571A7" w:rsidP="007571A7">
      <w:pPr>
        <w:pStyle w:val="Nadpis1"/>
        <w:numPr>
          <w:ilvl w:val="0"/>
          <w:numId w:val="0"/>
        </w:numPr>
      </w:pPr>
    </w:p>
    <w:p w14:paraId="1D279C44" w14:textId="0889323B" w:rsidR="00CA3032" w:rsidRDefault="007571A7" w:rsidP="007571A7">
      <w:pPr>
        <w:pStyle w:val="Nadpis1"/>
        <w:numPr>
          <w:ilvl w:val="0"/>
          <w:numId w:val="0"/>
        </w:numPr>
      </w:pPr>
      <w:r>
        <w:t>H.    I</w:t>
      </w:r>
      <w:r w:rsidR="00CA3032">
        <w:t>NFORMÁCIE O BUDÚCOM  VÝVOJI PODNIKATEĽSKÝCH AKTIVÍT SPOLOČNOSTI</w:t>
      </w:r>
    </w:p>
    <w:p w14:paraId="4729B2A2" w14:textId="77777777" w:rsidR="00CF6AB7" w:rsidRPr="00CF6AB7" w:rsidRDefault="00CF6AB7" w:rsidP="00CF6AB7"/>
    <w:p w14:paraId="64C4297C" w14:textId="17F69767" w:rsidR="00191993" w:rsidRPr="001F5A32" w:rsidRDefault="00191993" w:rsidP="00191993">
      <w:pPr>
        <w:jc w:val="both"/>
        <w:rPr>
          <w:sz w:val="18"/>
        </w:rPr>
      </w:pPr>
      <w:r w:rsidRPr="001F5A32">
        <w:rPr>
          <w:sz w:val="18"/>
        </w:rPr>
        <w:t xml:space="preserve">Slovak </w:t>
      </w:r>
      <w:proofErr w:type="spellStart"/>
      <w:r w:rsidRPr="001F5A32">
        <w:rPr>
          <w:sz w:val="18"/>
        </w:rPr>
        <w:t>Games</w:t>
      </w:r>
      <w:proofErr w:type="spellEnd"/>
      <w:r w:rsidRPr="001F5A32">
        <w:rPr>
          <w:sz w:val="18"/>
        </w:rPr>
        <w:t xml:space="preserve"> s.</w:t>
      </w:r>
      <w:r w:rsidR="00CE1BC3" w:rsidRPr="001F5A32">
        <w:rPr>
          <w:sz w:val="18"/>
        </w:rPr>
        <w:t xml:space="preserve"> </w:t>
      </w:r>
      <w:r w:rsidRPr="001F5A32">
        <w:rPr>
          <w:sz w:val="18"/>
        </w:rPr>
        <w:t>r.</w:t>
      </w:r>
      <w:r w:rsidR="00CE1BC3" w:rsidRPr="001F5A32">
        <w:rPr>
          <w:sz w:val="18"/>
        </w:rPr>
        <w:t xml:space="preserve"> </w:t>
      </w:r>
      <w:r w:rsidRPr="001F5A32">
        <w:rPr>
          <w:sz w:val="18"/>
        </w:rPr>
        <w:t>o</w:t>
      </w:r>
      <w:r w:rsidR="00CE1BC3" w:rsidRPr="001F5A32">
        <w:rPr>
          <w:sz w:val="18"/>
        </w:rPr>
        <w:t>.</w:t>
      </w:r>
      <w:r w:rsidRPr="001F5A32">
        <w:rPr>
          <w:sz w:val="18"/>
        </w:rPr>
        <w:t xml:space="preserve"> </w:t>
      </w:r>
      <w:r w:rsidR="00B9431E" w:rsidRPr="001F5A32">
        <w:rPr>
          <w:sz w:val="18"/>
        </w:rPr>
        <w:t>so</w:t>
      </w:r>
      <w:r w:rsidRPr="001F5A32">
        <w:rPr>
          <w:sz w:val="18"/>
        </w:rPr>
        <w:t xml:space="preserve"> sídl</w:t>
      </w:r>
      <w:r w:rsidR="00B9431E" w:rsidRPr="001F5A32">
        <w:rPr>
          <w:sz w:val="18"/>
        </w:rPr>
        <w:t>o</w:t>
      </w:r>
      <w:r w:rsidRPr="001F5A32">
        <w:rPr>
          <w:sz w:val="18"/>
        </w:rPr>
        <w:t>m v Bratislav</w:t>
      </w:r>
      <w:r w:rsidR="00B9431E" w:rsidRPr="001F5A32">
        <w:rPr>
          <w:sz w:val="18"/>
        </w:rPr>
        <w:t>e</w:t>
      </w:r>
      <w:r w:rsidRPr="001F5A32">
        <w:rPr>
          <w:sz w:val="18"/>
        </w:rPr>
        <w:t xml:space="preserve">, </w:t>
      </w:r>
      <w:proofErr w:type="spellStart"/>
      <w:r w:rsidRPr="001F5A32">
        <w:rPr>
          <w:sz w:val="18"/>
        </w:rPr>
        <w:t>Gajova</w:t>
      </w:r>
      <w:proofErr w:type="spellEnd"/>
      <w:r w:rsidRPr="001F5A32">
        <w:rPr>
          <w:sz w:val="18"/>
        </w:rPr>
        <w:t xml:space="preserve"> 11</w:t>
      </w:r>
      <w:r w:rsidR="00282203" w:rsidRPr="001F5A32">
        <w:rPr>
          <w:sz w:val="18"/>
        </w:rPr>
        <w:t>,</w:t>
      </w:r>
      <w:r w:rsidRPr="001F5A32">
        <w:rPr>
          <w:sz w:val="18"/>
        </w:rPr>
        <w:t xml:space="preserve"> dos</w:t>
      </w:r>
      <w:r w:rsidR="00B9431E" w:rsidRPr="001F5A32">
        <w:rPr>
          <w:sz w:val="18"/>
        </w:rPr>
        <w:t>ia</w:t>
      </w:r>
      <w:r w:rsidRPr="001F5A32">
        <w:rPr>
          <w:sz w:val="18"/>
        </w:rPr>
        <w:t>hla v ro</w:t>
      </w:r>
      <w:r w:rsidR="00B9431E" w:rsidRPr="001F5A32">
        <w:rPr>
          <w:sz w:val="18"/>
        </w:rPr>
        <w:t>ku</w:t>
      </w:r>
      <w:r w:rsidRPr="001F5A32">
        <w:rPr>
          <w:sz w:val="18"/>
        </w:rPr>
        <w:t xml:space="preserve"> 2018 ve</w:t>
      </w:r>
      <w:r w:rsidR="00B9431E" w:rsidRPr="001F5A32">
        <w:rPr>
          <w:sz w:val="18"/>
        </w:rPr>
        <w:t>ľ</w:t>
      </w:r>
      <w:r w:rsidRPr="001F5A32">
        <w:rPr>
          <w:sz w:val="18"/>
        </w:rPr>
        <w:t>mi dobr</w:t>
      </w:r>
      <w:r w:rsidR="00B9431E" w:rsidRPr="001F5A32">
        <w:rPr>
          <w:sz w:val="18"/>
        </w:rPr>
        <w:t>ý</w:t>
      </w:r>
      <w:r w:rsidRPr="001F5A32">
        <w:rPr>
          <w:sz w:val="18"/>
        </w:rPr>
        <w:t xml:space="preserve"> hospodá</w:t>
      </w:r>
      <w:r w:rsidR="00B9431E" w:rsidRPr="001F5A32">
        <w:rPr>
          <w:sz w:val="18"/>
        </w:rPr>
        <w:t>r</w:t>
      </w:r>
      <w:r w:rsidRPr="001F5A32">
        <w:rPr>
          <w:sz w:val="18"/>
        </w:rPr>
        <w:t>sk</w:t>
      </w:r>
      <w:r w:rsidR="00B9431E" w:rsidRPr="001F5A32">
        <w:rPr>
          <w:sz w:val="18"/>
        </w:rPr>
        <w:t>y</w:t>
      </w:r>
      <w:r w:rsidRPr="001F5A32">
        <w:rPr>
          <w:sz w:val="18"/>
        </w:rPr>
        <w:t xml:space="preserve"> výsled</w:t>
      </w:r>
      <w:r w:rsidR="00B9431E" w:rsidRPr="001F5A32">
        <w:rPr>
          <w:sz w:val="18"/>
        </w:rPr>
        <w:t>o</w:t>
      </w:r>
      <w:r w:rsidRPr="001F5A32">
        <w:rPr>
          <w:sz w:val="18"/>
        </w:rPr>
        <w:t xml:space="preserve">k </w:t>
      </w:r>
      <w:r w:rsidR="00B9431E" w:rsidRPr="001F5A32">
        <w:rPr>
          <w:sz w:val="18"/>
        </w:rPr>
        <w:t>aj napriek</w:t>
      </w:r>
      <w:r w:rsidRPr="001F5A32">
        <w:rPr>
          <w:sz w:val="18"/>
        </w:rPr>
        <w:t xml:space="preserve"> skut</w:t>
      </w:r>
      <w:r w:rsidR="00B9431E" w:rsidRPr="001F5A32">
        <w:rPr>
          <w:sz w:val="18"/>
        </w:rPr>
        <w:t>o</w:t>
      </w:r>
      <w:r w:rsidRPr="001F5A32">
        <w:rPr>
          <w:sz w:val="18"/>
        </w:rPr>
        <w:t>čnost</w:t>
      </w:r>
      <w:r w:rsidR="00B9431E" w:rsidRPr="001F5A32">
        <w:rPr>
          <w:sz w:val="18"/>
        </w:rPr>
        <w:t>i</w:t>
      </w:r>
      <w:r w:rsidRPr="001F5A32">
        <w:rPr>
          <w:sz w:val="18"/>
        </w:rPr>
        <w:t>, že v období od 16.6. do 4.7. m</w:t>
      </w:r>
      <w:r w:rsidR="00B9431E" w:rsidRPr="001F5A32">
        <w:rPr>
          <w:sz w:val="18"/>
        </w:rPr>
        <w:t>a</w:t>
      </w:r>
      <w:r w:rsidRPr="001F5A32">
        <w:rPr>
          <w:sz w:val="18"/>
        </w:rPr>
        <w:t xml:space="preserve">la </w:t>
      </w:r>
      <w:r w:rsidR="00B9431E" w:rsidRPr="001F5A32">
        <w:rPr>
          <w:sz w:val="18"/>
        </w:rPr>
        <w:t>v dôsledku</w:t>
      </w:r>
      <w:r w:rsidRPr="001F5A32">
        <w:rPr>
          <w:sz w:val="18"/>
        </w:rPr>
        <w:t xml:space="preserve"> VZN v Bratislav</w:t>
      </w:r>
      <w:r w:rsidR="00B9431E" w:rsidRPr="001F5A32">
        <w:rPr>
          <w:sz w:val="18"/>
        </w:rPr>
        <w:t>e</w:t>
      </w:r>
      <w:r w:rsidRPr="001F5A32">
        <w:rPr>
          <w:sz w:val="18"/>
        </w:rPr>
        <w:t xml:space="preserve"> za</w:t>
      </w:r>
      <w:r w:rsidR="00B9431E" w:rsidRPr="001F5A32">
        <w:rPr>
          <w:sz w:val="18"/>
        </w:rPr>
        <w:t>t</w:t>
      </w:r>
      <w:r w:rsidRPr="001F5A32">
        <w:rPr>
          <w:sz w:val="18"/>
        </w:rPr>
        <w:t>v</w:t>
      </w:r>
      <w:r w:rsidR="00B9431E" w:rsidRPr="001F5A32">
        <w:rPr>
          <w:sz w:val="18"/>
        </w:rPr>
        <w:t>orené</w:t>
      </w:r>
      <w:r w:rsidRPr="001F5A32">
        <w:rPr>
          <w:sz w:val="18"/>
        </w:rPr>
        <w:t xml:space="preserve"> 18 d</w:t>
      </w:r>
      <w:r w:rsidR="00B9431E" w:rsidRPr="001F5A32">
        <w:rPr>
          <w:sz w:val="18"/>
        </w:rPr>
        <w:t>ní</w:t>
      </w:r>
      <w:r w:rsidRPr="001F5A32">
        <w:rPr>
          <w:sz w:val="18"/>
        </w:rPr>
        <w:t xml:space="preserve"> 11 hern</w:t>
      </w:r>
      <w:r w:rsidR="00B9431E" w:rsidRPr="001F5A32">
        <w:rPr>
          <w:sz w:val="18"/>
        </w:rPr>
        <w:t>í</w:t>
      </w:r>
      <w:r w:rsidRPr="001F5A32">
        <w:rPr>
          <w:sz w:val="18"/>
        </w:rPr>
        <w:t xml:space="preserve"> a došlo k</w:t>
      </w:r>
      <w:r w:rsidR="007A6DE4" w:rsidRPr="001F5A32">
        <w:rPr>
          <w:sz w:val="18"/>
        </w:rPr>
        <w:t> </w:t>
      </w:r>
      <w:r w:rsidR="00B9431E" w:rsidRPr="001F5A32">
        <w:rPr>
          <w:sz w:val="18"/>
        </w:rPr>
        <w:t>s</w:t>
      </w:r>
      <w:r w:rsidRPr="001F5A32">
        <w:rPr>
          <w:sz w:val="18"/>
        </w:rPr>
        <w:t>tr</w:t>
      </w:r>
      <w:r w:rsidR="00B9431E" w:rsidRPr="001F5A32">
        <w:rPr>
          <w:sz w:val="18"/>
        </w:rPr>
        <w:t>a</w:t>
      </w:r>
      <w:r w:rsidRPr="001F5A32">
        <w:rPr>
          <w:sz w:val="18"/>
        </w:rPr>
        <w:t>t</w:t>
      </w:r>
      <w:r w:rsidR="00B9431E" w:rsidRPr="001F5A32">
        <w:rPr>
          <w:sz w:val="18"/>
        </w:rPr>
        <w:t>e</w:t>
      </w:r>
      <w:r w:rsidR="007A6DE4" w:rsidRPr="001F5A32">
        <w:rPr>
          <w:sz w:val="18"/>
        </w:rPr>
        <w:t>,</w:t>
      </w:r>
      <w:r w:rsidRPr="001F5A32">
        <w:rPr>
          <w:sz w:val="18"/>
        </w:rPr>
        <w:t xml:space="preserve"> kt</w:t>
      </w:r>
      <w:r w:rsidR="00B9431E" w:rsidRPr="001F5A32">
        <w:rPr>
          <w:sz w:val="18"/>
        </w:rPr>
        <w:t>o</w:t>
      </w:r>
      <w:r w:rsidRPr="001F5A32">
        <w:rPr>
          <w:sz w:val="18"/>
        </w:rPr>
        <w:t>rá je odhadnut</w:t>
      </w:r>
      <w:r w:rsidR="00B9431E" w:rsidRPr="001F5A32">
        <w:rPr>
          <w:sz w:val="18"/>
        </w:rPr>
        <w:t>á</w:t>
      </w:r>
      <w:r w:rsidRPr="001F5A32">
        <w:rPr>
          <w:sz w:val="18"/>
        </w:rPr>
        <w:t xml:space="preserve"> na n</w:t>
      </w:r>
      <w:r w:rsidR="00B9431E" w:rsidRPr="001F5A32">
        <w:rPr>
          <w:sz w:val="18"/>
        </w:rPr>
        <w:t>a</w:t>
      </w:r>
      <w:r w:rsidRPr="001F5A32">
        <w:rPr>
          <w:sz w:val="18"/>
        </w:rPr>
        <w:t>jm</w:t>
      </w:r>
      <w:r w:rsidR="00B9431E" w:rsidRPr="001F5A32">
        <w:rPr>
          <w:sz w:val="18"/>
        </w:rPr>
        <w:t>e</w:t>
      </w:r>
      <w:r w:rsidRPr="001F5A32">
        <w:rPr>
          <w:sz w:val="18"/>
        </w:rPr>
        <w:t>n</w:t>
      </w:r>
      <w:r w:rsidR="00B9431E" w:rsidRPr="001F5A32">
        <w:rPr>
          <w:sz w:val="18"/>
        </w:rPr>
        <w:t>ej</w:t>
      </w:r>
      <w:r w:rsidRPr="001F5A32">
        <w:rPr>
          <w:sz w:val="18"/>
        </w:rPr>
        <w:t xml:space="preserve"> 430.000 </w:t>
      </w:r>
      <w:r w:rsidR="00282203" w:rsidRPr="001F5A32">
        <w:rPr>
          <w:sz w:val="18"/>
        </w:rPr>
        <w:t>EUR</w:t>
      </w:r>
      <w:r w:rsidRPr="001F5A32">
        <w:rPr>
          <w:sz w:val="18"/>
        </w:rPr>
        <w:t>. Bohuž</w:t>
      </w:r>
      <w:r w:rsidR="00B9431E" w:rsidRPr="001F5A32">
        <w:rPr>
          <w:sz w:val="18"/>
        </w:rPr>
        <w:t>iaľ</w:t>
      </w:r>
      <w:r w:rsidRPr="001F5A32">
        <w:rPr>
          <w:sz w:val="18"/>
        </w:rPr>
        <w:t xml:space="preserve"> od 1.</w:t>
      </w:r>
      <w:r w:rsidR="00B9431E" w:rsidRPr="001F5A32">
        <w:rPr>
          <w:sz w:val="18"/>
        </w:rPr>
        <w:t xml:space="preserve"> </w:t>
      </w:r>
      <w:r w:rsidRPr="001F5A32">
        <w:rPr>
          <w:sz w:val="18"/>
        </w:rPr>
        <w:t>1.</w:t>
      </w:r>
      <w:r w:rsidR="00B9431E" w:rsidRPr="001F5A32">
        <w:rPr>
          <w:sz w:val="18"/>
        </w:rPr>
        <w:t xml:space="preserve"> </w:t>
      </w:r>
      <w:r w:rsidRPr="001F5A32">
        <w:rPr>
          <w:sz w:val="18"/>
        </w:rPr>
        <w:t xml:space="preserve">2019 </w:t>
      </w:r>
      <w:r w:rsidR="00B9431E" w:rsidRPr="001F5A32">
        <w:rPr>
          <w:sz w:val="18"/>
        </w:rPr>
        <w:t xml:space="preserve">vstúpilo do </w:t>
      </w:r>
      <w:r w:rsidRPr="001F5A32">
        <w:rPr>
          <w:sz w:val="18"/>
        </w:rPr>
        <w:t>platnost</w:t>
      </w:r>
      <w:r w:rsidR="00B9431E" w:rsidRPr="001F5A32">
        <w:rPr>
          <w:sz w:val="18"/>
        </w:rPr>
        <w:t>i</w:t>
      </w:r>
      <w:r w:rsidRPr="001F5A32">
        <w:rPr>
          <w:sz w:val="18"/>
        </w:rPr>
        <w:t xml:space="preserve"> zákonné na</w:t>
      </w:r>
      <w:r w:rsidR="00B9431E" w:rsidRPr="001F5A32">
        <w:rPr>
          <w:sz w:val="18"/>
        </w:rPr>
        <w:t>riadenie</w:t>
      </w:r>
      <w:r w:rsidRPr="001F5A32">
        <w:rPr>
          <w:sz w:val="18"/>
        </w:rPr>
        <w:t xml:space="preserve"> o</w:t>
      </w:r>
      <w:r w:rsidR="00B9431E" w:rsidRPr="001F5A32">
        <w:rPr>
          <w:sz w:val="18"/>
        </w:rPr>
        <w:t xml:space="preserve"> </w:t>
      </w:r>
      <w:r w:rsidRPr="001F5A32">
        <w:rPr>
          <w:sz w:val="18"/>
        </w:rPr>
        <w:t>kontrole os</w:t>
      </w:r>
      <w:r w:rsidR="00B9431E" w:rsidRPr="001F5A32">
        <w:rPr>
          <w:sz w:val="18"/>
        </w:rPr>
        <w:t>ô</w:t>
      </w:r>
      <w:r w:rsidRPr="001F5A32">
        <w:rPr>
          <w:sz w:val="18"/>
        </w:rPr>
        <w:t>b, vstupuj</w:t>
      </w:r>
      <w:r w:rsidR="00B9431E" w:rsidRPr="001F5A32">
        <w:rPr>
          <w:sz w:val="18"/>
        </w:rPr>
        <w:t>ú</w:t>
      </w:r>
      <w:r w:rsidRPr="001F5A32">
        <w:rPr>
          <w:sz w:val="18"/>
        </w:rPr>
        <w:t>c</w:t>
      </w:r>
      <w:r w:rsidR="00B9431E" w:rsidRPr="001F5A32">
        <w:rPr>
          <w:sz w:val="18"/>
        </w:rPr>
        <w:t>i</w:t>
      </w:r>
      <w:r w:rsidRPr="001F5A32">
        <w:rPr>
          <w:sz w:val="18"/>
        </w:rPr>
        <w:t>ch do hern</w:t>
      </w:r>
      <w:r w:rsidR="00B9431E" w:rsidRPr="001F5A32">
        <w:rPr>
          <w:sz w:val="18"/>
        </w:rPr>
        <w:t>í</w:t>
      </w:r>
      <w:r w:rsidRPr="001F5A32">
        <w:rPr>
          <w:sz w:val="18"/>
        </w:rPr>
        <w:t xml:space="preserve">, </w:t>
      </w:r>
      <w:r w:rsidR="00B9431E" w:rsidRPr="001F5A32">
        <w:rPr>
          <w:sz w:val="18"/>
        </w:rPr>
        <w:t>či</w:t>
      </w:r>
      <w:r w:rsidRPr="001F5A32">
        <w:rPr>
          <w:sz w:val="18"/>
        </w:rPr>
        <w:t xml:space="preserve"> n</w:t>
      </w:r>
      <w:r w:rsidR="00B9431E" w:rsidRPr="001F5A32">
        <w:rPr>
          <w:sz w:val="18"/>
        </w:rPr>
        <w:t>i</w:t>
      </w:r>
      <w:r w:rsidRPr="001F5A32">
        <w:rPr>
          <w:sz w:val="18"/>
        </w:rPr>
        <w:t>e</w:t>
      </w:r>
      <w:r w:rsidR="00B9431E" w:rsidRPr="001F5A32">
        <w:rPr>
          <w:sz w:val="18"/>
        </w:rPr>
        <w:t xml:space="preserve"> </w:t>
      </w:r>
      <w:r w:rsidRPr="001F5A32">
        <w:rPr>
          <w:sz w:val="18"/>
        </w:rPr>
        <w:t>s</w:t>
      </w:r>
      <w:r w:rsidR="00B9431E" w:rsidRPr="001F5A32">
        <w:rPr>
          <w:sz w:val="18"/>
        </w:rPr>
        <w:t>ú</w:t>
      </w:r>
      <w:r w:rsidRPr="001F5A32">
        <w:rPr>
          <w:sz w:val="18"/>
        </w:rPr>
        <w:t xml:space="preserve"> v tzv. „Re</w:t>
      </w:r>
      <w:r w:rsidR="00B9431E" w:rsidRPr="001F5A32">
        <w:rPr>
          <w:sz w:val="18"/>
        </w:rPr>
        <w:t>gistri</w:t>
      </w:r>
      <w:r w:rsidRPr="001F5A32">
        <w:rPr>
          <w:sz w:val="18"/>
        </w:rPr>
        <w:t xml:space="preserve"> vyl</w:t>
      </w:r>
      <w:r w:rsidR="00B9431E" w:rsidRPr="001F5A32">
        <w:rPr>
          <w:sz w:val="18"/>
        </w:rPr>
        <w:t>ú</w:t>
      </w:r>
      <w:r w:rsidRPr="001F5A32">
        <w:rPr>
          <w:sz w:val="18"/>
        </w:rPr>
        <w:t>čených os</w:t>
      </w:r>
      <w:r w:rsidR="00B9431E" w:rsidRPr="001F5A32">
        <w:rPr>
          <w:sz w:val="18"/>
        </w:rPr>
        <w:t>ô</w:t>
      </w:r>
      <w:r w:rsidRPr="001F5A32">
        <w:rPr>
          <w:sz w:val="18"/>
        </w:rPr>
        <w:t xml:space="preserve">b“. </w:t>
      </w:r>
      <w:r w:rsidR="00B9431E" w:rsidRPr="001F5A32">
        <w:rPr>
          <w:sz w:val="18"/>
        </w:rPr>
        <w:t>U</w:t>
      </w:r>
      <w:r w:rsidRPr="001F5A32">
        <w:rPr>
          <w:sz w:val="18"/>
        </w:rPr>
        <w:t>ž v </w:t>
      </w:r>
      <w:r w:rsidR="00B9431E" w:rsidRPr="001F5A32">
        <w:rPr>
          <w:sz w:val="18"/>
        </w:rPr>
        <w:t>januári</w:t>
      </w:r>
      <w:r w:rsidRPr="001F5A32">
        <w:rPr>
          <w:sz w:val="18"/>
        </w:rPr>
        <w:t xml:space="preserve"> a </w:t>
      </w:r>
      <w:r w:rsidR="00B9431E" w:rsidRPr="001F5A32">
        <w:rPr>
          <w:sz w:val="18"/>
        </w:rPr>
        <w:t>februári</w:t>
      </w:r>
      <w:r w:rsidRPr="001F5A32">
        <w:rPr>
          <w:sz w:val="18"/>
        </w:rPr>
        <w:t xml:space="preserve"> došlo k poklesu s</w:t>
      </w:r>
      <w:r w:rsidR="00B9431E" w:rsidRPr="001F5A32">
        <w:rPr>
          <w:sz w:val="18"/>
        </w:rPr>
        <w:t>t</w:t>
      </w:r>
      <w:r w:rsidRPr="001F5A32">
        <w:rPr>
          <w:sz w:val="18"/>
        </w:rPr>
        <w:t>á</w:t>
      </w:r>
      <w:r w:rsidR="00B9431E" w:rsidRPr="001F5A32">
        <w:rPr>
          <w:sz w:val="18"/>
        </w:rPr>
        <w:t>vok</w:t>
      </w:r>
      <w:r w:rsidRPr="001F5A32">
        <w:rPr>
          <w:sz w:val="18"/>
        </w:rPr>
        <w:t xml:space="preserve"> o 25% </w:t>
      </w:r>
      <w:r w:rsidR="00B9431E" w:rsidRPr="001F5A32">
        <w:rPr>
          <w:sz w:val="18"/>
        </w:rPr>
        <w:t>o</w:t>
      </w:r>
      <w:r w:rsidRPr="001F5A32">
        <w:rPr>
          <w:sz w:val="18"/>
        </w:rPr>
        <w:t>proti pr</w:t>
      </w:r>
      <w:r w:rsidR="00B9431E" w:rsidRPr="001F5A32">
        <w:rPr>
          <w:sz w:val="18"/>
        </w:rPr>
        <w:t>ie</w:t>
      </w:r>
      <w:r w:rsidRPr="001F5A32">
        <w:rPr>
          <w:sz w:val="18"/>
        </w:rPr>
        <w:t>m</w:t>
      </w:r>
      <w:r w:rsidR="00B9431E" w:rsidRPr="001F5A32">
        <w:rPr>
          <w:sz w:val="18"/>
        </w:rPr>
        <w:t>e</w:t>
      </w:r>
      <w:r w:rsidRPr="001F5A32">
        <w:rPr>
          <w:sz w:val="18"/>
        </w:rPr>
        <w:t>rným s</w:t>
      </w:r>
      <w:r w:rsidR="00B9431E" w:rsidRPr="001F5A32">
        <w:rPr>
          <w:sz w:val="18"/>
        </w:rPr>
        <w:t>t</w:t>
      </w:r>
      <w:r w:rsidRPr="001F5A32">
        <w:rPr>
          <w:sz w:val="18"/>
        </w:rPr>
        <w:t>á</w:t>
      </w:r>
      <w:r w:rsidR="00B9431E" w:rsidRPr="001F5A32">
        <w:rPr>
          <w:sz w:val="18"/>
        </w:rPr>
        <w:t>v</w:t>
      </w:r>
      <w:r w:rsidRPr="001F5A32">
        <w:rPr>
          <w:sz w:val="18"/>
        </w:rPr>
        <w:t>k</w:t>
      </w:r>
      <w:r w:rsidR="00B9431E" w:rsidRPr="001F5A32">
        <w:rPr>
          <w:sz w:val="18"/>
        </w:rPr>
        <w:t>a</w:t>
      </w:r>
      <w:r w:rsidRPr="001F5A32">
        <w:rPr>
          <w:sz w:val="18"/>
        </w:rPr>
        <w:t>m v ro</w:t>
      </w:r>
      <w:r w:rsidR="00B9431E" w:rsidRPr="001F5A32">
        <w:rPr>
          <w:sz w:val="18"/>
        </w:rPr>
        <w:t>ku</w:t>
      </w:r>
      <w:r w:rsidRPr="001F5A32">
        <w:rPr>
          <w:sz w:val="18"/>
        </w:rPr>
        <w:t xml:space="preserve"> 2018 a k poklesu zisku o 50% </w:t>
      </w:r>
      <w:r w:rsidR="00CE1BC3" w:rsidRPr="001F5A32">
        <w:rPr>
          <w:sz w:val="18"/>
        </w:rPr>
        <w:t>o</w:t>
      </w:r>
      <w:r w:rsidRPr="001F5A32">
        <w:rPr>
          <w:sz w:val="18"/>
        </w:rPr>
        <w:t>proti dosahovaným m</w:t>
      </w:r>
      <w:r w:rsidR="00CE1BC3" w:rsidRPr="001F5A32">
        <w:rPr>
          <w:sz w:val="18"/>
        </w:rPr>
        <w:t>e</w:t>
      </w:r>
      <w:r w:rsidRPr="001F5A32">
        <w:rPr>
          <w:sz w:val="18"/>
        </w:rPr>
        <w:t>s</w:t>
      </w:r>
      <w:r w:rsidR="00CE1BC3" w:rsidRPr="001F5A32">
        <w:rPr>
          <w:sz w:val="18"/>
        </w:rPr>
        <w:t>a</w:t>
      </w:r>
      <w:r w:rsidRPr="001F5A32">
        <w:rPr>
          <w:sz w:val="18"/>
        </w:rPr>
        <w:t>čn</w:t>
      </w:r>
      <w:r w:rsidR="00CE1BC3" w:rsidRPr="001F5A32">
        <w:rPr>
          <w:sz w:val="18"/>
        </w:rPr>
        <w:t>ý</w:t>
      </w:r>
      <w:r w:rsidRPr="001F5A32">
        <w:rPr>
          <w:sz w:val="18"/>
        </w:rPr>
        <w:t>m zisk</w:t>
      </w:r>
      <w:r w:rsidR="00CE1BC3" w:rsidRPr="001F5A32">
        <w:rPr>
          <w:sz w:val="18"/>
        </w:rPr>
        <w:t>o</w:t>
      </w:r>
      <w:r w:rsidRPr="001F5A32">
        <w:rPr>
          <w:sz w:val="18"/>
        </w:rPr>
        <w:t>m v ro</w:t>
      </w:r>
      <w:r w:rsidR="00CE1BC3" w:rsidRPr="001F5A32">
        <w:rPr>
          <w:sz w:val="18"/>
        </w:rPr>
        <w:t>ku</w:t>
      </w:r>
      <w:r w:rsidRPr="001F5A32">
        <w:rPr>
          <w:sz w:val="18"/>
        </w:rPr>
        <w:t xml:space="preserve"> 2018. Od 1.3.2019 vst</w:t>
      </w:r>
      <w:r w:rsidR="00CE1BC3" w:rsidRPr="001F5A32">
        <w:rPr>
          <w:sz w:val="18"/>
        </w:rPr>
        <w:t>ú</w:t>
      </w:r>
      <w:r w:rsidRPr="001F5A32">
        <w:rPr>
          <w:sz w:val="18"/>
        </w:rPr>
        <w:t xml:space="preserve">pil </w:t>
      </w:r>
      <w:r w:rsidR="00CE1BC3" w:rsidRPr="001F5A32">
        <w:rPr>
          <w:sz w:val="18"/>
        </w:rPr>
        <w:t>do</w:t>
      </w:r>
      <w:r w:rsidRPr="001F5A32">
        <w:rPr>
          <w:sz w:val="18"/>
        </w:rPr>
        <w:t> platnos</w:t>
      </w:r>
      <w:r w:rsidR="00CE1BC3" w:rsidRPr="001F5A32">
        <w:rPr>
          <w:sz w:val="18"/>
        </w:rPr>
        <w:t>ti</w:t>
      </w:r>
      <w:r w:rsidRPr="001F5A32">
        <w:rPr>
          <w:sz w:val="18"/>
        </w:rPr>
        <w:t xml:space="preserve"> </w:t>
      </w:r>
      <w:r w:rsidRPr="001F5A32">
        <w:rPr>
          <w:sz w:val="18"/>
        </w:rPr>
        <w:lastRenderedPageBreak/>
        <w:t>nový zákon o hazard</w:t>
      </w:r>
      <w:r w:rsidR="00CE1BC3" w:rsidRPr="001F5A32">
        <w:rPr>
          <w:sz w:val="18"/>
        </w:rPr>
        <w:t>e</w:t>
      </w:r>
      <w:r w:rsidRPr="001F5A32">
        <w:rPr>
          <w:sz w:val="18"/>
        </w:rPr>
        <w:t xml:space="preserve"> na Slovensku, kt</w:t>
      </w:r>
      <w:r w:rsidR="00CE1BC3" w:rsidRPr="001F5A32">
        <w:rPr>
          <w:sz w:val="18"/>
        </w:rPr>
        <w:t>o</w:t>
      </w:r>
      <w:r w:rsidRPr="001F5A32">
        <w:rPr>
          <w:sz w:val="18"/>
        </w:rPr>
        <w:t>rý vše</w:t>
      </w:r>
      <w:r w:rsidR="00CE1BC3" w:rsidRPr="001F5A32">
        <w:rPr>
          <w:sz w:val="18"/>
        </w:rPr>
        <w:t>tký</w:t>
      </w:r>
      <w:r w:rsidRPr="001F5A32">
        <w:rPr>
          <w:sz w:val="18"/>
        </w:rPr>
        <w:t>m pr</w:t>
      </w:r>
      <w:r w:rsidR="00CE1BC3" w:rsidRPr="001F5A32">
        <w:rPr>
          <w:sz w:val="18"/>
        </w:rPr>
        <w:t>e</w:t>
      </w:r>
      <w:r w:rsidRPr="001F5A32">
        <w:rPr>
          <w:sz w:val="18"/>
        </w:rPr>
        <w:t>v</w:t>
      </w:r>
      <w:r w:rsidR="00CE1BC3" w:rsidRPr="001F5A32">
        <w:rPr>
          <w:sz w:val="18"/>
        </w:rPr>
        <w:t>ádzkovateľom</w:t>
      </w:r>
      <w:r w:rsidRPr="001F5A32">
        <w:rPr>
          <w:sz w:val="18"/>
        </w:rPr>
        <w:t xml:space="preserve"> hazardu o</w:t>
      </w:r>
      <w:r w:rsidR="00CE1BC3" w:rsidRPr="001F5A32">
        <w:rPr>
          <w:sz w:val="18"/>
        </w:rPr>
        <w:t>b</w:t>
      </w:r>
      <w:r w:rsidRPr="001F5A32">
        <w:rPr>
          <w:sz w:val="18"/>
        </w:rPr>
        <w:t>me</w:t>
      </w:r>
      <w:r w:rsidR="00CE1BC3" w:rsidRPr="001F5A32">
        <w:rPr>
          <w:sz w:val="18"/>
        </w:rPr>
        <w:t>d</w:t>
      </w:r>
      <w:r w:rsidRPr="001F5A32">
        <w:rPr>
          <w:sz w:val="18"/>
        </w:rPr>
        <w:t>zil denn</w:t>
      </w:r>
      <w:r w:rsidR="00CE1BC3" w:rsidRPr="001F5A32">
        <w:rPr>
          <w:sz w:val="18"/>
        </w:rPr>
        <w:t>ú</w:t>
      </w:r>
      <w:r w:rsidRPr="001F5A32">
        <w:rPr>
          <w:sz w:val="18"/>
        </w:rPr>
        <w:t xml:space="preserve"> otv</w:t>
      </w:r>
      <w:r w:rsidR="00CE1BC3" w:rsidRPr="001F5A32">
        <w:rPr>
          <w:sz w:val="18"/>
        </w:rPr>
        <w:t>áraciu</w:t>
      </w:r>
      <w:r w:rsidRPr="001F5A32">
        <w:rPr>
          <w:sz w:val="18"/>
        </w:rPr>
        <w:t xml:space="preserve"> dobu na dobu od 10.00 do 03.00 hod</w:t>
      </w:r>
      <w:r w:rsidR="00CE1BC3" w:rsidRPr="001F5A32">
        <w:rPr>
          <w:sz w:val="18"/>
        </w:rPr>
        <w:t>í</w:t>
      </w:r>
      <w:r w:rsidRPr="001F5A32">
        <w:rPr>
          <w:sz w:val="18"/>
        </w:rPr>
        <w:t>n, tzn. že zákon</w:t>
      </w:r>
      <w:r w:rsidR="00CE1BC3" w:rsidRPr="001F5A32">
        <w:rPr>
          <w:sz w:val="18"/>
        </w:rPr>
        <w:t>o</w:t>
      </w:r>
      <w:r w:rsidRPr="001F5A32">
        <w:rPr>
          <w:sz w:val="18"/>
        </w:rPr>
        <w:t>m b</w:t>
      </w:r>
      <w:r w:rsidR="00CE1BC3" w:rsidRPr="001F5A32">
        <w:rPr>
          <w:sz w:val="18"/>
        </w:rPr>
        <w:t>o</w:t>
      </w:r>
      <w:r w:rsidRPr="001F5A32">
        <w:rPr>
          <w:sz w:val="18"/>
        </w:rPr>
        <w:t>l</w:t>
      </w:r>
      <w:r w:rsidR="00CE1BC3" w:rsidRPr="001F5A32">
        <w:rPr>
          <w:sz w:val="18"/>
        </w:rPr>
        <w:t>a</w:t>
      </w:r>
      <w:r w:rsidRPr="001F5A32">
        <w:rPr>
          <w:sz w:val="18"/>
        </w:rPr>
        <w:t xml:space="preserve"> zakáz</w:t>
      </w:r>
      <w:r w:rsidR="00CE1BC3" w:rsidRPr="001F5A32">
        <w:rPr>
          <w:sz w:val="18"/>
        </w:rPr>
        <w:t>a</w:t>
      </w:r>
      <w:r w:rsidRPr="001F5A32">
        <w:rPr>
          <w:sz w:val="18"/>
        </w:rPr>
        <w:t>n</w:t>
      </w:r>
      <w:r w:rsidR="00CE1BC3" w:rsidRPr="001F5A32">
        <w:rPr>
          <w:sz w:val="18"/>
        </w:rPr>
        <w:t>á</w:t>
      </w:r>
      <w:r w:rsidRPr="001F5A32">
        <w:rPr>
          <w:sz w:val="18"/>
        </w:rPr>
        <w:t xml:space="preserve"> </w:t>
      </w:r>
      <w:proofErr w:type="spellStart"/>
      <w:r w:rsidRPr="001F5A32">
        <w:rPr>
          <w:sz w:val="18"/>
        </w:rPr>
        <w:t>non-stop</w:t>
      </w:r>
      <w:proofErr w:type="spellEnd"/>
      <w:r w:rsidRPr="001F5A32">
        <w:rPr>
          <w:sz w:val="18"/>
        </w:rPr>
        <w:t xml:space="preserve"> pr</w:t>
      </w:r>
      <w:r w:rsidR="00CE1BC3" w:rsidRPr="001F5A32">
        <w:rPr>
          <w:sz w:val="18"/>
        </w:rPr>
        <w:t>e</w:t>
      </w:r>
      <w:r w:rsidRPr="001F5A32">
        <w:rPr>
          <w:sz w:val="18"/>
        </w:rPr>
        <w:t>v</w:t>
      </w:r>
      <w:r w:rsidR="00CE1BC3" w:rsidRPr="001F5A32">
        <w:rPr>
          <w:sz w:val="18"/>
        </w:rPr>
        <w:t>ádzka</w:t>
      </w:r>
      <w:r w:rsidRPr="001F5A32">
        <w:rPr>
          <w:sz w:val="18"/>
        </w:rPr>
        <w:t>, kt</w:t>
      </w:r>
      <w:r w:rsidR="00CE1BC3" w:rsidRPr="001F5A32">
        <w:rPr>
          <w:sz w:val="18"/>
        </w:rPr>
        <w:t>o</w:t>
      </w:r>
      <w:r w:rsidRPr="001F5A32">
        <w:rPr>
          <w:sz w:val="18"/>
        </w:rPr>
        <w:t>r</w:t>
      </w:r>
      <w:r w:rsidR="00CE1BC3" w:rsidRPr="001F5A32">
        <w:rPr>
          <w:sz w:val="18"/>
        </w:rPr>
        <w:t>á</w:t>
      </w:r>
      <w:r w:rsidRPr="001F5A32">
        <w:rPr>
          <w:sz w:val="18"/>
        </w:rPr>
        <w:t xml:space="preserve"> b</w:t>
      </w:r>
      <w:r w:rsidR="00CE1BC3" w:rsidRPr="001F5A32">
        <w:rPr>
          <w:sz w:val="18"/>
        </w:rPr>
        <w:t>o</w:t>
      </w:r>
      <w:r w:rsidRPr="001F5A32">
        <w:rPr>
          <w:sz w:val="18"/>
        </w:rPr>
        <w:t>l</w:t>
      </w:r>
      <w:r w:rsidR="00CE1BC3" w:rsidRPr="001F5A32">
        <w:rPr>
          <w:sz w:val="18"/>
        </w:rPr>
        <w:t>a</w:t>
      </w:r>
      <w:r w:rsidRPr="001F5A32">
        <w:rPr>
          <w:sz w:val="18"/>
        </w:rPr>
        <w:t xml:space="preserve"> u vše</w:t>
      </w:r>
      <w:r w:rsidR="00CE1BC3" w:rsidRPr="001F5A32">
        <w:rPr>
          <w:sz w:val="18"/>
        </w:rPr>
        <w:t>tký</w:t>
      </w:r>
      <w:r w:rsidRPr="001F5A32">
        <w:rPr>
          <w:sz w:val="18"/>
        </w:rPr>
        <w:t>ch hern</w:t>
      </w:r>
      <w:r w:rsidR="00CE1BC3" w:rsidRPr="001F5A32">
        <w:rPr>
          <w:sz w:val="18"/>
        </w:rPr>
        <w:t>í</w:t>
      </w:r>
      <w:r w:rsidRPr="001F5A32">
        <w:rPr>
          <w:sz w:val="18"/>
        </w:rPr>
        <w:t xml:space="preserve"> Slovak </w:t>
      </w:r>
      <w:proofErr w:type="spellStart"/>
      <w:r w:rsidRPr="001F5A32">
        <w:rPr>
          <w:sz w:val="18"/>
        </w:rPr>
        <w:t>Games</w:t>
      </w:r>
      <w:proofErr w:type="spellEnd"/>
      <w:r w:rsidRPr="001F5A32">
        <w:rPr>
          <w:sz w:val="18"/>
        </w:rPr>
        <w:t xml:space="preserve"> s.</w:t>
      </w:r>
      <w:r w:rsidR="00CE1BC3" w:rsidRPr="001F5A32">
        <w:rPr>
          <w:sz w:val="18"/>
        </w:rPr>
        <w:t xml:space="preserve"> </w:t>
      </w:r>
      <w:r w:rsidRPr="001F5A32">
        <w:rPr>
          <w:sz w:val="18"/>
        </w:rPr>
        <w:t>r.</w:t>
      </w:r>
      <w:r w:rsidR="00CE1BC3" w:rsidRPr="001F5A32">
        <w:rPr>
          <w:sz w:val="18"/>
        </w:rPr>
        <w:t xml:space="preserve"> </w:t>
      </w:r>
      <w:r w:rsidRPr="001F5A32">
        <w:rPr>
          <w:sz w:val="18"/>
        </w:rPr>
        <w:t>o. Toto o</w:t>
      </w:r>
      <w:r w:rsidR="00CE1BC3" w:rsidRPr="001F5A32">
        <w:rPr>
          <w:sz w:val="18"/>
        </w:rPr>
        <w:t>b</w:t>
      </w:r>
      <w:r w:rsidRPr="001F5A32">
        <w:rPr>
          <w:sz w:val="18"/>
        </w:rPr>
        <w:t>me</w:t>
      </w:r>
      <w:r w:rsidR="00CE1BC3" w:rsidRPr="001F5A32">
        <w:rPr>
          <w:sz w:val="18"/>
        </w:rPr>
        <w:t>d</w:t>
      </w:r>
      <w:r w:rsidRPr="001F5A32">
        <w:rPr>
          <w:sz w:val="18"/>
        </w:rPr>
        <w:t>zen</w:t>
      </w:r>
      <w:r w:rsidR="00CE1BC3" w:rsidRPr="001F5A32">
        <w:rPr>
          <w:sz w:val="18"/>
        </w:rPr>
        <w:t>ie</w:t>
      </w:r>
      <w:r w:rsidRPr="001F5A32">
        <w:rPr>
          <w:sz w:val="18"/>
        </w:rPr>
        <w:t xml:space="preserve"> </w:t>
      </w:r>
      <w:r w:rsidR="00CE1BC3" w:rsidRPr="001F5A32">
        <w:rPr>
          <w:sz w:val="18"/>
        </w:rPr>
        <w:t>s</w:t>
      </w:r>
      <w:r w:rsidRPr="001F5A32">
        <w:rPr>
          <w:sz w:val="18"/>
        </w:rPr>
        <w:t>p</w:t>
      </w:r>
      <w:r w:rsidR="00CE1BC3" w:rsidRPr="001F5A32">
        <w:rPr>
          <w:sz w:val="18"/>
        </w:rPr>
        <w:t>ô</w:t>
      </w:r>
      <w:r w:rsidRPr="001F5A32">
        <w:rPr>
          <w:sz w:val="18"/>
        </w:rPr>
        <w:t xml:space="preserve">sobilo </w:t>
      </w:r>
      <w:r w:rsidR="00CE1BC3" w:rsidRPr="001F5A32">
        <w:rPr>
          <w:sz w:val="18"/>
        </w:rPr>
        <w:t>ďa</w:t>
      </w:r>
      <w:r w:rsidRPr="001F5A32">
        <w:rPr>
          <w:sz w:val="18"/>
        </w:rPr>
        <w:t>lš</w:t>
      </w:r>
      <w:r w:rsidR="00CE1BC3" w:rsidRPr="001F5A32">
        <w:rPr>
          <w:sz w:val="18"/>
        </w:rPr>
        <w:t>ie</w:t>
      </w:r>
      <w:r w:rsidRPr="001F5A32">
        <w:rPr>
          <w:sz w:val="18"/>
        </w:rPr>
        <w:t xml:space="preserve"> </w:t>
      </w:r>
      <w:r w:rsidR="00CE1BC3" w:rsidRPr="001F5A32">
        <w:rPr>
          <w:sz w:val="18"/>
        </w:rPr>
        <w:t>z</w:t>
      </w:r>
      <w:r w:rsidRPr="001F5A32">
        <w:rPr>
          <w:sz w:val="18"/>
        </w:rPr>
        <w:t>nížen</w:t>
      </w:r>
      <w:r w:rsidR="00CE1BC3" w:rsidRPr="001F5A32">
        <w:rPr>
          <w:sz w:val="18"/>
        </w:rPr>
        <w:t>ie</w:t>
      </w:r>
      <w:r w:rsidRPr="001F5A32">
        <w:rPr>
          <w:sz w:val="18"/>
        </w:rPr>
        <w:t xml:space="preserve"> s</w:t>
      </w:r>
      <w:r w:rsidR="00CE1BC3" w:rsidRPr="001F5A32">
        <w:rPr>
          <w:sz w:val="18"/>
        </w:rPr>
        <w:t>távo</w:t>
      </w:r>
      <w:r w:rsidRPr="001F5A32">
        <w:rPr>
          <w:sz w:val="18"/>
        </w:rPr>
        <w:t>k a ted</w:t>
      </w:r>
      <w:r w:rsidR="00CE1BC3" w:rsidRPr="001F5A32">
        <w:rPr>
          <w:sz w:val="18"/>
        </w:rPr>
        <w:t>a</w:t>
      </w:r>
      <w:r w:rsidRPr="001F5A32">
        <w:rPr>
          <w:sz w:val="18"/>
        </w:rPr>
        <w:t xml:space="preserve"> </w:t>
      </w:r>
      <w:r w:rsidR="00CE1BC3" w:rsidRPr="001F5A32">
        <w:rPr>
          <w:sz w:val="18"/>
        </w:rPr>
        <w:t>aj</w:t>
      </w:r>
      <w:r w:rsidRPr="001F5A32">
        <w:rPr>
          <w:sz w:val="18"/>
        </w:rPr>
        <w:t xml:space="preserve"> zisku. </w:t>
      </w:r>
      <w:r w:rsidR="00CE1BC3" w:rsidRPr="001F5A32">
        <w:rPr>
          <w:sz w:val="18"/>
        </w:rPr>
        <w:t>A</w:t>
      </w:r>
      <w:r w:rsidRPr="001F5A32">
        <w:rPr>
          <w:sz w:val="18"/>
        </w:rPr>
        <w:t>k</w:t>
      </w:r>
      <w:r w:rsidR="00CE1BC3" w:rsidRPr="001F5A32">
        <w:rPr>
          <w:sz w:val="18"/>
        </w:rPr>
        <w:t>o</w:t>
      </w:r>
      <w:r w:rsidRPr="001F5A32">
        <w:rPr>
          <w:sz w:val="18"/>
        </w:rPr>
        <w:t xml:space="preserve"> s</w:t>
      </w:r>
      <w:r w:rsidR="00CE1BC3" w:rsidRPr="001F5A32">
        <w:rPr>
          <w:sz w:val="18"/>
        </w:rPr>
        <w:t>a</w:t>
      </w:r>
      <w:r w:rsidRPr="001F5A32">
        <w:rPr>
          <w:sz w:val="18"/>
        </w:rPr>
        <w:t xml:space="preserve"> bude </w:t>
      </w:r>
      <w:r w:rsidR="00CE1BC3" w:rsidRPr="001F5A32">
        <w:rPr>
          <w:sz w:val="18"/>
        </w:rPr>
        <w:t>ďalej</w:t>
      </w:r>
      <w:r w:rsidRPr="001F5A32">
        <w:rPr>
          <w:sz w:val="18"/>
        </w:rPr>
        <w:t xml:space="preserve"> vyvíj</w:t>
      </w:r>
      <w:r w:rsidR="00CE1BC3" w:rsidRPr="001F5A32">
        <w:rPr>
          <w:sz w:val="18"/>
        </w:rPr>
        <w:t>ať</w:t>
      </w:r>
      <w:r w:rsidRPr="001F5A32">
        <w:rPr>
          <w:sz w:val="18"/>
        </w:rPr>
        <w:t xml:space="preserve"> hazard a výnosy Slovak </w:t>
      </w:r>
      <w:proofErr w:type="spellStart"/>
      <w:r w:rsidRPr="001F5A32">
        <w:rPr>
          <w:sz w:val="18"/>
        </w:rPr>
        <w:t>Games</w:t>
      </w:r>
      <w:proofErr w:type="spellEnd"/>
      <w:r w:rsidRPr="001F5A32">
        <w:rPr>
          <w:sz w:val="18"/>
        </w:rPr>
        <w:t xml:space="preserve"> s.</w:t>
      </w:r>
      <w:r w:rsidR="00CE1BC3" w:rsidRPr="001F5A32">
        <w:rPr>
          <w:sz w:val="18"/>
        </w:rPr>
        <w:t xml:space="preserve"> </w:t>
      </w:r>
      <w:r w:rsidRPr="001F5A32">
        <w:rPr>
          <w:sz w:val="18"/>
        </w:rPr>
        <w:t>r.</w:t>
      </w:r>
      <w:r w:rsidR="00CE1BC3" w:rsidRPr="001F5A32">
        <w:rPr>
          <w:sz w:val="18"/>
        </w:rPr>
        <w:t xml:space="preserve"> </w:t>
      </w:r>
      <w:r w:rsidRPr="001F5A32">
        <w:rPr>
          <w:sz w:val="18"/>
        </w:rPr>
        <w:t xml:space="preserve">o. je </w:t>
      </w:r>
      <w:r w:rsidR="00CE1BC3" w:rsidRPr="001F5A32">
        <w:rPr>
          <w:sz w:val="18"/>
        </w:rPr>
        <w:t>z</w:t>
      </w:r>
      <w:r w:rsidRPr="001F5A32">
        <w:rPr>
          <w:sz w:val="18"/>
        </w:rPr>
        <w:t>ložité odhadova</w:t>
      </w:r>
      <w:r w:rsidR="00CE1BC3" w:rsidRPr="001F5A32">
        <w:rPr>
          <w:sz w:val="18"/>
        </w:rPr>
        <w:t>ť</w:t>
      </w:r>
      <w:r w:rsidRPr="001F5A32">
        <w:rPr>
          <w:sz w:val="18"/>
        </w:rPr>
        <w:t>, p</w:t>
      </w:r>
      <w:r w:rsidR="00CE1BC3" w:rsidRPr="001F5A32">
        <w:rPr>
          <w:sz w:val="18"/>
        </w:rPr>
        <w:t>r</w:t>
      </w:r>
      <w:r w:rsidRPr="001F5A32">
        <w:rPr>
          <w:sz w:val="18"/>
        </w:rPr>
        <w:t>edpokl</w:t>
      </w:r>
      <w:r w:rsidR="00CE1BC3" w:rsidRPr="001F5A32">
        <w:rPr>
          <w:sz w:val="18"/>
        </w:rPr>
        <w:t>a</w:t>
      </w:r>
      <w:r w:rsidRPr="001F5A32">
        <w:rPr>
          <w:sz w:val="18"/>
        </w:rPr>
        <w:t xml:space="preserve">dáme, že </w:t>
      </w:r>
      <w:r w:rsidR="00CE1BC3" w:rsidRPr="001F5A32">
        <w:rPr>
          <w:sz w:val="18"/>
        </w:rPr>
        <w:t>už</w:t>
      </w:r>
      <w:r w:rsidRPr="001F5A32">
        <w:rPr>
          <w:sz w:val="18"/>
        </w:rPr>
        <w:t xml:space="preserve"> k </w:t>
      </w:r>
      <w:r w:rsidR="00CE1BC3" w:rsidRPr="001F5A32">
        <w:rPr>
          <w:sz w:val="18"/>
        </w:rPr>
        <w:t>ď</w:t>
      </w:r>
      <w:r w:rsidRPr="001F5A32">
        <w:rPr>
          <w:sz w:val="18"/>
        </w:rPr>
        <w:t>alším pokles</w:t>
      </w:r>
      <w:r w:rsidR="00CE1BC3" w:rsidRPr="001F5A32">
        <w:rPr>
          <w:sz w:val="18"/>
        </w:rPr>
        <w:t>o</w:t>
      </w:r>
      <w:r w:rsidRPr="001F5A32">
        <w:rPr>
          <w:sz w:val="18"/>
        </w:rPr>
        <w:t>m výnos</w:t>
      </w:r>
      <w:r w:rsidR="00CE1BC3" w:rsidRPr="001F5A32">
        <w:rPr>
          <w:sz w:val="18"/>
        </w:rPr>
        <w:t>ov</w:t>
      </w:r>
      <w:r w:rsidRPr="001F5A32">
        <w:rPr>
          <w:sz w:val="18"/>
        </w:rPr>
        <w:t xml:space="preserve"> dochá</w:t>
      </w:r>
      <w:r w:rsidR="00CE1BC3" w:rsidRPr="001F5A32">
        <w:rPr>
          <w:sz w:val="18"/>
        </w:rPr>
        <w:t>d</w:t>
      </w:r>
      <w:r w:rsidRPr="001F5A32">
        <w:rPr>
          <w:sz w:val="18"/>
        </w:rPr>
        <w:t>z</w:t>
      </w:r>
      <w:r w:rsidR="00CE1BC3" w:rsidRPr="001F5A32">
        <w:rPr>
          <w:sz w:val="18"/>
        </w:rPr>
        <w:t>ať</w:t>
      </w:r>
      <w:r w:rsidRPr="001F5A32">
        <w:rPr>
          <w:sz w:val="18"/>
        </w:rPr>
        <w:t xml:space="preserve"> nebude, že s</w:t>
      </w:r>
      <w:r w:rsidR="00CE1BC3" w:rsidRPr="001F5A32">
        <w:rPr>
          <w:sz w:val="18"/>
        </w:rPr>
        <w:t>a</w:t>
      </w:r>
      <w:r w:rsidRPr="001F5A32">
        <w:rPr>
          <w:sz w:val="18"/>
        </w:rPr>
        <w:t xml:space="preserve"> trh ustál</w:t>
      </w:r>
      <w:r w:rsidR="00CE1BC3" w:rsidRPr="001F5A32">
        <w:rPr>
          <w:sz w:val="18"/>
        </w:rPr>
        <w:t>i</w:t>
      </w:r>
      <w:r w:rsidRPr="001F5A32">
        <w:rPr>
          <w:sz w:val="18"/>
        </w:rPr>
        <w:t xml:space="preserve"> a v pr</w:t>
      </w:r>
      <w:r w:rsidR="00CE1BC3" w:rsidRPr="001F5A32">
        <w:rPr>
          <w:sz w:val="18"/>
        </w:rPr>
        <w:t>ie</w:t>
      </w:r>
      <w:r w:rsidRPr="001F5A32">
        <w:rPr>
          <w:sz w:val="18"/>
        </w:rPr>
        <w:t>b</w:t>
      </w:r>
      <w:r w:rsidR="00CE1BC3" w:rsidRPr="001F5A32">
        <w:rPr>
          <w:sz w:val="18"/>
        </w:rPr>
        <w:t>e</w:t>
      </w:r>
      <w:r w:rsidRPr="001F5A32">
        <w:rPr>
          <w:sz w:val="18"/>
        </w:rPr>
        <w:t>hu 2. pol</w:t>
      </w:r>
      <w:r w:rsidR="00CE1BC3" w:rsidRPr="001F5A32">
        <w:rPr>
          <w:sz w:val="18"/>
        </w:rPr>
        <w:t>roka</w:t>
      </w:r>
      <w:r w:rsidRPr="001F5A32">
        <w:rPr>
          <w:sz w:val="18"/>
        </w:rPr>
        <w:t xml:space="preserve"> 2019  a </w:t>
      </w:r>
      <w:r w:rsidR="00CE1BC3" w:rsidRPr="001F5A32">
        <w:rPr>
          <w:sz w:val="18"/>
        </w:rPr>
        <w:t>ď</w:t>
      </w:r>
      <w:r w:rsidRPr="001F5A32">
        <w:rPr>
          <w:sz w:val="18"/>
        </w:rPr>
        <w:t>alš</w:t>
      </w:r>
      <w:r w:rsidR="00CE1BC3" w:rsidRPr="001F5A32">
        <w:rPr>
          <w:sz w:val="18"/>
        </w:rPr>
        <w:t>o</w:t>
      </w:r>
      <w:r w:rsidRPr="001F5A32">
        <w:rPr>
          <w:sz w:val="18"/>
        </w:rPr>
        <w:t>m období s</w:t>
      </w:r>
      <w:r w:rsidR="00CE1BC3" w:rsidRPr="001F5A32">
        <w:rPr>
          <w:sz w:val="18"/>
        </w:rPr>
        <w:t>a</w:t>
      </w:r>
      <w:r w:rsidRPr="001F5A32">
        <w:rPr>
          <w:sz w:val="18"/>
        </w:rPr>
        <w:t xml:space="preserve"> výnosy </w:t>
      </w:r>
      <w:r w:rsidR="00CE1BC3" w:rsidRPr="001F5A32">
        <w:rPr>
          <w:sz w:val="18"/>
        </w:rPr>
        <w:t>o</w:t>
      </w:r>
      <w:r w:rsidRPr="001F5A32">
        <w:rPr>
          <w:sz w:val="18"/>
        </w:rPr>
        <w:t>proti 1.</w:t>
      </w:r>
      <w:r w:rsidR="00CE1BC3" w:rsidRPr="001F5A32">
        <w:rPr>
          <w:sz w:val="18"/>
        </w:rPr>
        <w:t xml:space="preserve"> štvrťroku</w:t>
      </w:r>
      <w:r w:rsidRPr="001F5A32">
        <w:rPr>
          <w:sz w:val="18"/>
        </w:rPr>
        <w:t xml:space="preserve"> roku 2019 zvýš</w:t>
      </w:r>
      <w:r w:rsidR="00CE1BC3" w:rsidRPr="001F5A32">
        <w:rPr>
          <w:sz w:val="18"/>
        </w:rPr>
        <w:t>i</w:t>
      </w:r>
      <w:r w:rsidR="00282203" w:rsidRPr="001F5A32">
        <w:rPr>
          <w:sz w:val="18"/>
        </w:rPr>
        <w:t>a</w:t>
      </w:r>
      <w:r w:rsidRPr="001F5A32">
        <w:rPr>
          <w:sz w:val="18"/>
        </w:rPr>
        <w:t>. Bohuž</w:t>
      </w:r>
      <w:r w:rsidR="00CE1BC3" w:rsidRPr="001F5A32">
        <w:rPr>
          <w:sz w:val="18"/>
        </w:rPr>
        <w:t>iaľ</w:t>
      </w:r>
      <w:r w:rsidRPr="001F5A32">
        <w:rPr>
          <w:sz w:val="18"/>
        </w:rPr>
        <w:t>, zákon</w:t>
      </w:r>
      <w:r w:rsidR="00CE1BC3" w:rsidRPr="001F5A32">
        <w:rPr>
          <w:sz w:val="18"/>
        </w:rPr>
        <w:t>o</w:t>
      </w:r>
      <w:r w:rsidRPr="001F5A32">
        <w:rPr>
          <w:sz w:val="18"/>
        </w:rPr>
        <w:t>m o hazard</w:t>
      </w:r>
      <w:r w:rsidR="00CE1BC3" w:rsidRPr="001F5A32">
        <w:rPr>
          <w:sz w:val="18"/>
        </w:rPr>
        <w:t>e</w:t>
      </w:r>
      <w:r w:rsidRPr="001F5A32">
        <w:rPr>
          <w:sz w:val="18"/>
        </w:rPr>
        <w:t xml:space="preserve"> je zakáz</w:t>
      </w:r>
      <w:r w:rsidR="00CE1BC3" w:rsidRPr="001F5A32">
        <w:rPr>
          <w:sz w:val="18"/>
        </w:rPr>
        <w:t>a</w:t>
      </w:r>
      <w:r w:rsidRPr="001F5A32">
        <w:rPr>
          <w:sz w:val="18"/>
        </w:rPr>
        <w:t>n</w:t>
      </w:r>
      <w:r w:rsidR="00CE1BC3" w:rsidRPr="001F5A32">
        <w:rPr>
          <w:sz w:val="18"/>
        </w:rPr>
        <w:t>é</w:t>
      </w:r>
      <w:r w:rsidRPr="001F5A32">
        <w:rPr>
          <w:sz w:val="18"/>
        </w:rPr>
        <w:t xml:space="preserve"> propagova</w:t>
      </w:r>
      <w:r w:rsidR="00CE1BC3" w:rsidRPr="001F5A32">
        <w:rPr>
          <w:sz w:val="18"/>
        </w:rPr>
        <w:t>ť</w:t>
      </w:r>
      <w:r w:rsidRPr="001F5A32">
        <w:rPr>
          <w:sz w:val="18"/>
        </w:rPr>
        <w:t xml:space="preserve"> hern</w:t>
      </w:r>
      <w:r w:rsidR="00CE1BC3" w:rsidRPr="001F5A32">
        <w:rPr>
          <w:sz w:val="18"/>
        </w:rPr>
        <w:t>e</w:t>
      </w:r>
      <w:r w:rsidRPr="001F5A32">
        <w:rPr>
          <w:sz w:val="18"/>
        </w:rPr>
        <w:t xml:space="preserve"> a </w:t>
      </w:r>
      <w:r w:rsidR="00CE1BC3" w:rsidRPr="001F5A32">
        <w:rPr>
          <w:sz w:val="18"/>
        </w:rPr>
        <w:t>vykonávať</w:t>
      </w:r>
      <w:r w:rsidRPr="001F5A32">
        <w:rPr>
          <w:sz w:val="18"/>
        </w:rPr>
        <w:t xml:space="preserve"> PR činnost</w:t>
      </w:r>
      <w:r w:rsidR="00CE1BC3" w:rsidRPr="001F5A32">
        <w:rPr>
          <w:sz w:val="18"/>
        </w:rPr>
        <w:t>i</w:t>
      </w:r>
      <w:r w:rsidRPr="001F5A32">
        <w:rPr>
          <w:sz w:val="18"/>
        </w:rPr>
        <w:t xml:space="preserve"> na zvýšen</w:t>
      </w:r>
      <w:r w:rsidR="00CE1BC3" w:rsidRPr="001F5A32">
        <w:rPr>
          <w:sz w:val="18"/>
        </w:rPr>
        <w:t>ie</w:t>
      </w:r>
      <w:r w:rsidRPr="001F5A32">
        <w:rPr>
          <w:sz w:val="18"/>
        </w:rPr>
        <w:t xml:space="preserve"> návšt</w:t>
      </w:r>
      <w:r w:rsidR="00CE1BC3" w:rsidRPr="001F5A32">
        <w:rPr>
          <w:sz w:val="18"/>
        </w:rPr>
        <w:t>e</w:t>
      </w:r>
      <w:r w:rsidRPr="001F5A32">
        <w:rPr>
          <w:sz w:val="18"/>
        </w:rPr>
        <w:t>vnosti a pr</w:t>
      </w:r>
      <w:r w:rsidR="00CE1BC3" w:rsidRPr="001F5A32">
        <w:rPr>
          <w:sz w:val="18"/>
        </w:rPr>
        <w:t>e</w:t>
      </w:r>
      <w:r w:rsidRPr="001F5A32">
        <w:rPr>
          <w:sz w:val="18"/>
        </w:rPr>
        <w:t xml:space="preserve">to je </w:t>
      </w:r>
      <w:r w:rsidR="00CE1BC3" w:rsidRPr="001F5A32">
        <w:rPr>
          <w:sz w:val="18"/>
        </w:rPr>
        <w:t>po</w:t>
      </w:r>
      <w:r w:rsidRPr="001F5A32">
        <w:rPr>
          <w:sz w:val="18"/>
        </w:rPr>
        <w:t>t</w:t>
      </w:r>
      <w:r w:rsidR="00CE1BC3" w:rsidRPr="001F5A32">
        <w:rPr>
          <w:sz w:val="18"/>
        </w:rPr>
        <w:t>r</w:t>
      </w:r>
      <w:r w:rsidRPr="001F5A32">
        <w:rPr>
          <w:sz w:val="18"/>
        </w:rPr>
        <w:t>eb</w:t>
      </w:r>
      <w:r w:rsidR="00CE1BC3" w:rsidRPr="001F5A32">
        <w:rPr>
          <w:sz w:val="18"/>
        </w:rPr>
        <w:t>né</w:t>
      </w:r>
      <w:r w:rsidRPr="001F5A32">
        <w:rPr>
          <w:sz w:val="18"/>
        </w:rPr>
        <w:t xml:space="preserve"> h</w:t>
      </w:r>
      <w:r w:rsidR="00CE1BC3" w:rsidRPr="001F5A32">
        <w:rPr>
          <w:sz w:val="18"/>
        </w:rPr>
        <w:t>ľa</w:t>
      </w:r>
      <w:r w:rsidRPr="001F5A32">
        <w:rPr>
          <w:sz w:val="18"/>
        </w:rPr>
        <w:t>da</w:t>
      </w:r>
      <w:r w:rsidR="00CE1BC3" w:rsidRPr="001F5A32">
        <w:rPr>
          <w:sz w:val="18"/>
        </w:rPr>
        <w:t>ť</w:t>
      </w:r>
      <w:r w:rsidRPr="001F5A32">
        <w:rPr>
          <w:sz w:val="18"/>
        </w:rPr>
        <w:t xml:space="preserve"> </w:t>
      </w:r>
      <w:r w:rsidR="00CE1BC3" w:rsidRPr="001F5A32">
        <w:rPr>
          <w:sz w:val="18"/>
        </w:rPr>
        <w:t>aj</w:t>
      </w:r>
      <w:r w:rsidRPr="001F5A32">
        <w:rPr>
          <w:sz w:val="18"/>
        </w:rPr>
        <w:t xml:space="preserve"> úsporn</w:t>
      </w:r>
      <w:r w:rsidR="00CE1BC3" w:rsidRPr="001F5A32">
        <w:rPr>
          <w:sz w:val="18"/>
        </w:rPr>
        <w:t>é</w:t>
      </w:r>
      <w:r w:rsidRPr="001F5A32">
        <w:rPr>
          <w:sz w:val="18"/>
        </w:rPr>
        <w:t xml:space="preserve"> opat</w:t>
      </w:r>
      <w:r w:rsidR="00CE1BC3" w:rsidRPr="001F5A32">
        <w:rPr>
          <w:sz w:val="18"/>
        </w:rPr>
        <w:t>r</w:t>
      </w:r>
      <w:r w:rsidRPr="001F5A32">
        <w:rPr>
          <w:sz w:val="18"/>
        </w:rPr>
        <w:t>en</w:t>
      </w:r>
      <w:r w:rsidR="00CE1BC3" w:rsidRPr="001F5A32">
        <w:rPr>
          <w:sz w:val="18"/>
        </w:rPr>
        <w:t>ia</w:t>
      </w:r>
      <w:r w:rsidRPr="001F5A32">
        <w:rPr>
          <w:sz w:val="18"/>
        </w:rPr>
        <w:t>, aby b</w:t>
      </w:r>
      <w:r w:rsidR="00CE1BC3" w:rsidRPr="001F5A32">
        <w:rPr>
          <w:sz w:val="18"/>
        </w:rPr>
        <w:t>o</w:t>
      </w:r>
      <w:r w:rsidRPr="001F5A32">
        <w:rPr>
          <w:sz w:val="18"/>
        </w:rPr>
        <w:t>l dosahov</w:t>
      </w:r>
      <w:r w:rsidR="00CE1BC3" w:rsidRPr="001F5A32">
        <w:rPr>
          <w:sz w:val="18"/>
        </w:rPr>
        <w:t>a</w:t>
      </w:r>
      <w:r w:rsidRPr="001F5A32">
        <w:rPr>
          <w:sz w:val="18"/>
        </w:rPr>
        <w:t>n</w:t>
      </w:r>
      <w:r w:rsidR="00CE1BC3" w:rsidRPr="001F5A32">
        <w:rPr>
          <w:sz w:val="18"/>
        </w:rPr>
        <w:t>ý</w:t>
      </w:r>
      <w:r w:rsidRPr="001F5A32">
        <w:rPr>
          <w:sz w:val="18"/>
        </w:rPr>
        <w:t xml:space="preserve"> zisku na vše</w:t>
      </w:r>
      <w:r w:rsidR="00282203" w:rsidRPr="001F5A32">
        <w:rPr>
          <w:sz w:val="18"/>
        </w:rPr>
        <w:t>tký</w:t>
      </w:r>
      <w:r w:rsidRPr="001F5A32">
        <w:rPr>
          <w:sz w:val="18"/>
        </w:rPr>
        <w:t>ch hern</w:t>
      </w:r>
      <w:r w:rsidR="00282203" w:rsidRPr="001F5A32">
        <w:rPr>
          <w:sz w:val="18"/>
        </w:rPr>
        <w:t>ia</w:t>
      </w:r>
      <w:r w:rsidRPr="001F5A32">
        <w:rPr>
          <w:sz w:val="18"/>
        </w:rPr>
        <w:t>ch. V s</w:t>
      </w:r>
      <w:r w:rsidR="00282203" w:rsidRPr="001F5A32">
        <w:rPr>
          <w:sz w:val="18"/>
        </w:rPr>
        <w:t>ú</w:t>
      </w:r>
      <w:r w:rsidRPr="001F5A32">
        <w:rPr>
          <w:sz w:val="18"/>
        </w:rPr>
        <w:t>časn</w:t>
      </w:r>
      <w:r w:rsidR="00282203" w:rsidRPr="001F5A32">
        <w:rPr>
          <w:sz w:val="18"/>
        </w:rPr>
        <w:t>ej</w:t>
      </w:r>
      <w:r w:rsidRPr="001F5A32">
        <w:rPr>
          <w:sz w:val="18"/>
        </w:rPr>
        <w:t xml:space="preserve"> dob</w:t>
      </w:r>
      <w:r w:rsidR="00282203" w:rsidRPr="001F5A32">
        <w:rPr>
          <w:sz w:val="18"/>
        </w:rPr>
        <w:t>e</w:t>
      </w:r>
      <w:r w:rsidRPr="001F5A32">
        <w:rPr>
          <w:sz w:val="18"/>
        </w:rPr>
        <w:t xml:space="preserve"> s</w:t>
      </w:r>
      <w:r w:rsidR="00282203" w:rsidRPr="001F5A32">
        <w:rPr>
          <w:sz w:val="18"/>
        </w:rPr>
        <w:t>ú</w:t>
      </w:r>
      <w:r w:rsidRPr="001F5A32">
        <w:rPr>
          <w:sz w:val="18"/>
        </w:rPr>
        <w:t xml:space="preserve"> výnosy u n</w:t>
      </w:r>
      <w:r w:rsidR="00282203" w:rsidRPr="001F5A32">
        <w:rPr>
          <w:sz w:val="18"/>
        </w:rPr>
        <w:t>ie</w:t>
      </w:r>
      <w:r w:rsidRPr="001F5A32">
        <w:rPr>
          <w:sz w:val="18"/>
        </w:rPr>
        <w:t>kt</w:t>
      </w:r>
      <w:r w:rsidR="00282203" w:rsidRPr="001F5A32">
        <w:rPr>
          <w:sz w:val="18"/>
        </w:rPr>
        <w:t>o</w:t>
      </w:r>
      <w:r w:rsidRPr="001F5A32">
        <w:rPr>
          <w:sz w:val="18"/>
        </w:rPr>
        <w:t>rých hern</w:t>
      </w:r>
      <w:r w:rsidR="00282203" w:rsidRPr="001F5A32">
        <w:rPr>
          <w:sz w:val="18"/>
        </w:rPr>
        <w:t>í</w:t>
      </w:r>
      <w:r w:rsidRPr="001F5A32">
        <w:rPr>
          <w:sz w:val="18"/>
        </w:rPr>
        <w:t xml:space="preserve"> pod hranic</w:t>
      </w:r>
      <w:r w:rsidR="00282203" w:rsidRPr="001F5A32">
        <w:rPr>
          <w:sz w:val="18"/>
        </w:rPr>
        <w:t>ou</w:t>
      </w:r>
      <w:r w:rsidRPr="001F5A32">
        <w:rPr>
          <w:sz w:val="18"/>
        </w:rPr>
        <w:t xml:space="preserve"> náklad</w:t>
      </w:r>
      <w:r w:rsidR="00282203" w:rsidRPr="001F5A32">
        <w:rPr>
          <w:sz w:val="18"/>
        </w:rPr>
        <w:t>ov</w:t>
      </w:r>
      <w:r w:rsidRPr="001F5A32">
        <w:rPr>
          <w:sz w:val="18"/>
        </w:rPr>
        <w:t xml:space="preserve"> a</w:t>
      </w:r>
      <w:r w:rsidR="00282203" w:rsidRPr="001F5A32">
        <w:rPr>
          <w:sz w:val="18"/>
        </w:rPr>
        <w:t xml:space="preserve"> prevádzky</w:t>
      </w:r>
      <w:r w:rsidRPr="001F5A32">
        <w:rPr>
          <w:sz w:val="18"/>
        </w:rPr>
        <w:t xml:space="preserve"> s</w:t>
      </w:r>
      <w:r w:rsidR="00282203" w:rsidRPr="001F5A32">
        <w:rPr>
          <w:sz w:val="18"/>
        </w:rPr>
        <w:t>ú</w:t>
      </w:r>
      <w:r w:rsidRPr="001F5A32">
        <w:rPr>
          <w:sz w:val="18"/>
        </w:rPr>
        <w:t xml:space="preserve"> v určit</w:t>
      </w:r>
      <w:r w:rsidR="00282203" w:rsidRPr="001F5A32">
        <w:rPr>
          <w:sz w:val="18"/>
        </w:rPr>
        <w:t>ej</w:t>
      </w:r>
      <w:r w:rsidRPr="001F5A32">
        <w:rPr>
          <w:sz w:val="18"/>
        </w:rPr>
        <w:t xml:space="preserve"> </w:t>
      </w:r>
      <w:r w:rsidR="00282203" w:rsidRPr="001F5A32">
        <w:rPr>
          <w:sz w:val="18"/>
        </w:rPr>
        <w:t>s</w:t>
      </w:r>
      <w:r w:rsidRPr="001F5A32">
        <w:rPr>
          <w:sz w:val="18"/>
        </w:rPr>
        <w:t>tr</w:t>
      </w:r>
      <w:r w:rsidR="00282203" w:rsidRPr="001F5A32">
        <w:rPr>
          <w:sz w:val="18"/>
        </w:rPr>
        <w:t>a</w:t>
      </w:r>
      <w:r w:rsidRPr="001F5A32">
        <w:rPr>
          <w:sz w:val="18"/>
        </w:rPr>
        <w:t>t</w:t>
      </w:r>
      <w:r w:rsidR="00282203" w:rsidRPr="001F5A32">
        <w:rPr>
          <w:sz w:val="18"/>
        </w:rPr>
        <w:t>e</w:t>
      </w:r>
      <w:r w:rsidRPr="001F5A32">
        <w:rPr>
          <w:sz w:val="18"/>
        </w:rPr>
        <w:t xml:space="preserve">. </w:t>
      </w:r>
    </w:p>
    <w:p w14:paraId="54785B01" w14:textId="581CFB55" w:rsidR="00191993" w:rsidRPr="00191993" w:rsidRDefault="00191993" w:rsidP="00191993">
      <w:pPr>
        <w:jc w:val="both"/>
        <w:rPr>
          <w:sz w:val="18"/>
        </w:rPr>
      </w:pPr>
      <w:r w:rsidRPr="001F5A32">
        <w:rPr>
          <w:sz w:val="18"/>
        </w:rPr>
        <w:t>Me</w:t>
      </w:r>
      <w:r w:rsidR="00282203" w:rsidRPr="001F5A32">
        <w:rPr>
          <w:sz w:val="18"/>
        </w:rPr>
        <w:t>d</w:t>
      </w:r>
      <w:r w:rsidRPr="001F5A32">
        <w:rPr>
          <w:sz w:val="18"/>
        </w:rPr>
        <w:t>zi skut</w:t>
      </w:r>
      <w:r w:rsidR="00282203" w:rsidRPr="001F5A32">
        <w:rPr>
          <w:sz w:val="18"/>
        </w:rPr>
        <w:t>o</w:t>
      </w:r>
      <w:r w:rsidRPr="001F5A32">
        <w:rPr>
          <w:sz w:val="18"/>
        </w:rPr>
        <w:t>čnosti, kt</w:t>
      </w:r>
      <w:r w:rsidR="00282203" w:rsidRPr="001F5A32">
        <w:rPr>
          <w:sz w:val="18"/>
        </w:rPr>
        <w:t>o</w:t>
      </w:r>
      <w:r w:rsidRPr="001F5A32">
        <w:rPr>
          <w:sz w:val="18"/>
        </w:rPr>
        <w:t>ré m</w:t>
      </w:r>
      <w:r w:rsidR="00282203" w:rsidRPr="001F5A32">
        <w:rPr>
          <w:sz w:val="18"/>
        </w:rPr>
        <w:t>ôžu</w:t>
      </w:r>
      <w:r w:rsidRPr="001F5A32">
        <w:rPr>
          <w:sz w:val="18"/>
        </w:rPr>
        <w:t xml:space="preserve"> ov</w:t>
      </w:r>
      <w:r w:rsidR="00282203" w:rsidRPr="001F5A32">
        <w:rPr>
          <w:sz w:val="18"/>
        </w:rPr>
        <w:t>p</w:t>
      </w:r>
      <w:r w:rsidRPr="001F5A32">
        <w:rPr>
          <w:sz w:val="18"/>
        </w:rPr>
        <w:t>l</w:t>
      </w:r>
      <w:r w:rsidR="00282203" w:rsidRPr="001F5A32">
        <w:rPr>
          <w:sz w:val="18"/>
        </w:rPr>
        <w:t>y</w:t>
      </w:r>
      <w:r w:rsidRPr="001F5A32">
        <w:rPr>
          <w:sz w:val="18"/>
        </w:rPr>
        <w:t>vni</w:t>
      </w:r>
      <w:r w:rsidR="00282203" w:rsidRPr="001F5A32">
        <w:rPr>
          <w:sz w:val="18"/>
        </w:rPr>
        <w:t>ť</w:t>
      </w:r>
      <w:r w:rsidRPr="001F5A32">
        <w:rPr>
          <w:sz w:val="18"/>
        </w:rPr>
        <w:t xml:space="preserve"> výnosy firmy pat</w:t>
      </w:r>
      <w:r w:rsidR="00282203" w:rsidRPr="001F5A32">
        <w:rPr>
          <w:sz w:val="18"/>
        </w:rPr>
        <w:t>r</w:t>
      </w:r>
      <w:r w:rsidRPr="001F5A32">
        <w:rPr>
          <w:sz w:val="18"/>
        </w:rPr>
        <w:t xml:space="preserve">í </w:t>
      </w:r>
      <w:r w:rsidR="00282203" w:rsidRPr="001F5A32">
        <w:rPr>
          <w:sz w:val="18"/>
        </w:rPr>
        <w:t>aj</w:t>
      </w:r>
      <w:r w:rsidRPr="001F5A32">
        <w:rPr>
          <w:sz w:val="18"/>
        </w:rPr>
        <w:t xml:space="preserve"> možnos</w:t>
      </w:r>
      <w:r w:rsidR="00282203" w:rsidRPr="001F5A32">
        <w:rPr>
          <w:sz w:val="18"/>
        </w:rPr>
        <w:t>ť</w:t>
      </w:r>
      <w:r w:rsidRPr="001F5A32">
        <w:rPr>
          <w:sz w:val="18"/>
        </w:rPr>
        <w:t xml:space="preserve"> p</w:t>
      </w:r>
      <w:r w:rsidR="00282203" w:rsidRPr="001F5A32">
        <w:rPr>
          <w:sz w:val="18"/>
        </w:rPr>
        <w:t>rijatia</w:t>
      </w:r>
      <w:r w:rsidRPr="001F5A32">
        <w:rPr>
          <w:sz w:val="18"/>
        </w:rPr>
        <w:t xml:space="preserve"> VZN ( všeobecné záv</w:t>
      </w:r>
      <w:r w:rsidR="00282203" w:rsidRPr="001F5A32">
        <w:rPr>
          <w:sz w:val="18"/>
        </w:rPr>
        <w:t>ä</w:t>
      </w:r>
      <w:r w:rsidRPr="001F5A32">
        <w:rPr>
          <w:sz w:val="18"/>
        </w:rPr>
        <w:t>zné na</w:t>
      </w:r>
      <w:r w:rsidR="00282203" w:rsidRPr="001F5A32">
        <w:rPr>
          <w:sz w:val="18"/>
        </w:rPr>
        <w:t>riadenie</w:t>
      </w:r>
      <w:r w:rsidRPr="001F5A32">
        <w:rPr>
          <w:sz w:val="18"/>
        </w:rPr>
        <w:t>) m</w:t>
      </w:r>
      <w:r w:rsidR="00282203" w:rsidRPr="001F5A32">
        <w:rPr>
          <w:sz w:val="18"/>
        </w:rPr>
        <w:t>ie</w:t>
      </w:r>
      <w:r w:rsidRPr="001F5A32">
        <w:rPr>
          <w:sz w:val="18"/>
        </w:rPr>
        <w:t>st a obcí, k</w:t>
      </w:r>
      <w:r w:rsidR="00282203" w:rsidRPr="001F5A32">
        <w:rPr>
          <w:sz w:val="18"/>
        </w:rPr>
        <w:t>e</w:t>
      </w:r>
      <w:r w:rsidRPr="001F5A32">
        <w:rPr>
          <w:sz w:val="18"/>
        </w:rPr>
        <w:t>dy m</w:t>
      </w:r>
      <w:r w:rsidR="00282203" w:rsidRPr="001F5A32">
        <w:rPr>
          <w:sz w:val="18"/>
        </w:rPr>
        <w:t>ôžu</w:t>
      </w:r>
      <w:r w:rsidRPr="001F5A32">
        <w:rPr>
          <w:sz w:val="18"/>
        </w:rPr>
        <w:t xml:space="preserve"> za určitých podm</w:t>
      </w:r>
      <w:r w:rsidR="00282203" w:rsidRPr="001F5A32">
        <w:rPr>
          <w:sz w:val="18"/>
        </w:rPr>
        <w:t>ie</w:t>
      </w:r>
      <w:r w:rsidRPr="001F5A32">
        <w:rPr>
          <w:sz w:val="18"/>
        </w:rPr>
        <w:t>n</w:t>
      </w:r>
      <w:r w:rsidR="00282203" w:rsidRPr="001F5A32">
        <w:rPr>
          <w:sz w:val="18"/>
        </w:rPr>
        <w:t>o</w:t>
      </w:r>
      <w:r w:rsidRPr="001F5A32">
        <w:rPr>
          <w:sz w:val="18"/>
        </w:rPr>
        <w:t>k o</w:t>
      </w:r>
      <w:r w:rsidR="00282203" w:rsidRPr="001F5A32">
        <w:rPr>
          <w:sz w:val="18"/>
        </w:rPr>
        <w:t>b</w:t>
      </w:r>
      <w:r w:rsidRPr="001F5A32">
        <w:rPr>
          <w:sz w:val="18"/>
        </w:rPr>
        <w:t>me</w:t>
      </w:r>
      <w:r w:rsidR="00282203" w:rsidRPr="001F5A32">
        <w:rPr>
          <w:sz w:val="18"/>
        </w:rPr>
        <w:t>d</w:t>
      </w:r>
      <w:r w:rsidRPr="001F5A32">
        <w:rPr>
          <w:sz w:val="18"/>
        </w:rPr>
        <w:t>zi</w:t>
      </w:r>
      <w:r w:rsidR="00282203" w:rsidRPr="001F5A32">
        <w:rPr>
          <w:sz w:val="18"/>
        </w:rPr>
        <w:t>ť</w:t>
      </w:r>
      <w:r w:rsidRPr="001F5A32">
        <w:rPr>
          <w:sz w:val="18"/>
        </w:rPr>
        <w:t xml:space="preserve"> pr</w:t>
      </w:r>
      <w:r w:rsidR="00282203" w:rsidRPr="001F5A32">
        <w:rPr>
          <w:sz w:val="18"/>
        </w:rPr>
        <w:t>e</w:t>
      </w:r>
      <w:r w:rsidRPr="001F5A32">
        <w:rPr>
          <w:sz w:val="18"/>
        </w:rPr>
        <w:t>v</w:t>
      </w:r>
      <w:r w:rsidR="00282203" w:rsidRPr="001F5A32">
        <w:rPr>
          <w:sz w:val="18"/>
        </w:rPr>
        <w:t>ádzku</w:t>
      </w:r>
      <w:r w:rsidRPr="001F5A32">
        <w:rPr>
          <w:sz w:val="18"/>
        </w:rPr>
        <w:t xml:space="preserve"> hern</w:t>
      </w:r>
      <w:r w:rsidR="00282203" w:rsidRPr="001F5A32">
        <w:rPr>
          <w:sz w:val="18"/>
        </w:rPr>
        <w:t>í</w:t>
      </w:r>
      <w:r w:rsidRPr="001F5A32">
        <w:rPr>
          <w:sz w:val="18"/>
        </w:rPr>
        <w:t xml:space="preserve"> v blízkost</w:t>
      </w:r>
      <w:r w:rsidR="00282203" w:rsidRPr="001F5A32">
        <w:rPr>
          <w:sz w:val="18"/>
        </w:rPr>
        <w:t>i</w:t>
      </w:r>
      <w:r w:rsidRPr="001F5A32">
        <w:rPr>
          <w:sz w:val="18"/>
        </w:rPr>
        <w:t xml:space="preserve"> šk</w:t>
      </w:r>
      <w:r w:rsidR="00282203" w:rsidRPr="001F5A32">
        <w:rPr>
          <w:sz w:val="18"/>
        </w:rPr>
        <w:t>ô</w:t>
      </w:r>
      <w:r w:rsidRPr="001F5A32">
        <w:rPr>
          <w:sz w:val="18"/>
        </w:rPr>
        <w:t>l, rozší</w:t>
      </w:r>
      <w:r w:rsidR="00282203" w:rsidRPr="001F5A32">
        <w:rPr>
          <w:sz w:val="18"/>
        </w:rPr>
        <w:t>r</w:t>
      </w:r>
      <w:r w:rsidRPr="001F5A32">
        <w:rPr>
          <w:sz w:val="18"/>
        </w:rPr>
        <w:t>i</w:t>
      </w:r>
      <w:r w:rsidR="00282203" w:rsidRPr="001F5A32">
        <w:rPr>
          <w:sz w:val="18"/>
        </w:rPr>
        <w:t>ť</w:t>
      </w:r>
      <w:r w:rsidRPr="001F5A32">
        <w:rPr>
          <w:sz w:val="18"/>
        </w:rPr>
        <w:t xml:space="preserve"> dn</w:t>
      </w:r>
      <w:r w:rsidR="00282203" w:rsidRPr="001F5A32">
        <w:rPr>
          <w:sz w:val="18"/>
        </w:rPr>
        <w:t>i</w:t>
      </w:r>
      <w:r w:rsidRPr="001F5A32">
        <w:rPr>
          <w:sz w:val="18"/>
        </w:rPr>
        <w:t>, k</w:t>
      </w:r>
      <w:r w:rsidR="00282203" w:rsidRPr="001F5A32">
        <w:rPr>
          <w:sz w:val="18"/>
        </w:rPr>
        <w:t>e</w:t>
      </w:r>
      <w:r w:rsidRPr="001F5A32">
        <w:rPr>
          <w:sz w:val="18"/>
        </w:rPr>
        <w:t>dy s</w:t>
      </w:r>
      <w:r w:rsidR="00282203" w:rsidRPr="001F5A32">
        <w:rPr>
          <w:sz w:val="18"/>
        </w:rPr>
        <w:t>a</w:t>
      </w:r>
      <w:r w:rsidRPr="001F5A32">
        <w:rPr>
          <w:sz w:val="18"/>
        </w:rPr>
        <w:t xml:space="preserve"> nebude m</w:t>
      </w:r>
      <w:r w:rsidR="00282203" w:rsidRPr="001F5A32">
        <w:rPr>
          <w:sz w:val="18"/>
        </w:rPr>
        <w:t>ô</w:t>
      </w:r>
      <w:r w:rsidRPr="001F5A32">
        <w:rPr>
          <w:sz w:val="18"/>
        </w:rPr>
        <w:t>c</w:t>
      </w:r>
      <w:r w:rsidR="00282203" w:rsidRPr="001F5A32">
        <w:rPr>
          <w:sz w:val="18"/>
        </w:rPr>
        <w:t>ť</w:t>
      </w:r>
      <w:r w:rsidRPr="001F5A32">
        <w:rPr>
          <w:sz w:val="18"/>
        </w:rPr>
        <w:t xml:space="preserve"> hazard pr</w:t>
      </w:r>
      <w:r w:rsidR="00282203" w:rsidRPr="001F5A32">
        <w:rPr>
          <w:sz w:val="18"/>
        </w:rPr>
        <w:t>e</w:t>
      </w:r>
      <w:r w:rsidRPr="001F5A32">
        <w:rPr>
          <w:sz w:val="18"/>
        </w:rPr>
        <w:t>v</w:t>
      </w:r>
      <w:r w:rsidR="00282203" w:rsidRPr="001F5A32">
        <w:rPr>
          <w:sz w:val="18"/>
        </w:rPr>
        <w:t>ádzkovať</w:t>
      </w:r>
      <w:r w:rsidRPr="001F5A32">
        <w:rPr>
          <w:sz w:val="18"/>
        </w:rPr>
        <w:t xml:space="preserve">. Takže je </w:t>
      </w:r>
      <w:r w:rsidR="00282203" w:rsidRPr="001F5A32">
        <w:rPr>
          <w:sz w:val="18"/>
        </w:rPr>
        <w:t>po</w:t>
      </w:r>
      <w:r w:rsidRPr="001F5A32">
        <w:rPr>
          <w:sz w:val="18"/>
        </w:rPr>
        <w:t>t</w:t>
      </w:r>
      <w:r w:rsidR="00282203" w:rsidRPr="001F5A32">
        <w:rPr>
          <w:sz w:val="18"/>
        </w:rPr>
        <w:t>r</w:t>
      </w:r>
      <w:r w:rsidRPr="001F5A32">
        <w:rPr>
          <w:sz w:val="18"/>
        </w:rPr>
        <w:t>eb</w:t>
      </w:r>
      <w:r w:rsidR="00282203" w:rsidRPr="001F5A32">
        <w:rPr>
          <w:sz w:val="18"/>
        </w:rPr>
        <w:t>né</w:t>
      </w:r>
      <w:r w:rsidRPr="001F5A32">
        <w:rPr>
          <w:sz w:val="18"/>
        </w:rPr>
        <w:t xml:space="preserve"> s</w:t>
      </w:r>
      <w:r w:rsidR="00282203" w:rsidRPr="001F5A32">
        <w:rPr>
          <w:sz w:val="18"/>
        </w:rPr>
        <w:t>a</w:t>
      </w:r>
      <w:r w:rsidRPr="001F5A32">
        <w:rPr>
          <w:sz w:val="18"/>
        </w:rPr>
        <w:t xml:space="preserve"> s novým zákon</w:t>
      </w:r>
      <w:r w:rsidR="00282203" w:rsidRPr="001F5A32">
        <w:rPr>
          <w:sz w:val="18"/>
        </w:rPr>
        <w:t>o</w:t>
      </w:r>
      <w:r w:rsidRPr="001F5A32">
        <w:rPr>
          <w:sz w:val="18"/>
        </w:rPr>
        <w:t xml:space="preserve">m </w:t>
      </w:r>
      <w:r w:rsidR="00282203" w:rsidRPr="001F5A32">
        <w:rPr>
          <w:sz w:val="18"/>
        </w:rPr>
        <w:t>z</w:t>
      </w:r>
      <w:r w:rsidRPr="001F5A32">
        <w:rPr>
          <w:sz w:val="18"/>
        </w:rPr>
        <w:t>ž</w:t>
      </w:r>
      <w:r w:rsidR="00282203" w:rsidRPr="001F5A32">
        <w:rPr>
          <w:sz w:val="18"/>
        </w:rPr>
        <w:t>iť</w:t>
      </w:r>
      <w:r w:rsidRPr="001F5A32">
        <w:rPr>
          <w:sz w:val="18"/>
        </w:rPr>
        <w:t xml:space="preserve"> a p</w:t>
      </w:r>
      <w:r w:rsidR="00282203" w:rsidRPr="001F5A32">
        <w:rPr>
          <w:sz w:val="18"/>
        </w:rPr>
        <w:t>r</w:t>
      </w:r>
      <w:r w:rsidRPr="001F5A32">
        <w:rPr>
          <w:sz w:val="18"/>
        </w:rPr>
        <w:t>i</w:t>
      </w:r>
      <w:r w:rsidR="00282203" w:rsidRPr="001F5A32">
        <w:rPr>
          <w:sz w:val="18"/>
        </w:rPr>
        <w:t>s</w:t>
      </w:r>
      <w:r w:rsidRPr="001F5A32">
        <w:rPr>
          <w:sz w:val="18"/>
        </w:rPr>
        <w:t>p</w:t>
      </w:r>
      <w:r w:rsidR="00282203" w:rsidRPr="001F5A32">
        <w:rPr>
          <w:sz w:val="18"/>
        </w:rPr>
        <w:t>ô</w:t>
      </w:r>
      <w:r w:rsidRPr="001F5A32">
        <w:rPr>
          <w:sz w:val="18"/>
        </w:rPr>
        <w:t>sobi</w:t>
      </w:r>
      <w:r w:rsidR="00282203" w:rsidRPr="001F5A32">
        <w:rPr>
          <w:sz w:val="18"/>
        </w:rPr>
        <w:t>ť</w:t>
      </w:r>
      <w:r w:rsidRPr="001F5A32">
        <w:rPr>
          <w:sz w:val="18"/>
        </w:rPr>
        <w:t xml:space="preserve"> pr</w:t>
      </w:r>
      <w:r w:rsidR="00282203" w:rsidRPr="001F5A32">
        <w:rPr>
          <w:sz w:val="18"/>
        </w:rPr>
        <w:t>e</w:t>
      </w:r>
      <w:r w:rsidRPr="001F5A32">
        <w:rPr>
          <w:sz w:val="18"/>
        </w:rPr>
        <w:t>v</w:t>
      </w:r>
      <w:r w:rsidR="00282203" w:rsidRPr="001F5A32">
        <w:rPr>
          <w:sz w:val="18"/>
        </w:rPr>
        <w:t>ádzku</w:t>
      </w:r>
      <w:r w:rsidRPr="001F5A32">
        <w:rPr>
          <w:sz w:val="18"/>
        </w:rPr>
        <w:t xml:space="preserve"> hern</w:t>
      </w:r>
      <w:r w:rsidR="00282203" w:rsidRPr="001F5A32">
        <w:rPr>
          <w:sz w:val="18"/>
        </w:rPr>
        <w:t>í</w:t>
      </w:r>
      <w:r w:rsidRPr="001F5A32">
        <w:rPr>
          <w:sz w:val="18"/>
        </w:rPr>
        <w:t xml:space="preserve"> tak, aby b</w:t>
      </w:r>
      <w:r w:rsidR="00282203" w:rsidRPr="001F5A32">
        <w:rPr>
          <w:sz w:val="18"/>
        </w:rPr>
        <w:t>o</w:t>
      </w:r>
      <w:r w:rsidRPr="001F5A32">
        <w:rPr>
          <w:sz w:val="18"/>
        </w:rPr>
        <w:t>l</w:t>
      </w:r>
      <w:r w:rsidR="00282203" w:rsidRPr="001F5A32">
        <w:rPr>
          <w:sz w:val="18"/>
        </w:rPr>
        <w:t>i</w:t>
      </w:r>
      <w:r w:rsidRPr="001F5A32">
        <w:rPr>
          <w:sz w:val="18"/>
        </w:rPr>
        <w:t xml:space="preserve"> </w:t>
      </w:r>
      <w:r w:rsidR="00282203" w:rsidRPr="001F5A32">
        <w:rPr>
          <w:sz w:val="18"/>
        </w:rPr>
        <w:t>dosaho</w:t>
      </w:r>
      <w:r w:rsidRPr="001F5A32">
        <w:rPr>
          <w:sz w:val="18"/>
        </w:rPr>
        <w:t>v</w:t>
      </w:r>
      <w:r w:rsidR="00282203" w:rsidRPr="001F5A32">
        <w:rPr>
          <w:sz w:val="18"/>
        </w:rPr>
        <w:t xml:space="preserve">ané výnosy </w:t>
      </w:r>
      <w:r w:rsidRPr="001F5A32">
        <w:rPr>
          <w:sz w:val="18"/>
        </w:rPr>
        <w:t>a zisk. S výh</w:t>
      </w:r>
      <w:r w:rsidR="00282203" w:rsidRPr="001F5A32">
        <w:rPr>
          <w:sz w:val="18"/>
        </w:rPr>
        <w:t>ľa</w:t>
      </w:r>
      <w:r w:rsidRPr="001F5A32">
        <w:rPr>
          <w:sz w:val="18"/>
        </w:rPr>
        <w:t>d</w:t>
      </w:r>
      <w:r w:rsidR="00282203" w:rsidRPr="001F5A32">
        <w:rPr>
          <w:sz w:val="18"/>
        </w:rPr>
        <w:t>o</w:t>
      </w:r>
      <w:r w:rsidRPr="001F5A32">
        <w:rPr>
          <w:sz w:val="18"/>
        </w:rPr>
        <w:t xml:space="preserve">m na </w:t>
      </w:r>
      <w:r w:rsidR="00282203" w:rsidRPr="001F5A32">
        <w:rPr>
          <w:sz w:val="18"/>
        </w:rPr>
        <w:t>ďalšie</w:t>
      </w:r>
      <w:r w:rsidRPr="001F5A32">
        <w:rPr>
          <w:sz w:val="18"/>
        </w:rPr>
        <w:t xml:space="preserve"> 2-3 roky nep</w:t>
      </w:r>
      <w:r w:rsidR="00282203" w:rsidRPr="001F5A32">
        <w:rPr>
          <w:sz w:val="18"/>
        </w:rPr>
        <w:t>r</w:t>
      </w:r>
      <w:r w:rsidRPr="001F5A32">
        <w:rPr>
          <w:sz w:val="18"/>
        </w:rPr>
        <w:t>edpokl</w:t>
      </w:r>
      <w:r w:rsidR="00282203" w:rsidRPr="001F5A32">
        <w:rPr>
          <w:sz w:val="18"/>
        </w:rPr>
        <w:t>a</w:t>
      </w:r>
      <w:r w:rsidRPr="001F5A32">
        <w:rPr>
          <w:sz w:val="18"/>
        </w:rPr>
        <w:t xml:space="preserve">dáme, že </w:t>
      </w:r>
      <w:r w:rsidR="00282203" w:rsidRPr="001F5A32">
        <w:rPr>
          <w:sz w:val="18"/>
        </w:rPr>
        <w:t>budú</w:t>
      </w:r>
      <w:r w:rsidRPr="001F5A32">
        <w:rPr>
          <w:sz w:val="18"/>
        </w:rPr>
        <w:t xml:space="preserve"> výnos</w:t>
      </w:r>
      <w:r w:rsidR="00282203" w:rsidRPr="001F5A32">
        <w:rPr>
          <w:sz w:val="18"/>
        </w:rPr>
        <w:t>y</w:t>
      </w:r>
      <w:r w:rsidRPr="001F5A32">
        <w:rPr>
          <w:sz w:val="18"/>
        </w:rPr>
        <w:t xml:space="preserve">  a zisk dos</w:t>
      </w:r>
      <w:r w:rsidR="00282203" w:rsidRPr="001F5A32">
        <w:rPr>
          <w:sz w:val="18"/>
        </w:rPr>
        <w:t>ia</w:t>
      </w:r>
      <w:r w:rsidRPr="001F5A32">
        <w:rPr>
          <w:sz w:val="18"/>
        </w:rPr>
        <w:t>hn</w:t>
      </w:r>
      <w:r w:rsidR="00876712" w:rsidRPr="001F5A32">
        <w:rPr>
          <w:sz w:val="18"/>
        </w:rPr>
        <w:t>e</w:t>
      </w:r>
      <w:r w:rsidR="00A80D2A" w:rsidRPr="001F5A32">
        <w:rPr>
          <w:sz w:val="18"/>
        </w:rPr>
        <w:t xml:space="preserve"> </w:t>
      </w:r>
      <w:r w:rsidRPr="001F5A32">
        <w:rPr>
          <w:sz w:val="18"/>
        </w:rPr>
        <w:t xml:space="preserve"> ako v rekordn</w:t>
      </w:r>
      <w:r w:rsidR="00282203" w:rsidRPr="001F5A32">
        <w:rPr>
          <w:sz w:val="18"/>
        </w:rPr>
        <w:t>o</w:t>
      </w:r>
      <w:r w:rsidRPr="001F5A32">
        <w:rPr>
          <w:sz w:val="18"/>
        </w:rPr>
        <w:t>m ro</w:t>
      </w:r>
      <w:r w:rsidR="00876712" w:rsidRPr="001F5A32">
        <w:rPr>
          <w:sz w:val="18"/>
        </w:rPr>
        <w:t>ku</w:t>
      </w:r>
      <w:r w:rsidRPr="001F5A32">
        <w:rPr>
          <w:sz w:val="18"/>
        </w:rPr>
        <w:t xml:space="preserve"> 2018.</w:t>
      </w:r>
      <w:r w:rsidRPr="00191993">
        <w:rPr>
          <w:sz w:val="18"/>
        </w:rPr>
        <w:t xml:space="preserve">  </w:t>
      </w:r>
    </w:p>
    <w:p w14:paraId="0F72EB2D" w14:textId="77777777" w:rsidR="00CA3032" w:rsidRPr="00CA3032" w:rsidRDefault="00CA3032" w:rsidP="00CA3032">
      <w:pPr>
        <w:jc w:val="both"/>
        <w:rPr>
          <w:sz w:val="18"/>
        </w:rPr>
      </w:pPr>
    </w:p>
    <w:p w14:paraId="79B039EF" w14:textId="77777777" w:rsidR="00B67F8C" w:rsidRDefault="00B67F8C" w:rsidP="00CA3032">
      <w:pPr>
        <w:jc w:val="both"/>
        <w:rPr>
          <w:sz w:val="18"/>
        </w:rPr>
      </w:pPr>
    </w:p>
    <w:p w14:paraId="78AB8D37" w14:textId="77777777" w:rsidR="00B67F8C" w:rsidRPr="00CA3032" w:rsidRDefault="00B67F8C" w:rsidP="00CA3032">
      <w:pPr>
        <w:jc w:val="both"/>
        <w:rPr>
          <w:sz w:val="18"/>
        </w:rPr>
      </w:pPr>
    </w:p>
    <w:p w14:paraId="0E60C2F5" w14:textId="77777777" w:rsidR="00CA3032" w:rsidRDefault="00CA3032" w:rsidP="00CA3032">
      <w:pPr>
        <w:rPr>
          <w:rFonts w:ascii="FuturaTEE-Demi" w:hAnsi="FuturaTEE-Demi"/>
          <w:b/>
          <w:sz w:val="18"/>
        </w:rPr>
      </w:pPr>
      <w:r w:rsidRPr="00442938">
        <w:rPr>
          <w:rFonts w:ascii="FuturaTEE-Demi" w:hAnsi="FuturaTEE-Demi"/>
          <w:b/>
          <w:sz w:val="18"/>
        </w:rPr>
        <w:t xml:space="preserve">   </w:t>
      </w:r>
      <w:r w:rsidRPr="00642281">
        <w:rPr>
          <w:rFonts w:ascii="FuturaTEE-Demi" w:hAnsi="FuturaTEE-Demi"/>
          <w:b/>
          <w:sz w:val="18"/>
        </w:rPr>
        <w:t xml:space="preserve">  Informácie o skutočnostiach, ktoré nastali po dni, ku ktorému sa zostavuje účtovná závierka, do dňa zostavenia účtovnej závierky</w:t>
      </w:r>
    </w:p>
    <w:p w14:paraId="3123FAE2" w14:textId="77777777" w:rsidR="00CA3032" w:rsidRDefault="00CA3032" w:rsidP="00CA3032">
      <w:pPr>
        <w:rPr>
          <w:rFonts w:ascii="FuturaTEE-Demi" w:hAnsi="FuturaTEE-Demi"/>
          <w:b/>
          <w:sz w:val="18"/>
        </w:rPr>
      </w:pPr>
    </w:p>
    <w:p w14:paraId="1E5834AB" w14:textId="6F7A6C27" w:rsidR="00CA3032" w:rsidRDefault="00CA3032" w:rsidP="00377AB3">
      <w:pPr>
        <w:jc w:val="both"/>
        <w:rPr>
          <w:sz w:val="16"/>
          <w:szCs w:val="16"/>
        </w:rPr>
      </w:pPr>
      <w:r w:rsidRPr="00CA3032">
        <w:rPr>
          <w:sz w:val="18"/>
        </w:rPr>
        <w:t>V období medzi dňom, ku ktorému sa  zostavuje  účtovná závierka a dňom  zostavenia účtovnej závierky</w:t>
      </w:r>
      <w:r w:rsidR="00377AB3">
        <w:rPr>
          <w:sz w:val="18"/>
        </w:rPr>
        <w:t xml:space="preserve"> ne</w:t>
      </w:r>
      <w:r w:rsidRPr="00CA3032">
        <w:rPr>
          <w:sz w:val="18"/>
        </w:rPr>
        <w:t>došlo k</w:t>
      </w:r>
      <w:r w:rsidR="00377AB3">
        <w:rPr>
          <w:sz w:val="18"/>
        </w:rPr>
        <w:t xml:space="preserve"> žiadnym </w:t>
      </w:r>
      <w:r w:rsidRPr="00CA3032">
        <w:rPr>
          <w:sz w:val="18"/>
        </w:rPr>
        <w:t xml:space="preserve"> </w:t>
      </w:r>
      <w:r w:rsidR="00377AB3">
        <w:rPr>
          <w:sz w:val="18"/>
        </w:rPr>
        <w:t xml:space="preserve">zmenám, ktoré by mali vplyv na hospodárenie spoločnosti. </w:t>
      </w:r>
    </w:p>
    <w:p w14:paraId="38E94F46" w14:textId="77777777" w:rsidR="00CA3032" w:rsidRDefault="00CA3032" w:rsidP="00391EC0">
      <w:pPr>
        <w:pStyle w:val="Zkladntext"/>
        <w:rPr>
          <w:sz w:val="16"/>
          <w:szCs w:val="16"/>
        </w:rPr>
      </w:pPr>
    </w:p>
    <w:p w14:paraId="69931162" w14:textId="77777777" w:rsidR="00CA3032" w:rsidRDefault="00CA3032" w:rsidP="00391EC0">
      <w:pPr>
        <w:pStyle w:val="Zkladntext"/>
        <w:rPr>
          <w:sz w:val="16"/>
          <w:szCs w:val="16"/>
        </w:rPr>
      </w:pPr>
    </w:p>
    <w:p w14:paraId="4A0EDE74" w14:textId="77777777" w:rsidR="00CA3032" w:rsidRDefault="00CA3032" w:rsidP="00391EC0">
      <w:pPr>
        <w:pStyle w:val="Zkladntext"/>
        <w:rPr>
          <w:sz w:val="16"/>
          <w:szCs w:val="16"/>
        </w:rPr>
      </w:pPr>
    </w:p>
    <w:p w14:paraId="3778D9AA" w14:textId="77777777" w:rsidR="00CA3032" w:rsidRDefault="00CA3032" w:rsidP="00391EC0">
      <w:pPr>
        <w:pStyle w:val="Zkladntext"/>
        <w:rPr>
          <w:sz w:val="16"/>
          <w:szCs w:val="16"/>
        </w:rPr>
      </w:pPr>
    </w:p>
    <w:p w14:paraId="32431A36" w14:textId="77777777" w:rsidR="00CA3032" w:rsidRDefault="00CA3032" w:rsidP="00391EC0">
      <w:pPr>
        <w:pStyle w:val="Zkladntext"/>
        <w:rPr>
          <w:sz w:val="16"/>
          <w:szCs w:val="16"/>
        </w:rPr>
      </w:pPr>
    </w:p>
    <w:p w14:paraId="53516015" w14:textId="77777777" w:rsidR="00CA3032" w:rsidRDefault="00CA3032" w:rsidP="00391EC0">
      <w:pPr>
        <w:pStyle w:val="Zkladntext"/>
        <w:rPr>
          <w:sz w:val="16"/>
          <w:szCs w:val="16"/>
        </w:rPr>
      </w:pPr>
    </w:p>
    <w:p w14:paraId="73DFF6FE" w14:textId="77777777" w:rsidR="00CA3032" w:rsidRDefault="00CA3032" w:rsidP="00391EC0">
      <w:pPr>
        <w:pStyle w:val="Zkladntext"/>
        <w:rPr>
          <w:sz w:val="16"/>
          <w:szCs w:val="16"/>
        </w:rPr>
      </w:pPr>
    </w:p>
    <w:p w14:paraId="721367A8" w14:textId="77777777" w:rsidR="00CA3032" w:rsidRDefault="00CA3032" w:rsidP="00391EC0">
      <w:pPr>
        <w:pStyle w:val="Zkladntext"/>
        <w:rPr>
          <w:sz w:val="16"/>
          <w:szCs w:val="16"/>
        </w:rPr>
      </w:pPr>
    </w:p>
    <w:p w14:paraId="6D7C7BC2" w14:textId="77777777" w:rsidR="00CA3032" w:rsidRDefault="00CA3032" w:rsidP="00391EC0">
      <w:pPr>
        <w:pStyle w:val="Zkladntext"/>
        <w:rPr>
          <w:sz w:val="16"/>
          <w:szCs w:val="16"/>
        </w:rPr>
      </w:pPr>
    </w:p>
    <w:p w14:paraId="5BA4B8B0" w14:textId="77777777" w:rsidR="00CA3032" w:rsidRDefault="00CA3032" w:rsidP="00391EC0">
      <w:pPr>
        <w:pStyle w:val="Zkladntext"/>
        <w:rPr>
          <w:sz w:val="16"/>
          <w:szCs w:val="16"/>
        </w:rPr>
      </w:pPr>
    </w:p>
    <w:p w14:paraId="594E117A" w14:textId="77777777" w:rsidR="00CA3032" w:rsidRDefault="00CA3032" w:rsidP="00391EC0">
      <w:pPr>
        <w:pStyle w:val="Zkladntext"/>
        <w:rPr>
          <w:sz w:val="16"/>
          <w:szCs w:val="16"/>
        </w:rPr>
      </w:pPr>
    </w:p>
    <w:p w14:paraId="2301517C" w14:textId="77777777" w:rsidR="00CA3032" w:rsidRDefault="00CA3032" w:rsidP="00391EC0">
      <w:pPr>
        <w:pStyle w:val="Zkladntext"/>
        <w:rPr>
          <w:sz w:val="16"/>
          <w:szCs w:val="16"/>
        </w:rPr>
      </w:pPr>
    </w:p>
    <w:p w14:paraId="049FC590" w14:textId="77777777" w:rsidR="00CA3032" w:rsidRDefault="00CA3032" w:rsidP="00391EC0">
      <w:pPr>
        <w:pStyle w:val="Zkladntext"/>
        <w:rPr>
          <w:sz w:val="16"/>
          <w:szCs w:val="16"/>
        </w:rPr>
      </w:pPr>
    </w:p>
    <w:p w14:paraId="006ACBAE" w14:textId="77777777" w:rsidR="00CA3032" w:rsidRDefault="00CA3032" w:rsidP="00391EC0">
      <w:pPr>
        <w:pStyle w:val="Zkladntext"/>
        <w:rPr>
          <w:sz w:val="16"/>
          <w:szCs w:val="16"/>
        </w:rPr>
      </w:pPr>
    </w:p>
    <w:p w14:paraId="1C1485B0" w14:textId="77777777" w:rsidR="00CA3032" w:rsidRDefault="00CA3032" w:rsidP="00391EC0">
      <w:pPr>
        <w:pStyle w:val="Zkladntext"/>
        <w:rPr>
          <w:sz w:val="16"/>
          <w:szCs w:val="16"/>
        </w:rPr>
      </w:pPr>
    </w:p>
    <w:p w14:paraId="5A59829C" w14:textId="77777777" w:rsidR="00CA3032" w:rsidRDefault="00CA3032" w:rsidP="00391EC0">
      <w:pPr>
        <w:pStyle w:val="Zkladntext"/>
        <w:rPr>
          <w:sz w:val="16"/>
          <w:szCs w:val="16"/>
        </w:rPr>
      </w:pPr>
    </w:p>
    <w:p w14:paraId="36F47F90" w14:textId="77777777" w:rsidR="00CA3032" w:rsidRDefault="00CA3032" w:rsidP="00391EC0">
      <w:pPr>
        <w:pStyle w:val="Zkladntext"/>
        <w:rPr>
          <w:sz w:val="16"/>
          <w:szCs w:val="16"/>
        </w:rPr>
      </w:pPr>
    </w:p>
    <w:p w14:paraId="5CCE9439" w14:textId="77777777" w:rsidR="00CA3032" w:rsidRDefault="00CA3032" w:rsidP="00391EC0">
      <w:pPr>
        <w:pStyle w:val="Zkladntext"/>
        <w:rPr>
          <w:sz w:val="16"/>
          <w:szCs w:val="16"/>
        </w:rPr>
      </w:pPr>
    </w:p>
    <w:p w14:paraId="7C193189" w14:textId="77777777" w:rsidR="00CA3032" w:rsidRDefault="00CA3032" w:rsidP="00391EC0">
      <w:pPr>
        <w:pStyle w:val="Zkladntext"/>
        <w:rPr>
          <w:sz w:val="16"/>
          <w:szCs w:val="16"/>
        </w:rPr>
      </w:pPr>
    </w:p>
    <w:p w14:paraId="6D8E4502" w14:textId="77777777" w:rsidR="00CA3032" w:rsidRDefault="00CA3032" w:rsidP="00391EC0">
      <w:pPr>
        <w:pStyle w:val="Zkladntext"/>
        <w:rPr>
          <w:sz w:val="16"/>
          <w:szCs w:val="16"/>
        </w:rPr>
      </w:pPr>
    </w:p>
    <w:p w14:paraId="05FA61D4" w14:textId="77777777" w:rsidR="00CA3032" w:rsidRDefault="00CA3032" w:rsidP="00391EC0">
      <w:pPr>
        <w:pStyle w:val="Zkladntext"/>
        <w:rPr>
          <w:sz w:val="16"/>
          <w:szCs w:val="16"/>
        </w:rPr>
      </w:pPr>
    </w:p>
    <w:p w14:paraId="7187BE7B" w14:textId="77777777" w:rsidR="00CA3032" w:rsidRDefault="00CA3032" w:rsidP="00391EC0">
      <w:pPr>
        <w:pStyle w:val="Zkladntext"/>
        <w:rPr>
          <w:sz w:val="16"/>
          <w:szCs w:val="16"/>
        </w:rPr>
      </w:pPr>
    </w:p>
    <w:p w14:paraId="7FA364EC" w14:textId="77777777" w:rsidR="00CA3032" w:rsidRDefault="00CA3032" w:rsidP="00391EC0">
      <w:pPr>
        <w:pStyle w:val="Zkladntext"/>
        <w:rPr>
          <w:sz w:val="16"/>
          <w:szCs w:val="16"/>
        </w:rPr>
      </w:pPr>
    </w:p>
    <w:p w14:paraId="3A63B5D5" w14:textId="77777777" w:rsidR="00CA3032" w:rsidRDefault="00CA3032" w:rsidP="00391EC0">
      <w:pPr>
        <w:pStyle w:val="Zkladntext"/>
        <w:rPr>
          <w:sz w:val="16"/>
          <w:szCs w:val="16"/>
        </w:rPr>
      </w:pPr>
    </w:p>
    <w:p w14:paraId="1E438F36" w14:textId="77777777" w:rsidR="00CA3032" w:rsidRDefault="00CA3032" w:rsidP="00391EC0">
      <w:pPr>
        <w:pStyle w:val="Zkladntext"/>
        <w:rPr>
          <w:sz w:val="16"/>
          <w:szCs w:val="16"/>
        </w:rPr>
      </w:pPr>
    </w:p>
    <w:p w14:paraId="20D9D480" w14:textId="77777777" w:rsidR="00CA3032" w:rsidRDefault="00CA3032" w:rsidP="00391EC0">
      <w:pPr>
        <w:pStyle w:val="Zkladntext"/>
        <w:rPr>
          <w:sz w:val="16"/>
          <w:szCs w:val="16"/>
        </w:rPr>
      </w:pPr>
    </w:p>
    <w:p w14:paraId="5FB9E9B8" w14:textId="77777777" w:rsidR="00CA3032" w:rsidRDefault="00CA3032" w:rsidP="00391EC0">
      <w:pPr>
        <w:pStyle w:val="Zkladntext"/>
        <w:rPr>
          <w:sz w:val="16"/>
          <w:szCs w:val="16"/>
        </w:rPr>
      </w:pPr>
    </w:p>
    <w:p w14:paraId="7A483306" w14:textId="77777777" w:rsidR="00CA3032" w:rsidRDefault="00CA3032" w:rsidP="00391EC0">
      <w:pPr>
        <w:pStyle w:val="Zkladntext"/>
        <w:rPr>
          <w:sz w:val="16"/>
          <w:szCs w:val="16"/>
        </w:rPr>
      </w:pPr>
    </w:p>
    <w:p w14:paraId="3EDA5EB2" w14:textId="77777777" w:rsidR="00CA3032" w:rsidRDefault="00CA3032" w:rsidP="00391EC0">
      <w:pPr>
        <w:pStyle w:val="Zkladntext"/>
        <w:rPr>
          <w:sz w:val="16"/>
          <w:szCs w:val="16"/>
        </w:rPr>
      </w:pPr>
    </w:p>
    <w:p w14:paraId="5A6FB3B2" w14:textId="77777777" w:rsidR="00CA3032" w:rsidRDefault="00CA3032" w:rsidP="00391EC0">
      <w:pPr>
        <w:pStyle w:val="Zkladntext"/>
        <w:rPr>
          <w:sz w:val="16"/>
          <w:szCs w:val="16"/>
        </w:rPr>
      </w:pPr>
    </w:p>
    <w:p w14:paraId="0A4D9620" w14:textId="77777777" w:rsidR="00CA3032" w:rsidRDefault="00CA3032" w:rsidP="00391EC0">
      <w:pPr>
        <w:pStyle w:val="Zkladntext"/>
        <w:rPr>
          <w:sz w:val="16"/>
          <w:szCs w:val="16"/>
        </w:rPr>
      </w:pPr>
    </w:p>
    <w:p w14:paraId="5D84F0A9" w14:textId="77777777" w:rsidR="00CA3032" w:rsidRDefault="00CA3032" w:rsidP="00391EC0">
      <w:pPr>
        <w:pStyle w:val="Zkladntext"/>
        <w:rPr>
          <w:sz w:val="16"/>
          <w:szCs w:val="16"/>
        </w:rPr>
      </w:pPr>
    </w:p>
    <w:p w14:paraId="50117596" w14:textId="77777777" w:rsidR="00CA3032" w:rsidRDefault="00CA3032" w:rsidP="00391EC0">
      <w:pPr>
        <w:pStyle w:val="Zkladntext"/>
        <w:rPr>
          <w:sz w:val="16"/>
          <w:szCs w:val="16"/>
        </w:rPr>
      </w:pPr>
    </w:p>
    <w:p w14:paraId="48D8CE70" w14:textId="77777777" w:rsidR="00CA3032" w:rsidRDefault="00CA3032" w:rsidP="00391EC0">
      <w:pPr>
        <w:pStyle w:val="Zkladntext"/>
        <w:rPr>
          <w:sz w:val="16"/>
          <w:szCs w:val="16"/>
        </w:rPr>
      </w:pPr>
    </w:p>
    <w:p w14:paraId="40747B73" w14:textId="77777777" w:rsidR="00CA3032" w:rsidRDefault="00CA3032" w:rsidP="00391EC0">
      <w:pPr>
        <w:pStyle w:val="Zkladntext"/>
        <w:rPr>
          <w:sz w:val="16"/>
          <w:szCs w:val="16"/>
        </w:rPr>
      </w:pPr>
    </w:p>
    <w:p w14:paraId="4FB0BFAC" w14:textId="77777777" w:rsidR="00CA3032" w:rsidRDefault="00CA3032" w:rsidP="00391EC0">
      <w:pPr>
        <w:pStyle w:val="Zkladntext"/>
        <w:rPr>
          <w:sz w:val="16"/>
          <w:szCs w:val="16"/>
        </w:rPr>
      </w:pPr>
    </w:p>
    <w:p w14:paraId="4AB5FB9B" w14:textId="77777777" w:rsidR="00CA3032" w:rsidRDefault="00CA3032" w:rsidP="00391EC0">
      <w:pPr>
        <w:pStyle w:val="Zkladntext"/>
        <w:rPr>
          <w:sz w:val="16"/>
          <w:szCs w:val="16"/>
        </w:rPr>
      </w:pPr>
    </w:p>
    <w:p w14:paraId="42824625" w14:textId="77777777" w:rsidR="00CA3032" w:rsidRDefault="00CA3032" w:rsidP="00391EC0">
      <w:pPr>
        <w:pStyle w:val="Zkladntext"/>
        <w:rPr>
          <w:sz w:val="16"/>
          <w:szCs w:val="16"/>
        </w:rPr>
      </w:pPr>
    </w:p>
    <w:p w14:paraId="1AC9D54E" w14:textId="77777777" w:rsidR="00CA3032" w:rsidRDefault="00CA3032" w:rsidP="00391EC0">
      <w:pPr>
        <w:pStyle w:val="Zkladntext"/>
        <w:rPr>
          <w:sz w:val="16"/>
          <w:szCs w:val="16"/>
        </w:rPr>
      </w:pPr>
    </w:p>
    <w:p w14:paraId="4C08DF56" w14:textId="77777777" w:rsidR="00CA3032" w:rsidRDefault="00CA3032" w:rsidP="00391EC0">
      <w:pPr>
        <w:pStyle w:val="Zkladntext"/>
        <w:rPr>
          <w:sz w:val="16"/>
          <w:szCs w:val="16"/>
        </w:rPr>
      </w:pPr>
    </w:p>
    <w:p w14:paraId="0B6CC375" w14:textId="77777777" w:rsidR="00CA3032" w:rsidRDefault="00CA3032" w:rsidP="00391EC0">
      <w:pPr>
        <w:pStyle w:val="Zkladntext"/>
        <w:rPr>
          <w:sz w:val="16"/>
          <w:szCs w:val="16"/>
        </w:rPr>
      </w:pPr>
    </w:p>
    <w:p w14:paraId="6693117B" w14:textId="77777777" w:rsidR="00CA3032" w:rsidRDefault="00CA3032" w:rsidP="00391EC0">
      <w:pPr>
        <w:pStyle w:val="Zkladntext"/>
        <w:rPr>
          <w:sz w:val="16"/>
          <w:szCs w:val="16"/>
        </w:rPr>
      </w:pPr>
    </w:p>
    <w:p w14:paraId="33127B71" w14:textId="77777777" w:rsidR="00CA3032" w:rsidRDefault="00CA3032" w:rsidP="00391EC0">
      <w:pPr>
        <w:pStyle w:val="Zkladntext"/>
        <w:rPr>
          <w:sz w:val="16"/>
          <w:szCs w:val="16"/>
        </w:rPr>
      </w:pPr>
    </w:p>
    <w:p w14:paraId="67167D22" w14:textId="77777777" w:rsidR="00CA3032" w:rsidRDefault="00CA3032" w:rsidP="00391EC0">
      <w:pPr>
        <w:pStyle w:val="Zkladntext"/>
        <w:rPr>
          <w:sz w:val="16"/>
          <w:szCs w:val="16"/>
        </w:rPr>
      </w:pPr>
    </w:p>
    <w:p w14:paraId="64CB6E72" w14:textId="77777777" w:rsidR="00CA3032" w:rsidRDefault="00CA3032" w:rsidP="00391EC0">
      <w:pPr>
        <w:pStyle w:val="Zkladntext"/>
        <w:rPr>
          <w:sz w:val="16"/>
          <w:szCs w:val="16"/>
        </w:rPr>
      </w:pPr>
    </w:p>
    <w:p w14:paraId="6B58F73C" w14:textId="77777777" w:rsidR="00CA3032" w:rsidRDefault="00CA3032" w:rsidP="00391EC0">
      <w:pPr>
        <w:pStyle w:val="Zkladntext"/>
        <w:rPr>
          <w:sz w:val="16"/>
          <w:szCs w:val="16"/>
        </w:rPr>
      </w:pPr>
    </w:p>
    <w:p w14:paraId="5602FFEE" w14:textId="77777777" w:rsidR="008C288C" w:rsidRDefault="008C288C" w:rsidP="00086B42">
      <w:pPr>
        <w:pStyle w:val="Nadpis1"/>
        <w:ind w:left="357" w:hanging="357"/>
      </w:pPr>
      <w:bookmarkStart w:id="22" w:name="_Toc530739900"/>
      <w:r>
        <w:lastRenderedPageBreak/>
        <w:t>informácie o údajoch na strane aktív súvahy</w:t>
      </w:r>
      <w:bookmarkEnd w:id="22"/>
    </w:p>
    <w:p w14:paraId="5602FFEF" w14:textId="77777777" w:rsidR="008C288C" w:rsidRPr="00B1412B" w:rsidRDefault="008C288C" w:rsidP="00053629">
      <w:pPr>
        <w:pStyle w:val="Nadpis2"/>
        <w:numPr>
          <w:ilvl w:val="0"/>
          <w:numId w:val="0"/>
        </w:numPr>
        <w:ind w:left="360"/>
      </w:pPr>
    </w:p>
    <w:p w14:paraId="5602FFF0" w14:textId="399AEADB" w:rsidR="008C288C" w:rsidRDefault="00053629" w:rsidP="00053629">
      <w:pPr>
        <w:pStyle w:val="Nadpis2"/>
        <w:numPr>
          <w:ilvl w:val="0"/>
          <w:numId w:val="0"/>
        </w:numPr>
      </w:pPr>
      <w:bookmarkStart w:id="23" w:name="_Toc530739901"/>
      <w:r>
        <w:t xml:space="preserve">1. </w:t>
      </w:r>
      <w:r w:rsidR="000C1C29">
        <w:t xml:space="preserve">    </w:t>
      </w:r>
      <w:r w:rsidR="008C288C">
        <w:t>Dlhodobý nehmotný majetok a dlhodobý hmotný majetok</w:t>
      </w:r>
      <w:bookmarkEnd w:id="23"/>
    </w:p>
    <w:p w14:paraId="5602FFF1" w14:textId="77777777" w:rsidR="008C288C" w:rsidRPr="00B1412B" w:rsidRDefault="008C288C" w:rsidP="00085047">
      <w:pPr>
        <w:pStyle w:val="Zkladntext"/>
        <w:keepNext/>
        <w:rPr>
          <w:sz w:val="16"/>
          <w:szCs w:val="16"/>
        </w:rPr>
      </w:pPr>
    </w:p>
    <w:p w14:paraId="33D48BD2" w14:textId="0B699B23" w:rsidR="004B1C31" w:rsidRDefault="00F03109" w:rsidP="004B1C31">
      <w:pPr>
        <w:pStyle w:val="Zkladntext"/>
      </w:pPr>
      <w:bookmarkStart w:id="24" w:name="_MON_1396699158"/>
      <w:bookmarkStart w:id="25" w:name="_MON_1396699227"/>
      <w:bookmarkStart w:id="26" w:name="_MON_1396698332"/>
      <w:bookmarkEnd w:id="24"/>
      <w:bookmarkEnd w:id="25"/>
      <w:bookmarkEnd w:id="26"/>
      <w:r>
        <w:t>Spoločnosť k 31.12.2017 a k 31.12.2018 neevidovala žiadny DNM.</w:t>
      </w:r>
    </w:p>
    <w:p w14:paraId="5602FFF4" w14:textId="77777777" w:rsidR="00801C95" w:rsidRDefault="00801C95" w:rsidP="00801C95">
      <w:pPr>
        <w:pStyle w:val="Zkladntext"/>
      </w:pPr>
    </w:p>
    <w:p w14:paraId="651CBDD3" w14:textId="77777777" w:rsidR="00FD03FA" w:rsidRDefault="00FD03FA" w:rsidP="008749B3">
      <w:pPr>
        <w:pStyle w:val="Zkladntext"/>
      </w:pPr>
      <w:bookmarkStart w:id="27" w:name="_MON_1396699071"/>
      <w:bookmarkStart w:id="28" w:name="_MON_1396699296"/>
      <w:bookmarkStart w:id="29" w:name="_MON_1396699780"/>
      <w:bookmarkStart w:id="30" w:name="_MON_1396700536"/>
      <w:bookmarkStart w:id="31" w:name="_MON_1396699771"/>
      <w:bookmarkEnd w:id="27"/>
      <w:bookmarkEnd w:id="28"/>
      <w:bookmarkEnd w:id="29"/>
      <w:bookmarkEnd w:id="30"/>
      <w:bookmarkEnd w:id="31"/>
    </w:p>
    <w:p w14:paraId="5602FFF8" w14:textId="328526AE" w:rsidR="00801C95" w:rsidRDefault="00801C95" w:rsidP="00801C95">
      <w:pPr>
        <w:pStyle w:val="Zkladntext"/>
        <w:keepNext/>
        <w:ind w:left="425"/>
      </w:pPr>
      <w:r>
        <w:t>Prehľad o pohybe dlhodobého hmotného majetku od 1. januára do 31. decembra 201</w:t>
      </w:r>
      <w:r w:rsidR="00351305">
        <w:t>8</w:t>
      </w:r>
      <w:r>
        <w:t xml:space="preserve"> je uvedený v nasledujúcej tabuľke:</w:t>
      </w:r>
    </w:p>
    <w:p w14:paraId="10A872D2" w14:textId="77777777" w:rsidR="00FE2639" w:rsidRDefault="00FE2639" w:rsidP="00801C95">
      <w:pPr>
        <w:pStyle w:val="Zkladntext"/>
        <w:keepNext/>
        <w:ind w:left="425"/>
      </w:pPr>
    </w:p>
    <w:bookmarkStart w:id="32" w:name="OLE_LINK9"/>
    <w:bookmarkStart w:id="33" w:name="OLE_LINK10"/>
    <w:bookmarkStart w:id="34" w:name="_MON_1396700024"/>
    <w:bookmarkEnd w:id="34"/>
    <w:p w14:paraId="59991131" w14:textId="503147C1" w:rsidR="003B51A1" w:rsidRDefault="00F03109" w:rsidP="003B51A1">
      <w:pPr>
        <w:pStyle w:val="Zkladntext"/>
      </w:pPr>
      <w:r>
        <w:object w:dxaOrig="8454" w:dyaOrig="5852" w14:anchorId="29A27CC3">
          <v:shape id="_x0000_i1027" type="#_x0000_t75" style="width:422.5pt;height:291.5pt" o:ole="">
            <v:imagedata r:id="rId13" o:title=""/>
          </v:shape>
          <o:OLEObject Type="Embed" ProgID="Excel.Sheet.12" ShapeID="_x0000_i1027" DrawAspect="Content" ObjectID="_1616932836" r:id="rId14"/>
        </w:object>
      </w:r>
      <w:bookmarkEnd w:id="32"/>
      <w:bookmarkEnd w:id="33"/>
    </w:p>
    <w:p w14:paraId="5CEECBBD" w14:textId="77777777" w:rsidR="00267F81" w:rsidRDefault="00267F81" w:rsidP="003B51A1">
      <w:pPr>
        <w:pStyle w:val="Zkladntext"/>
      </w:pPr>
    </w:p>
    <w:p w14:paraId="5602FFFA" w14:textId="0EEE8AEF" w:rsidR="00E04367" w:rsidRDefault="00E04367" w:rsidP="00E04367">
      <w:pPr>
        <w:pStyle w:val="Zkladntext"/>
        <w:keepNext/>
      </w:pPr>
      <w:r>
        <w:lastRenderedPageBreak/>
        <w:t>Prehľad o pohybe dlhodobého hmotného majetku od 1. januára do 31. decembra 201</w:t>
      </w:r>
      <w:r w:rsidR="00351305">
        <w:t>7</w:t>
      </w:r>
      <w:r>
        <w:t xml:space="preserve"> je uvedený v nasledujúcej tabuľke:</w:t>
      </w:r>
    </w:p>
    <w:bookmarkStart w:id="35" w:name="_Toc530739903"/>
    <w:bookmarkStart w:id="36" w:name="_MON_1396699344"/>
    <w:bookmarkEnd w:id="36"/>
    <w:p w14:paraId="3556EE56" w14:textId="45BB1180" w:rsidR="003B51A1" w:rsidRDefault="00267F81" w:rsidP="003B51A1">
      <w:pPr>
        <w:pStyle w:val="Zkladntext"/>
      </w:pPr>
      <w:r>
        <w:object w:dxaOrig="8977" w:dyaOrig="5849" w14:anchorId="55E46080">
          <v:shape id="_x0000_i1028" type="#_x0000_t75" style="width:450pt;height:293.5pt" o:ole="">
            <v:imagedata r:id="rId15" o:title=""/>
          </v:shape>
          <o:OLEObject Type="Embed" ProgID="Excel.Sheet.12" ShapeID="_x0000_i1028" DrawAspect="Content" ObjectID="_1616932837" r:id="rId16"/>
        </w:object>
      </w:r>
    </w:p>
    <w:p w14:paraId="3361E622" w14:textId="77777777" w:rsidR="00267F81" w:rsidRDefault="00267F81" w:rsidP="00053629">
      <w:pPr>
        <w:pStyle w:val="Nadpis2"/>
        <w:numPr>
          <w:ilvl w:val="0"/>
          <w:numId w:val="0"/>
        </w:numPr>
        <w:ind w:left="360" w:hanging="360"/>
      </w:pPr>
    </w:p>
    <w:p w14:paraId="5602FFFC" w14:textId="5136838F" w:rsidR="00201EE1" w:rsidRPr="00053629" w:rsidRDefault="00053629" w:rsidP="00053629">
      <w:pPr>
        <w:pStyle w:val="Nadpis2"/>
        <w:numPr>
          <w:ilvl w:val="0"/>
          <w:numId w:val="0"/>
        </w:numPr>
        <w:ind w:left="360" w:hanging="360"/>
      </w:pPr>
      <w:r w:rsidRPr="00053629">
        <w:t xml:space="preserve">2.      </w:t>
      </w:r>
      <w:r w:rsidR="00201EE1" w:rsidRPr="00053629">
        <w:t>Dlhodobý finančný majetok</w:t>
      </w:r>
    </w:p>
    <w:p w14:paraId="5602FFFD" w14:textId="77777777" w:rsidR="00201EE1" w:rsidRDefault="00201EE1" w:rsidP="00201EE1">
      <w:pPr>
        <w:pStyle w:val="Zkladntext"/>
        <w:keepNext/>
      </w:pPr>
    </w:p>
    <w:p w14:paraId="2213FCDD" w14:textId="7DBC0941" w:rsidR="00E17ACA" w:rsidRDefault="00E17ACA" w:rsidP="00E17ACA">
      <w:pPr>
        <w:pStyle w:val="Zkladntext"/>
      </w:pPr>
      <w:r>
        <w:t>Prehľad o pohybe dlhodobého finančného majetku od 1. januára 201</w:t>
      </w:r>
      <w:r w:rsidR="00C53A9F">
        <w:t>8</w:t>
      </w:r>
      <w:r>
        <w:t xml:space="preserve"> do 31. decembra 201</w:t>
      </w:r>
      <w:r w:rsidR="00C53A9F">
        <w:t>8</w:t>
      </w:r>
      <w:r>
        <w:t xml:space="preserve"> a za porovnateľné obdobie od </w:t>
      </w:r>
      <w:r w:rsidR="007D4C99">
        <w:t xml:space="preserve">     </w:t>
      </w:r>
      <w:r>
        <w:t>1. januára 201</w:t>
      </w:r>
      <w:r w:rsidR="00C53A9F">
        <w:t>7</w:t>
      </w:r>
      <w:r>
        <w:t xml:space="preserve"> do 31. decembra 201</w:t>
      </w:r>
      <w:r w:rsidR="00C53A9F">
        <w:t>7</w:t>
      </w:r>
      <w:r>
        <w:t xml:space="preserve"> je uvedený v tabuľke </w:t>
      </w:r>
      <w:r w:rsidRPr="009472AD">
        <w:t>na stran</w:t>
      </w:r>
      <w:r w:rsidR="001F286C">
        <w:t>e</w:t>
      </w:r>
      <w:r w:rsidR="008221CC" w:rsidRPr="009472AD">
        <w:t xml:space="preserve"> </w:t>
      </w:r>
      <w:r w:rsidR="00D07620" w:rsidRPr="009472AD">
        <w:t> </w:t>
      </w:r>
      <w:r w:rsidR="001F286C">
        <w:t>8</w:t>
      </w:r>
      <w:r w:rsidR="00D07620" w:rsidRPr="009472AD">
        <w:t>.</w:t>
      </w:r>
    </w:p>
    <w:p w14:paraId="527A2681" w14:textId="77777777" w:rsidR="00E17ACA" w:rsidRDefault="00E17ACA" w:rsidP="00E17ACA">
      <w:pPr>
        <w:pStyle w:val="Zkladntext"/>
      </w:pPr>
    </w:p>
    <w:p w14:paraId="33241415" w14:textId="652E2ED9" w:rsidR="00E17ACA" w:rsidRDefault="00E17ACA" w:rsidP="00E17ACA">
      <w:pPr>
        <w:pStyle w:val="Zkladntext"/>
      </w:pPr>
      <w:r>
        <w:t xml:space="preserve">Z prírastkov dlhodobého finančného majetku v priebehu účtovného obdobia pripadá </w:t>
      </w:r>
      <w:r w:rsidR="00A65D16">
        <w:t>40 000,00</w:t>
      </w:r>
      <w:r>
        <w:t xml:space="preserve"> EUR na dcérsky podnik </w:t>
      </w:r>
      <w:proofErr w:type="spellStart"/>
      <w:r w:rsidR="00A65D16">
        <w:t>Lu</w:t>
      </w:r>
      <w:proofErr w:type="spellEnd"/>
      <w:r w:rsidR="00A65D16">
        <w:t xml:space="preserve"> </w:t>
      </w:r>
      <w:proofErr w:type="spellStart"/>
      <w:r w:rsidR="00A65D16">
        <w:t>Minea</w:t>
      </w:r>
      <w:proofErr w:type="spellEnd"/>
      <w:r w:rsidR="00A65D16">
        <w:t xml:space="preserve"> s.r.o. Praha</w:t>
      </w:r>
      <w:r>
        <w:t xml:space="preserve">. Spoločnosť je majoritným spoločníkom tohto dcérskeho podniku, </w:t>
      </w:r>
      <w:r w:rsidR="00A65D16">
        <w:t>ktorému poskytla peňažný vklad.</w:t>
      </w:r>
    </w:p>
    <w:p w14:paraId="0A232EB7" w14:textId="77777777" w:rsidR="00E17ACA" w:rsidRDefault="00E17ACA" w:rsidP="00E17ACA">
      <w:pPr>
        <w:pStyle w:val="Zkladntext"/>
      </w:pPr>
    </w:p>
    <w:p w14:paraId="02C3E818" w14:textId="21F6D106" w:rsidR="00E17ACA" w:rsidRDefault="00E17ACA" w:rsidP="00E17ACA">
      <w:pPr>
        <w:pStyle w:val="Zkladntext"/>
      </w:pPr>
      <w:r>
        <w:t>Výška vlas</w:t>
      </w:r>
      <w:r w:rsidR="00A65D16">
        <w:t>tného imania k 31. decembru 2018</w:t>
      </w:r>
      <w:r>
        <w:t xml:space="preserve"> a výsledku hospodárenia za účtovné obdobie 201</w:t>
      </w:r>
      <w:r w:rsidR="00A65D16">
        <w:t>8</w:t>
      </w:r>
      <w:r>
        <w:t xml:space="preserve"> </w:t>
      </w:r>
      <w:r w:rsidR="00A65D16">
        <w:t xml:space="preserve">dcérskeho </w:t>
      </w:r>
      <w:r>
        <w:t>podnik</w:t>
      </w:r>
      <w:r w:rsidR="00A65D16">
        <w:t>u</w:t>
      </w:r>
      <w:r>
        <w:t xml:space="preserve"> je uvedená v nasledujúcom prehľade:</w:t>
      </w:r>
    </w:p>
    <w:p w14:paraId="30AB8A61" w14:textId="56F64289" w:rsidR="00E17ACA" w:rsidRDefault="00E17ACA" w:rsidP="00E17ACA">
      <w:pPr>
        <w:pStyle w:val="Zkladntext"/>
      </w:pPr>
    </w:p>
    <w:p w14:paraId="39053E4C" w14:textId="77777777" w:rsidR="00E17ACA" w:rsidRDefault="00E17ACA" w:rsidP="00E17ACA">
      <w:pPr>
        <w:pStyle w:val="Zkladntext"/>
        <w:rPr>
          <w:szCs w:val="18"/>
        </w:rPr>
      </w:pPr>
    </w:p>
    <w:p w14:paraId="411B5EDC" w14:textId="77777777" w:rsidR="00E17ACA" w:rsidRDefault="00E17ACA" w:rsidP="00E17ACA">
      <w:pPr>
        <w:pStyle w:val="Zkladntext"/>
        <w:rPr>
          <w:szCs w:val="18"/>
        </w:rPr>
      </w:pPr>
    </w:p>
    <w:bookmarkStart w:id="37" w:name="_MON_1616317276"/>
    <w:bookmarkEnd w:id="37"/>
    <w:p w14:paraId="1F5346BD" w14:textId="1447D973" w:rsidR="00E17ACA" w:rsidRDefault="00A31B85" w:rsidP="00E17ACA">
      <w:pPr>
        <w:pStyle w:val="Zkladntext"/>
        <w:rPr>
          <w:szCs w:val="18"/>
        </w:rPr>
      </w:pPr>
      <w:r w:rsidRPr="00B50225">
        <w:rPr>
          <w:szCs w:val="18"/>
        </w:rPr>
        <w:object w:dxaOrig="8858" w:dyaOrig="5018" w14:anchorId="50130A55">
          <v:shape id="_x0000_i1029" type="#_x0000_t75" style="width:444pt;height:272.5pt" o:ole="" o:preferrelative="f">
            <v:imagedata r:id="rId17" o:title=""/>
            <o:lock v:ext="edit" aspectratio="f"/>
          </v:shape>
          <o:OLEObject Type="Embed" ProgID="Excel.Sheet.12" ShapeID="_x0000_i1029" DrawAspect="Content" ObjectID="_1616932838" r:id="rId18"/>
        </w:object>
      </w:r>
    </w:p>
    <w:p w14:paraId="684E9EF0" w14:textId="77777777" w:rsidR="005E6015" w:rsidRDefault="005E6015" w:rsidP="00E17ACA">
      <w:pPr>
        <w:pStyle w:val="Zkladntext"/>
        <w:rPr>
          <w:szCs w:val="18"/>
        </w:rPr>
      </w:pPr>
    </w:p>
    <w:p w14:paraId="2B3451C7" w14:textId="77777777" w:rsidR="005E6015" w:rsidRDefault="005E6015" w:rsidP="00E17ACA">
      <w:pPr>
        <w:pStyle w:val="Zkladntext"/>
        <w:rPr>
          <w:szCs w:val="18"/>
        </w:rPr>
      </w:pPr>
    </w:p>
    <w:p w14:paraId="11320B0C" w14:textId="77777777" w:rsidR="005E6015" w:rsidRDefault="005E6015" w:rsidP="00E17ACA">
      <w:pPr>
        <w:pStyle w:val="Zkladntext"/>
        <w:rPr>
          <w:szCs w:val="18"/>
        </w:rPr>
      </w:pPr>
    </w:p>
    <w:bookmarkStart w:id="38" w:name="_MON_1405926187"/>
    <w:bookmarkEnd w:id="38"/>
    <w:p w14:paraId="6D2C4DE0" w14:textId="40FE9B2D" w:rsidR="00E17ACA" w:rsidRDefault="00A31B85" w:rsidP="00E17ACA">
      <w:pPr>
        <w:ind w:left="426"/>
        <w:rPr>
          <w:sz w:val="18"/>
          <w:szCs w:val="18"/>
        </w:rPr>
      </w:pPr>
      <w:r w:rsidRPr="00B50225">
        <w:rPr>
          <w:sz w:val="18"/>
          <w:szCs w:val="18"/>
        </w:rPr>
        <w:object w:dxaOrig="8858" w:dyaOrig="4557" w14:anchorId="528FAEA8">
          <v:shape id="_x0000_i1030" type="#_x0000_t75" style="width:444pt;height:247pt" o:ole="" o:preferrelative="f">
            <v:imagedata r:id="rId19" o:title=""/>
            <o:lock v:ext="edit" aspectratio="f"/>
          </v:shape>
          <o:OLEObject Type="Embed" ProgID="Excel.Sheet.12" ShapeID="_x0000_i1030" DrawAspect="Content" ObjectID="_1616932839" r:id="rId20"/>
        </w:object>
      </w:r>
    </w:p>
    <w:p w14:paraId="0C8F1CF6" w14:textId="5A3C2C5A" w:rsidR="00E17ACA" w:rsidRDefault="00E17ACA" w:rsidP="00E17ACA">
      <w:pPr>
        <w:pStyle w:val="Zkladntext"/>
        <w:ind w:left="0"/>
        <w:rPr>
          <w:szCs w:val="18"/>
        </w:rPr>
      </w:pPr>
    </w:p>
    <w:p w14:paraId="517E6B43" w14:textId="77777777" w:rsidR="00970571" w:rsidRDefault="00970571" w:rsidP="00E17ACA">
      <w:pPr>
        <w:pStyle w:val="Zkladntext"/>
        <w:ind w:left="0"/>
        <w:rPr>
          <w:szCs w:val="18"/>
        </w:rPr>
      </w:pPr>
    </w:p>
    <w:p w14:paraId="79E5B8C3" w14:textId="77777777" w:rsidR="00970571" w:rsidRPr="00FC603B" w:rsidRDefault="00970571" w:rsidP="00E17ACA">
      <w:pPr>
        <w:pStyle w:val="Zkladntext"/>
        <w:ind w:left="0"/>
        <w:rPr>
          <w:szCs w:val="18"/>
        </w:rPr>
      </w:pPr>
    </w:p>
    <w:p w14:paraId="330EF82E" w14:textId="4A710ABB" w:rsidR="00E17ACA" w:rsidRPr="00891481" w:rsidRDefault="00E17ACA" w:rsidP="00E17ACA">
      <w:pPr>
        <w:pStyle w:val="Zkladntext"/>
        <w:ind w:left="0"/>
        <w:rPr>
          <w:szCs w:val="18"/>
        </w:rPr>
      </w:pPr>
    </w:p>
    <w:p w14:paraId="6B35EDA2" w14:textId="2CA1B37F" w:rsidR="00E17ACA" w:rsidRDefault="00E17ACA" w:rsidP="00E17ACA">
      <w:pPr>
        <w:ind w:left="426"/>
        <w:rPr>
          <w:sz w:val="18"/>
          <w:szCs w:val="18"/>
        </w:rPr>
      </w:pPr>
    </w:p>
    <w:p w14:paraId="526FE72D" w14:textId="6863F6B1" w:rsidR="00E17ACA" w:rsidRDefault="00E17ACA" w:rsidP="00E17ACA">
      <w:pPr>
        <w:ind w:left="426"/>
        <w:rPr>
          <w:sz w:val="18"/>
          <w:szCs w:val="18"/>
        </w:rPr>
      </w:pPr>
    </w:p>
    <w:p w14:paraId="5DFBE4F3" w14:textId="1E70CDF2" w:rsidR="00E17ACA" w:rsidRDefault="00E17ACA" w:rsidP="00E17ACA">
      <w:pPr>
        <w:ind w:left="426"/>
        <w:rPr>
          <w:sz w:val="18"/>
          <w:szCs w:val="18"/>
        </w:rPr>
      </w:pPr>
    </w:p>
    <w:p w14:paraId="689989A3" w14:textId="7888850D" w:rsidR="00E17ACA" w:rsidRDefault="00E17ACA" w:rsidP="00E17ACA">
      <w:pPr>
        <w:ind w:left="426"/>
        <w:rPr>
          <w:sz w:val="18"/>
          <w:szCs w:val="18"/>
        </w:rPr>
      </w:pPr>
    </w:p>
    <w:p w14:paraId="6FF26D25" w14:textId="77777777" w:rsidR="00092389" w:rsidRDefault="00092389" w:rsidP="00092389">
      <w:pPr>
        <w:rPr>
          <w:sz w:val="18"/>
          <w:szCs w:val="18"/>
        </w:rPr>
      </w:pPr>
    </w:p>
    <w:p w14:paraId="5602FFFF" w14:textId="77777777" w:rsidR="00201EE1" w:rsidRDefault="00201EE1" w:rsidP="00201EE1">
      <w:pPr>
        <w:pStyle w:val="Zkladntext"/>
      </w:pPr>
    </w:p>
    <w:p w14:paraId="56030000" w14:textId="0F592D22" w:rsidR="008C288C" w:rsidRDefault="00092389" w:rsidP="00092389">
      <w:pPr>
        <w:pStyle w:val="Nadpis2"/>
        <w:numPr>
          <w:ilvl w:val="0"/>
          <w:numId w:val="0"/>
        </w:numPr>
      </w:pPr>
      <w:r>
        <w:lastRenderedPageBreak/>
        <w:t xml:space="preserve">3.   </w:t>
      </w:r>
      <w:r w:rsidRPr="00092389">
        <w:t xml:space="preserve">   </w:t>
      </w:r>
      <w:r w:rsidR="008C288C" w:rsidRPr="00092389">
        <w:t>Zásoby</w:t>
      </w:r>
      <w:bookmarkEnd w:id="35"/>
    </w:p>
    <w:p w14:paraId="442A12FE" w14:textId="77777777" w:rsidR="00092389" w:rsidRPr="00092389" w:rsidRDefault="00092389" w:rsidP="00092389"/>
    <w:p w14:paraId="56030001" w14:textId="2EB77E87" w:rsidR="008C288C" w:rsidRDefault="00092389" w:rsidP="00933255">
      <w:pPr>
        <w:pStyle w:val="Zkladntext"/>
        <w:keepNext/>
      </w:pPr>
      <w:r>
        <w:t>Spoločnosť neeviduje v účtovn</w:t>
      </w:r>
      <w:r w:rsidR="009F6441">
        <w:t>o</w:t>
      </w:r>
      <w:r>
        <w:t>m období  žiadne zásoby.</w:t>
      </w:r>
    </w:p>
    <w:p w14:paraId="49F19A8A" w14:textId="77777777" w:rsidR="00092389" w:rsidRDefault="00092389" w:rsidP="00933255">
      <w:pPr>
        <w:pStyle w:val="Zkladntext"/>
        <w:keepNext/>
      </w:pPr>
    </w:p>
    <w:p w14:paraId="56030007" w14:textId="50FDABE0" w:rsidR="00BC2D99" w:rsidRDefault="00654DC2" w:rsidP="00654DC2">
      <w:pPr>
        <w:pStyle w:val="Nadpis2"/>
        <w:numPr>
          <w:ilvl w:val="0"/>
          <w:numId w:val="0"/>
        </w:numPr>
      </w:pPr>
      <w:bookmarkStart w:id="39" w:name="_Toc530739904"/>
      <w:r>
        <w:t xml:space="preserve">4.      </w:t>
      </w:r>
      <w:r w:rsidR="00BC2D99" w:rsidRPr="00015318">
        <w:t xml:space="preserve">Odložená daňová pohľadávka </w:t>
      </w:r>
    </w:p>
    <w:p w14:paraId="56030008" w14:textId="77777777" w:rsidR="00BC2D99" w:rsidRDefault="00BC2D99" w:rsidP="008048ED">
      <w:pPr>
        <w:pStyle w:val="Zkladntext"/>
        <w:keepNext/>
      </w:pPr>
    </w:p>
    <w:p w14:paraId="56030009" w14:textId="5E5D47E7" w:rsidR="00BC2D99" w:rsidRDefault="00BC2D99" w:rsidP="008048ED">
      <w:pPr>
        <w:pStyle w:val="Zkladntext"/>
        <w:keepNext/>
      </w:pPr>
      <w:r>
        <w:t xml:space="preserve">Výpočet odloženej daňovej pohľadávky a záväzku </w:t>
      </w:r>
      <w:r w:rsidR="00C63875">
        <w:t xml:space="preserve">pri použití sadzby dane </w:t>
      </w:r>
      <w:r w:rsidR="00BE6B36">
        <w:t>2</w:t>
      </w:r>
      <w:r w:rsidR="00DC136F">
        <w:t>1</w:t>
      </w:r>
      <w:r w:rsidR="00C63875">
        <w:t xml:space="preserve">% </w:t>
      </w:r>
      <w:r>
        <w:t>je uvedený v nasledujúcom prehľade:</w:t>
      </w:r>
    </w:p>
    <w:bookmarkStart w:id="40" w:name="_MON_1393778620"/>
    <w:bookmarkStart w:id="41" w:name="_MON_1393778855"/>
    <w:bookmarkStart w:id="42" w:name="_MON_1393779092"/>
    <w:bookmarkStart w:id="43" w:name="_MON_1393779256"/>
    <w:bookmarkStart w:id="44" w:name="_MON_1395819856"/>
    <w:bookmarkStart w:id="45" w:name="_MON_1456580949"/>
    <w:bookmarkStart w:id="46" w:name="_MON_1365320534"/>
    <w:bookmarkEnd w:id="40"/>
    <w:bookmarkEnd w:id="41"/>
    <w:bookmarkEnd w:id="42"/>
    <w:bookmarkEnd w:id="43"/>
    <w:bookmarkEnd w:id="44"/>
    <w:bookmarkEnd w:id="45"/>
    <w:bookmarkEnd w:id="46"/>
    <w:bookmarkStart w:id="47" w:name="_MON_1393778490"/>
    <w:bookmarkEnd w:id="47"/>
    <w:p w14:paraId="5603000A" w14:textId="2B94CE60" w:rsidR="006709C0" w:rsidRDefault="00015318" w:rsidP="006709C0">
      <w:pPr>
        <w:pStyle w:val="Zkladntext"/>
      </w:pPr>
      <w:r>
        <w:object w:dxaOrig="9279" w:dyaOrig="3047" w14:anchorId="5603014C">
          <v:shape id="_x0000_i1031" type="#_x0000_t75" style="width:463pt;height:149.5pt" o:ole="">
            <v:imagedata r:id="rId21" o:title=""/>
          </v:shape>
          <o:OLEObject Type="Embed" ProgID="Excel.Sheet.8" ShapeID="_x0000_i1031" DrawAspect="Content" ObjectID="_1616932840" r:id="rId22"/>
        </w:object>
      </w:r>
    </w:p>
    <w:p w14:paraId="5603000B" w14:textId="7C7DCF66" w:rsidR="00BC2D99" w:rsidRDefault="00BC2D99" w:rsidP="00201EE1">
      <w:pPr>
        <w:pStyle w:val="Zkladntext"/>
        <w:keepNext/>
        <w:ind w:left="425"/>
      </w:pPr>
      <w:r w:rsidRPr="00382AEF">
        <w:t xml:space="preserve">Zmena </w:t>
      </w:r>
      <w:r w:rsidR="00C77FEC">
        <w:t xml:space="preserve">netto </w:t>
      </w:r>
      <w:r w:rsidR="002B1FF0" w:rsidRPr="00382AEF">
        <w:t>odložen</w:t>
      </w:r>
      <w:r w:rsidR="002B1FF0">
        <w:t>ej</w:t>
      </w:r>
      <w:r w:rsidR="002B1FF0" w:rsidRPr="00382AEF">
        <w:t xml:space="preserve"> d</w:t>
      </w:r>
      <w:r w:rsidR="002B1FF0">
        <w:t>aň</w:t>
      </w:r>
      <w:r w:rsidR="002B1FF0" w:rsidRPr="00382AEF">
        <w:t>ov</w:t>
      </w:r>
      <w:r w:rsidR="002B1FF0">
        <w:t xml:space="preserve">ej  </w:t>
      </w:r>
      <w:r w:rsidR="00300A62">
        <w:t xml:space="preserve">pohľadávky </w:t>
      </w:r>
      <w:r w:rsidRPr="00382AEF">
        <w:t xml:space="preserve"> je uvedená v</w:t>
      </w:r>
      <w:r>
        <w:t> </w:t>
      </w:r>
      <w:r w:rsidRPr="00382AEF">
        <w:t>nasledujúc</w:t>
      </w:r>
      <w:r>
        <w:t>om prehľade</w:t>
      </w:r>
      <w:r w:rsidRPr="00382AEF">
        <w:t>:</w:t>
      </w:r>
    </w:p>
    <w:bookmarkStart w:id="48" w:name="_MON_1396849328"/>
    <w:bookmarkStart w:id="49" w:name="_MON_1395819925"/>
    <w:bookmarkEnd w:id="48"/>
    <w:bookmarkEnd w:id="49"/>
    <w:bookmarkStart w:id="50" w:name="_MON_1393779137"/>
    <w:bookmarkEnd w:id="50"/>
    <w:p w14:paraId="5603000C" w14:textId="6D4EAFE5" w:rsidR="00BC2D99" w:rsidRDefault="00015318" w:rsidP="00BC2D99">
      <w:pPr>
        <w:pStyle w:val="Zkladntext"/>
      </w:pPr>
      <w:r>
        <w:object w:dxaOrig="9850" w:dyaOrig="1650" w14:anchorId="5603014D">
          <v:shape id="_x0000_i1032" type="#_x0000_t75" style="width:439.5pt;height:83.5pt" o:ole="">
            <v:imagedata r:id="rId23" o:title=""/>
          </v:shape>
          <o:OLEObject Type="Embed" ProgID="Excel.Sheet.8" ShapeID="_x0000_i1032" DrawAspect="Content" ObjectID="_1616932841" r:id="rId24"/>
        </w:object>
      </w:r>
    </w:p>
    <w:bookmarkStart w:id="51" w:name="_MON_1396848573"/>
    <w:bookmarkStart w:id="52" w:name="_MON_1396848680"/>
    <w:bookmarkStart w:id="53" w:name="_MON_1396849056"/>
    <w:bookmarkStart w:id="54" w:name="_MON_1396849100"/>
    <w:bookmarkStart w:id="55" w:name="_MON_1396849121"/>
    <w:bookmarkStart w:id="56" w:name="_MON_1396849225"/>
    <w:bookmarkStart w:id="57" w:name="_MON_1396849323"/>
    <w:bookmarkEnd w:id="51"/>
    <w:bookmarkEnd w:id="52"/>
    <w:bookmarkEnd w:id="53"/>
    <w:bookmarkEnd w:id="54"/>
    <w:bookmarkEnd w:id="55"/>
    <w:bookmarkEnd w:id="56"/>
    <w:bookmarkEnd w:id="57"/>
    <w:bookmarkStart w:id="58" w:name="_MON_1396848291"/>
    <w:bookmarkEnd w:id="58"/>
    <w:p w14:paraId="5603000D" w14:textId="196EA9D2" w:rsidR="00321968" w:rsidRDefault="00190F56" w:rsidP="00BC2D99">
      <w:pPr>
        <w:pStyle w:val="Zkladntext"/>
      </w:pPr>
      <w:r>
        <w:object w:dxaOrig="9337" w:dyaOrig="5498" w14:anchorId="5603014E">
          <v:shape id="_x0000_i1033" type="#_x0000_t75" style="width:467pt;height:275.5pt" o:ole="">
            <v:imagedata r:id="rId25" o:title=""/>
          </v:shape>
          <o:OLEObject Type="Embed" ProgID="Excel.Sheet.12" ShapeID="_x0000_i1033" DrawAspect="Content" ObjectID="_1616932842" r:id="rId26"/>
        </w:object>
      </w:r>
    </w:p>
    <w:p w14:paraId="05744F5A" w14:textId="6CC3B305" w:rsidR="008E0D93" w:rsidRDefault="008E0D93" w:rsidP="00BC2D99">
      <w:pPr>
        <w:pStyle w:val="Zkladntext"/>
      </w:pPr>
      <w:r>
        <w:t>+</w:t>
      </w:r>
    </w:p>
    <w:p w14:paraId="2AB7A9F3" w14:textId="77777777" w:rsidR="008E0D93" w:rsidRDefault="008E0D93" w:rsidP="00BC2D99">
      <w:pPr>
        <w:pStyle w:val="Zkladntext"/>
      </w:pPr>
    </w:p>
    <w:p w14:paraId="5603000E" w14:textId="07734218" w:rsidR="008C288C" w:rsidRPr="00A910BF" w:rsidRDefault="00A910BF" w:rsidP="00A910BF">
      <w:pPr>
        <w:pStyle w:val="Nadpis2"/>
        <w:numPr>
          <w:ilvl w:val="0"/>
          <w:numId w:val="0"/>
        </w:numPr>
      </w:pPr>
      <w:r>
        <w:lastRenderedPageBreak/>
        <w:t xml:space="preserve">5.      </w:t>
      </w:r>
      <w:r w:rsidR="008C288C" w:rsidRPr="00A910BF">
        <w:t>Pohľadávky</w:t>
      </w:r>
      <w:bookmarkEnd w:id="39"/>
    </w:p>
    <w:p w14:paraId="5603000F" w14:textId="77777777" w:rsidR="008C288C" w:rsidRDefault="008C288C" w:rsidP="002418ED">
      <w:pPr>
        <w:pStyle w:val="Zkladntext"/>
        <w:keepNext/>
      </w:pPr>
    </w:p>
    <w:p w14:paraId="056098D1" w14:textId="2EA69F5B" w:rsidR="00545CB9" w:rsidRPr="00545CB9" w:rsidRDefault="00545CB9" w:rsidP="002418ED">
      <w:pPr>
        <w:pStyle w:val="Zkladntext"/>
        <w:keepNext/>
        <w:rPr>
          <w:u w:val="single"/>
        </w:rPr>
      </w:pPr>
      <w:r w:rsidRPr="00545CB9">
        <w:rPr>
          <w:u w:val="single"/>
        </w:rPr>
        <w:t xml:space="preserve">Pohľadávky z obchodného styku </w:t>
      </w:r>
    </w:p>
    <w:p w14:paraId="5781EE7A" w14:textId="77777777" w:rsidR="00545CB9" w:rsidRDefault="00545CB9" w:rsidP="002418ED">
      <w:pPr>
        <w:pStyle w:val="Zkladntext"/>
        <w:keepNext/>
      </w:pPr>
    </w:p>
    <w:p w14:paraId="56030010" w14:textId="77777777" w:rsidR="008C288C" w:rsidRDefault="008C288C" w:rsidP="002418ED">
      <w:pPr>
        <w:pStyle w:val="Zkladntext"/>
        <w:keepNext/>
      </w:pPr>
      <w:r>
        <w:t>Vývoj opravnej položky v priebehu účtovného obdobia je zobrazený v nasledujúcom prehľade:</w:t>
      </w:r>
    </w:p>
    <w:p w14:paraId="56030011" w14:textId="77777777" w:rsidR="008C288C" w:rsidRDefault="008C288C" w:rsidP="002418ED">
      <w:pPr>
        <w:pStyle w:val="Zkladntext"/>
        <w:keepNext/>
      </w:pPr>
    </w:p>
    <w:bookmarkStart w:id="59" w:name="_MON_1395819843"/>
    <w:bookmarkStart w:id="60" w:name="_MON_1393780007"/>
    <w:bookmarkStart w:id="61" w:name="_MON_1396845993"/>
    <w:bookmarkStart w:id="62" w:name="_MON_1396847158"/>
    <w:bookmarkEnd w:id="59"/>
    <w:bookmarkEnd w:id="60"/>
    <w:bookmarkEnd w:id="61"/>
    <w:bookmarkEnd w:id="62"/>
    <w:bookmarkStart w:id="63" w:name="_MON_1396847194"/>
    <w:bookmarkEnd w:id="63"/>
    <w:p w14:paraId="56030012" w14:textId="1F590DBA" w:rsidR="008C288C" w:rsidRDefault="004F0DB4">
      <w:pPr>
        <w:pStyle w:val="Zkladntext"/>
      </w:pPr>
      <w:r w:rsidRPr="00395629">
        <w:rPr>
          <w:lang w:val="de-DE"/>
        </w:rPr>
        <w:object w:dxaOrig="8667" w:dyaOrig="2375" w14:anchorId="5603014F">
          <v:shape id="_x0000_i1034" type="#_x0000_t75" style="width:6in;height:117pt" o:ole="">
            <v:imagedata r:id="rId27" o:title=""/>
          </v:shape>
          <o:OLEObject Type="Embed" ProgID="Excel.Sheet.8" ShapeID="_x0000_i1034" DrawAspect="Content" ObjectID="_1616932843" r:id="rId28"/>
        </w:object>
      </w:r>
    </w:p>
    <w:p w14:paraId="56030013" w14:textId="77777777" w:rsidR="008C288C" w:rsidRDefault="008C288C" w:rsidP="00933255">
      <w:pPr>
        <w:pStyle w:val="Zkladntext"/>
        <w:keepNext/>
        <w:ind w:left="425"/>
      </w:pPr>
      <w:r>
        <w:t xml:space="preserve">Veková štruktúra </w:t>
      </w:r>
      <w:r w:rsidR="007A1DB0">
        <w:t xml:space="preserve">krátkodobých </w:t>
      </w:r>
      <w:r>
        <w:t>pohľadávok</w:t>
      </w:r>
      <w:r w:rsidR="0052655B">
        <w:t xml:space="preserve"> z obchodného styku</w:t>
      </w:r>
      <w:r w:rsidR="00CB2ED0">
        <w:t xml:space="preserve"> (brutto)</w:t>
      </w:r>
      <w:r>
        <w:t xml:space="preserve"> je uvedená v nasledujúcom prehľade:</w:t>
      </w:r>
    </w:p>
    <w:p w14:paraId="56030014" w14:textId="77777777" w:rsidR="008C288C" w:rsidRDefault="008C288C" w:rsidP="00933255">
      <w:pPr>
        <w:pStyle w:val="Zkladntext"/>
        <w:keepNext/>
        <w:ind w:left="425"/>
      </w:pPr>
    </w:p>
    <w:bookmarkStart w:id="64" w:name="_MON_1393780056"/>
    <w:bookmarkEnd w:id="64"/>
    <w:p w14:paraId="5787D936" w14:textId="167505C8" w:rsidR="00545CB9" w:rsidRDefault="00FE62CE" w:rsidP="00545CB9">
      <w:pPr>
        <w:pStyle w:val="Zkladntext"/>
        <w:rPr>
          <w:color w:val="000000" w:themeColor="text1"/>
        </w:rPr>
      </w:pPr>
      <w:r>
        <w:object w:dxaOrig="8783" w:dyaOrig="1447" w14:anchorId="56030150">
          <v:shape id="_x0000_i1035" type="#_x0000_t75" style="width:439pt;height:73pt" o:ole="">
            <v:imagedata r:id="rId29" o:title=""/>
          </v:shape>
          <o:OLEObject Type="Embed" ProgID="Excel.Sheet.8" ShapeID="_x0000_i1035" DrawAspect="Content" ObjectID="_1616932844" r:id="rId30"/>
        </w:object>
      </w:r>
    </w:p>
    <w:p w14:paraId="11A4C3E9" w14:textId="02B22D2F" w:rsidR="00545CB9" w:rsidRDefault="00545CB9">
      <w:pPr>
        <w:pStyle w:val="Zkladntext"/>
        <w:rPr>
          <w:color w:val="000000" w:themeColor="text1"/>
        </w:rPr>
      </w:pPr>
      <w:r>
        <w:t>Z obchodných pohľadávok po splatnosti je 0  EUR (2018: 0 EUR) voči materskej spoločnosti a 8 280 EUR (2018: 8 280 EUR) voči personálne prepojenej spoločnosti</w:t>
      </w:r>
    </w:p>
    <w:p w14:paraId="087C1CE0" w14:textId="77777777" w:rsidR="00545CB9" w:rsidRDefault="00545CB9">
      <w:pPr>
        <w:pStyle w:val="Zkladntext"/>
        <w:rPr>
          <w:color w:val="000000" w:themeColor="text1"/>
        </w:rPr>
      </w:pPr>
    </w:p>
    <w:p w14:paraId="1C6C64B8" w14:textId="77777777" w:rsidR="00545CB9" w:rsidRDefault="00545CB9">
      <w:pPr>
        <w:pStyle w:val="Zkladntext"/>
        <w:rPr>
          <w:color w:val="000000" w:themeColor="text1"/>
        </w:rPr>
      </w:pPr>
    </w:p>
    <w:p w14:paraId="64EB53B8" w14:textId="226B8EBE" w:rsidR="00545CB9" w:rsidRPr="00545CB9" w:rsidRDefault="00545CB9">
      <w:pPr>
        <w:pStyle w:val="Zkladntext"/>
        <w:rPr>
          <w:color w:val="000000" w:themeColor="text1"/>
          <w:u w:val="single"/>
        </w:rPr>
      </w:pPr>
      <w:r w:rsidRPr="00545CB9">
        <w:rPr>
          <w:color w:val="000000" w:themeColor="text1"/>
          <w:u w:val="single"/>
        </w:rPr>
        <w:t xml:space="preserve">Ostatné pohľadávky </w:t>
      </w:r>
    </w:p>
    <w:p w14:paraId="32F7A9A3" w14:textId="77777777" w:rsidR="00545CB9" w:rsidRDefault="00545CB9">
      <w:pPr>
        <w:pStyle w:val="Zkladntext"/>
      </w:pPr>
    </w:p>
    <w:p w14:paraId="56030018" w14:textId="4C3DE34B" w:rsidR="00A66E35" w:rsidRDefault="00380ADA">
      <w:pPr>
        <w:pStyle w:val="Zkladntext"/>
      </w:pPr>
      <w:r>
        <w:t xml:space="preserve">Ostatné kategórie pohľadávok sú </w:t>
      </w:r>
      <w:r w:rsidR="00144073">
        <w:t>ak v lehote splatnosti, tak i po lehote splatnosti. Niektoré sú súdne riešené.</w:t>
      </w:r>
      <w:r w:rsidR="006D79A4">
        <w:t xml:space="preserve"> </w:t>
      </w:r>
      <w:r w:rsidR="00A66E35">
        <w:t xml:space="preserve">Pohľadávky z obchodného styku voči odberateľom </w:t>
      </w:r>
      <w:r w:rsidR="00144073">
        <w:t>nie</w:t>
      </w:r>
      <w:r w:rsidR="00063C1F">
        <w:t xml:space="preserve"> </w:t>
      </w:r>
      <w:r w:rsidR="00A66E35">
        <w:t xml:space="preserve">sú založené v prospech </w:t>
      </w:r>
      <w:r w:rsidR="00144073">
        <w:t>žiadne bankové spoločnosti.</w:t>
      </w:r>
    </w:p>
    <w:p w14:paraId="4861269C" w14:textId="77777777" w:rsidR="008A2E52" w:rsidRDefault="008A2E52" w:rsidP="00257910">
      <w:pPr>
        <w:pStyle w:val="Zkladntext"/>
        <w:jc w:val="right"/>
      </w:pPr>
    </w:p>
    <w:p w14:paraId="029FD2A8" w14:textId="7224C545" w:rsidR="008A2E52" w:rsidRDefault="008A2E52" w:rsidP="008A2E52">
      <w:pPr>
        <w:pStyle w:val="Zkladntext"/>
      </w:pPr>
      <w:r w:rsidRPr="00545CB9">
        <w:t xml:space="preserve">Spoločnosť eviduje  pohľadávky voči materskej spoločnosti ENDL+K a.s.  z titulu poskytnutých pôžičiek v objeme 3 000 000 EUR ako krátkodobé (2017: 0 EUR ). Pôžička je bezúročná  a konečná splatnosť bola 14.12.2018 u prvej </w:t>
      </w:r>
      <w:r w:rsidR="00D43907" w:rsidRPr="00545CB9">
        <w:t>pôžičky</w:t>
      </w:r>
      <w:r w:rsidRPr="00545CB9">
        <w:t xml:space="preserve"> a 6.2.2019 u druhej pôžičky.</w:t>
      </w:r>
    </w:p>
    <w:p w14:paraId="3104946F" w14:textId="756F911A" w:rsidR="00C4048B" w:rsidRDefault="00C4048B" w:rsidP="00380ADA">
      <w:pPr>
        <w:pStyle w:val="Zkladntext"/>
      </w:pPr>
    </w:p>
    <w:p w14:paraId="3AC963DC" w14:textId="73CB18E4" w:rsidR="003766AC" w:rsidRDefault="003766AC" w:rsidP="003766AC">
      <w:pPr>
        <w:pStyle w:val="Zkladntext"/>
        <w:keepNext/>
        <w:ind w:left="425"/>
      </w:pPr>
      <w:r>
        <w:t>Veková štruktúra ostatných pohľadávok (brutto) je uvedená v nasledujúcom prehľade:</w:t>
      </w:r>
    </w:p>
    <w:p w14:paraId="15AC6C70" w14:textId="77777777" w:rsidR="003766AC" w:rsidRDefault="003766AC" w:rsidP="00380ADA">
      <w:pPr>
        <w:pStyle w:val="Zkladntext"/>
      </w:pPr>
    </w:p>
    <w:bookmarkStart w:id="65" w:name="_MON_1615634628"/>
    <w:bookmarkEnd w:id="65"/>
    <w:p w14:paraId="00196632" w14:textId="52237C29" w:rsidR="0074029C" w:rsidRDefault="00972062" w:rsidP="00C4048B">
      <w:pPr>
        <w:pStyle w:val="Zkladntext"/>
      </w:pPr>
      <w:r>
        <w:object w:dxaOrig="8770" w:dyaOrig="6079" w14:anchorId="4F2B6EAE">
          <v:shape id="_x0000_i1036" type="#_x0000_t75" style="width:439.5pt;height:305.5pt" o:ole="">
            <v:imagedata r:id="rId31" o:title=""/>
          </v:shape>
          <o:OLEObject Type="Embed" ProgID="Excel.Sheet.8" ShapeID="_x0000_i1036" DrawAspect="Content" ObjectID="_1616932845" r:id="rId32"/>
        </w:object>
      </w:r>
    </w:p>
    <w:p w14:paraId="1458EF98" w14:textId="77777777" w:rsidR="00545CB9" w:rsidRDefault="00545CB9" w:rsidP="00C4048B">
      <w:pPr>
        <w:pStyle w:val="Zkladntext"/>
      </w:pPr>
    </w:p>
    <w:p w14:paraId="2031DAE9" w14:textId="77777777" w:rsidR="00545CB9" w:rsidRDefault="00545CB9" w:rsidP="00C4048B">
      <w:pPr>
        <w:pStyle w:val="Zkladntext"/>
      </w:pPr>
    </w:p>
    <w:p w14:paraId="33A7E7E0" w14:textId="77777777" w:rsidR="00545CB9" w:rsidRDefault="00545CB9" w:rsidP="00C4048B">
      <w:pPr>
        <w:pStyle w:val="Zkladntext"/>
      </w:pPr>
    </w:p>
    <w:p w14:paraId="0480C772" w14:textId="77777777" w:rsidR="00545CB9" w:rsidRDefault="00545CB9" w:rsidP="00C4048B">
      <w:pPr>
        <w:pStyle w:val="Zkladntext"/>
      </w:pPr>
    </w:p>
    <w:p w14:paraId="5603001A" w14:textId="060C8F11" w:rsidR="008C288C" w:rsidRDefault="00063C1F" w:rsidP="00063C1F">
      <w:pPr>
        <w:pStyle w:val="Nadpis2"/>
        <w:numPr>
          <w:ilvl w:val="0"/>
          <w:numId w:val="0"/>
        </w:numPr>
      </w:pPr>
      <w:bookmarkStart w:id="66" w:name="_Toc530739905"/>
      <w:r>
        <w:t xml:space="preserve">6.     </w:t>
      </w:r>
      <w:r w:rsidR="008C288C">
        <w:t>Finančné účty</w:t>
      </w:r>
      <w:bookmarkEnd w:id="66"/>
    </w:p>
    <w:p w14:paraId="5603001B" w14:textId="77777777" w:rsidR="008C288C" w:rsidRDefault="008C288C" w:rsidP="00A30CEC">
      <w:pPr>
        <w:pStyle w:val="Zkladntext"/>
        <w:keepNext/>
        <w:ind w:left="425"/>
      </w:pPr>
    </w:p>
    <w:p w14:paraId="5603001C" w14:textId="2AD92CCF" w:rsidR="008C288C" w:rsidRDefault="008C288C">
      <w:pPr>
        <w:pStyle w:val="Zkladntext"/>
      </w:pPr>
      <w:r>
        <w:t>Ako finančné účty sú vykázané peniaze v pokladnici, účty v bankách a cenné papiere. Účtami v bankách môže Spoločnosť voľne disponovať.</w:t>
      </w:r>
      <w:r w:rsidR="00063C1F">
        <w:t xml:space="preserve"> </w:t>
      </w:r>
    </w:p>
    <w:p w14:paraId="2A0233B1" w14:textId="77777777" w:rsidR="00FE62CE" w:rsidRDefault="00FE62CE">
      <w:pPr>
        <w:pStyle w:val="Zkladntext"/>
      </w:pPr>
    </w:p>
    <w:p w14:paraId="3185D3BC" w14:textId="77777777" w:rsidR="00FE62CE" w:rsidRDefault="00FE62CE">
      <w:pPr>
        <w:pStyle w:val="Zkladntext"/>
      </w:pPr>
    </w:p>
    <w:p w14:paraId="7618A33E" w14:textId="77777777" w:rsidR="00FE62CE" w:rsidRDefault="00FE62CE">
      <w:pPr>
        <w:pStyle w:val="Zkladntext"/>
      </w:pPr>
    </w:p>
    <w:bookmarkStart w:id="67" w:name="_MON_1616319412"/>
    <w:bookmarkEnd w:id="67"/>
    <w:p w14:paraId="2A3B7A76" w14:textId="3E7E4538" w:rsidR="00FE62CE" w:rsidRDefault="00FE62CE">
      <w:pPr>
        <w:pStyle w:val="Zkladntext"/>
      </w:pPr>
      <w:r>
        <w:object w:dxaOrig="8783" w:dyaOrig="1447" w14:anchorId="17197BC9">
          <v:shape id="_x0000_i1037" type="#_x0000_t75" style="width:439pt;height:73pt" o:ole="">
            <v:imagedata r:id="rId33" o:title=""/>
          </v:shape>
          <o:OLEObject Type="Embed" ProgID="Excel.Sheet.8" ShapeID="_x0000_i1037" DrawAspect="Content" ObjectID="_1616932846" r:id="rId34"/>
        </w:object>
      </w:r>
    </w:p>
    <w:p w14:paraId="46D5BAF0" w14:textId="77777777" w:rsidR="00FE62CE" w:rsidRDefault="00FE62CE">
      <w:pPr>
        <w:pStyle w:val="Zkladntext"/>
      </w:pPr>
    </w:p>
    <w:p w14:paraId="10715A43" w14:textId="77777777" w:rsidR="00FE62CE" w:rsidRDefault="00FE62CE">
      <w:pPr>
        <w:pStyle w:val="Zkladntext"/>
      </w:pPr>
    </w:p>
    <w:p w14:paraId="4571F87D" w14:textId="77777777" w:rsidR="00FE62CE" w:rsidRDefault="00FE62CE" w:rsidP="00FE62CE">
      <w:pPr>
        <w:pStyle w:val="Zkladntext"/>
        <w:ind w:left="0"/>
      </w:pPr>
    </w:p>
    <w:p w14:paraId="5603001D" w14:textId="77777777" w:rsidR="00814068" w:rsidRDefault="00814068">
      <w:pPr>
        <w:pStyle w:val="Zkladntext"/>
      </w:pPr>
    </w:p>
    <w:p w14:paraId="246E0AD5" w14:textId="57272AA0" w:rsidR="0074029C" w:rsidRPr="00B50225" w:rsidRDefault="00AA3A64" w:rsidP="00AA3A64">
      <w:pPr>
        <w:pStyle w:val="Nadpis2"/>
        <w:numPr>
          <w:ilvl w:val="0"/>
          <w:numId w:val="0"/>
        </w:numPr>
        <w:rPr>
          <w:szCs w:val="18"/>
        </w:rPr>
      </w:pPr>
      <w:r>
        <w:rPr>
          <w:szCs w:val="18"/>
        </w:rPr>
        <w:t xml:space="preserve">7.     </w:t>
      </w:r>
      <w:r w:rsidR="0074029C" w:rsidRPr="00B50225">
        <w:rPr>
          <w:szCs w:val="18"/>
        </w:rPr>
        <w:t>Krátkodobý finančný majetok</w:t>
      </w:r>
    </w:p>
    <w:p w14:paraId="2CA251A4" w14:textId="1AAB4216" w:rsidR="0074029C" w:rsidRDefault="0074029C" w:rsidP="0074029C">
      <w:pPr>
        <w:pStyle w:val="Zkladntext"/>
        <w:rPr>
          <w:szCs w:val="18"/>
        </w:rPr>
      </w:pPr>
    </w:p>
    <w:p w14:paraId="37131830" w14:textId="7293CD3D" w:rsidR="00FD03FA" w:rsidRDefault="00FD03FA" w:rsidP="0074029C">
      <w:pPr>
        <w:pStyle w:val="Zkladntext"/>
        <w:rPr>
          <w:szCs w:val="18"/>
        </w:rPr>
      </w:pPr>
    </w:p>
    <w:p w14:paraId="2B359B44" w14:textId="72E7F0F2" w:rsidR="00FD03FA" w:rsidRPr="00B50225" w:rsidRDefault="00FD03FA" w:rsidP="0074029C">
      <w:pPr>
        <w:pStyle w:val="Zkladntext"/>
        <w:rPr>
          <w:szCs w:val="18"/>
        </w:rPr>
      </w:pPr>
      <w:r>
        <w:rPr>
          <w:szCs w:val="18"/>
        </w:rPr>
        <w:t>Spoločnosť s výnimkou finančných účtov nevlastní iný krátkodobý finančný majetok.</w:t>
      </w:r>
    </w:p>
    <w:p w14:paraId="26E28C8B" w14:textId="77777777" w:rsidR="0074029C" w:rsidRPr="00891481" w:rsidRDefault="0074029C" w:rsidP="0074029C">
      <w:pPr>
        <w:pStyle w:val="Zkladntext"/>
        <w:ind w:left="0"/>
        <w:rPr>
          <w:i/>
          <w:szCs w:val="18"/>
          <w:u w:val="single"/>
        </w:rPr>
      </w:pPr>
    </w:p>
    <w:p w14:paraId="5C368490" w14:textId="77777777" w:rsidR="0074029C" w:rsidRPr="008C0838" w:rsidRDefault="0074029C" w:rsidP="0074029C">
      <w:pPr>
        <w:pStyle w:val="Zkladntext"/>
        <w:ind w:left="0"/>
        <w:rPr>
          <w:i/>
          <w:szCs w:val="18"/>
          <w:u w:val="single"/>
        </w:rPr>
      </w:pPr>
    </w:p>
    <w:p w14:paraId="328880E0" w14:textId="77777777" w:rsidR="0074029C" w:rsidRPr="00B50225" w:rsidRDefault="0074029C" w:rsidP="0074029C">
      <w:pPr>
        <w:pStyle w:val="Zkladntext"/>
        <w:rPr>
          <w:i/>
          <w:szCs w:val="18"/>
          <w:u w:val="single"/>
        </w:rPr>
      </w:pPr>
    </w:p>
    <w:p w14:paraId="4E3EFFAB" w14:textId="77777777" w:rsidR="0074029C" w:rsidRDefault="0074029C" w:rsidP="0074029C">
      <w:pPr>
        <w:ind w:left="284" w:firstLine="426"/>
        <w:rPr>
          <w:sz w:val="18"/>
          <w:szCs w:val="18"/>
        </w:rPr>
      </w:pPr>
    </w:p>
    <w:p w14:paraId="61E3117F" w14:textId="77777777" w:rsidR="0074029C" w:rsidRDefault="0074029C" w:rsidP="0074029C">
      <w:pPr>
        <w:ind w:left="284" w:firstLine="426"/>
        <w:rPr>
          <w:sz w:val="18"/>
          <w:szCs w:val="18"/>
        </w:rPr>
      </w:pPr>
    </w:p>
    <w:p w14:paraId="5F230ED3" w14:textId="77777777" w:rsidR="0074029C" w:rsidRDefault="0074029C" w:rsidP="0074029C">
      <w:pPr>
        <w:jc w:val="both"/>
        <w:rPr>
          <w:i/>
          <w:sz w:val="18"/>
          <w:szCs w:val="18"/>
        </w:rPr>
      </w:pPr>
    </w:p>
    <w:p w14:paraId="6A503411" w14:textId="77777777" w:rsidR="0074029C" w:rsidRPr="00FC603B" w:rsidRDefault="0074029C" w:rsidP="00AA3A64">
      <w:pPr>
        <w:rPr>
          <w:sz w:val="18"/>
          <w:szCs w:val="18"/>
        </w:rPr>
      </w:pPr>
    </w:p>
    <w:p w14:paraId="21EA5435" w14:textId="08EC08DF" w:rsidR="0074029C" w:rsidRDefault="0074029C" w:rsidP="0074029C">
      <w:pPr>
        <w:spacing w:after="200" w:line="276" w:lineRule="auto"/>
        <w:rPr>
          <w:sz w:val="18"/>
          <w:szCs w:val="18"/>
        </w:rPr>
      </w:pPr>
    </w:p>
    <w:p w14:paraId="1F8AC077" w14:textId="77777777" w:rsidR="0074029C" w:rsidRPr="00FC5DBB" w:rsidRDefault="0074029C" w:rsidP="000C6143">
      <w:pPr>
        <w:pStyle w:val="Nadpis2"/>
        <w:numPr>
          <w:ilvl w:val="0"/>
          <w:numId w:val="2"/>
        </w:numPr>
      </w:pPr>
      <w:r w:rsidRPr="00FC5DBB">
        <w:lastRenderedPageBreak/>
        <w:t>Časové rozlíšenie</w:t>
      </w:r>
      <w:r>
        <w:t xml:space="preserve"> – strana aktív</w:t>
      </w:r>
    </w:p>
    <w:p w14:paraId="29066089" w14:textId="77777777" w:rsidR="0074029C" w:rsidRPr="00FC5DBB" w:rsidRDefault="0074029C" w:rsidP="0074029C">
      <w:pPr>
        <w:pStyle w:val="Zkladntext"/>
        <w:keepNext/>
      </w:pPr>
    </w:p>
    <w:p w14:paraId="74B2304C" w14:textId="77777777" w:rsidR="0074029C" w:rsidRPr="00FC5DBB" w:rsidRDefault="0074029C" w:rsidP="0074029C">
      <w:pPr>
        <w:pStyle w:val="Zkladntext"/>
        <w:keepNext/>
      </w:pPr>
      <w:r w:rsidRPr="00FC5DBB">
        <w:t>Štruktúra časového rozlíšenia je uvedená v nasledujúcom prehľade:</w:t>
      </w:r>
    </w:p>
    <w:p w14:paraId="72F3CD37" w14:textId="77777777" w:rsidR="0074029C" w:rsidRPr="00FC5DBB" w:rsidRDefault="0074029C" w:rsidP="0074029C">
      <w:pPr>
        <w:pStyle w:val="Zkladntext"/>
        <w:keepNext/>
      </w:pPr>
    </w:p>
    <w:bookmarkStart w:id="68" w:name="_MON_1551608441"/>
    <w:bookmarkEnd w:id="68"/>
    <w:p w14:paraId="662B5DE3" w14:textId="4F37BC9A" w:rsidR="0074029C" w:rsidRPr="00FC5DBB" w:rsidRDefault="00071E41" w:rsidP="0074029C">
      <w:pPr>
        <w:pStyle w:val="Zkladntext"/>
      </w:pPr>
      <w:r w:rsidRPr="00FC5DBB">
        <w:object w:dxaOrig="8656" w:dyaOrig="3644" w14:anchorId="6248D7C6">
          <v:shape id="_x0000_i1038" type="#_x0000_t75" style="width:433pt;height:177.5pt" o:ole="">
            <v:imagedata r:id="rId35" o:title=""/>
          </v:shape>
          <o:OLEObject Type="Embed" ProgID="Excel.Sheet.8" ShapeID="_x0000_i1038" DrawAspect="Content" ObjectID="_1616932847" r:id="rId36"/>
        </w:object>
      </w:r>
    </w:p>
    <w:p w14:paraId="5603001E" w14:textId="77777777" w:rsidR="008C288C" w:rsidRDefault="008C288C" w:rsidP="008048ED">
      <w:pPr>
        <w:pStyle w:val="Nadpis1"/>
      </w:pPr>
      <w:r>
        <w:t>Informácie o údajoch na strane pasív súvahy</w:t>
      </w:r>
    </w:p>
    <w:p w14:paraId="5603001F" w14:textId="77777777" w:rsidR="008C288C" w:rsidRDefault="008C288C" w:rsidP="008048ED">
      <w:pPr>
        <w:pStyle w:val="Zkladntext"/>
        <w:keepNext/>
      </w:pPr>
    </w:p>
    <w:p w14:paraId="56030020" w14:textId="77777777" w:rsidR="008C288C" w:rsidRDefault="008C288C" w:rsidP="000C6143">
      <w:pPr>
        <w:pStyle w:val="Nadpis2"/>
        <w:numPr>
          <w:ilvl w:val="0"/>
          <w:numId w:val="7"/>
        </w:numPr>
      </w:pPr>
      <w:bookmarkStart w:id="69" w:name="_Toc530739908"/>
      <w:r>
        <w:t>Vlastné imanie</w:t>
      </w:r>
    </w:p>
    <w:p w14:paraId="56030021" w14:textId="77777777" w:rsidR="008C288C" w:rsidRDefault="008C288C" w:rsidP="008048ED">
      <w:pPr>
        <w:pStyle w:val="Zkladntext"/>
        <w:keepNext/>
      </w:pPr>
    </w:p>
    <w:p w14:paraId="56030022" w14:textId="77777777" w:rsidR="007D1CB1" w:rsidRDefault="007D1CB1" w:rsidP="008048ED">
      <w:pPr>
        <w:pStyle w:val="Zkladntext"/>
        <w:keepNext/>
      </w:pPr>
      <w:r>
        <w:t>Prehľad o pohybe vlastného imania v priebehu účtovného obdobia je uvedený v nasledujúcej tabuľke:</w:t>
      </w:r>
    </w:p>
    <w:bookmarkStart w:id="70" w:name="_MON_1366454707"/>
    <w:bookmarkStart w:id="71" w:name="_MON_1393780184"/>
    <w:bookmarkStart w:id="72" w:name="_MON_1393780570"/>
    <w:bookmarkEnd w:id="70"/>
    <w:bookmarkEnd w:id="71"/>
    <w:bookmarkEnd w:id="72"/>
    <w:bookmarkStart w:id="73" w:name="_MON_1393780498"/>
    <w:bookmarkEnd w:id="73"/>
    <w:p w14:paraId="76A99019" w14:textId="42F366EF" w:rsidR="00710677" w:rsidRDefault="0004785C" w:rsidP="00710677">
      <w:pPr>
        <w:pStyle w:val="Zkladntext"/>
        <w:ind w:left="425"/>
      </w:pPr>
      <w:r>
        <w:object w:dxaOrig="8994" w:dyaOrig="4096" w14:anchorId="77E3BBD3">
          <v:shape id="_x0000_i1039" type="#_x0000_t75" style="width:450pt;height:204.5pt" o:ole="">
            <v:imagedata r:id="rId37" o:title=""/>
          </v:shape>
          <o:OLEObject Type="Embed" ProgID="Excel.Sheet.8" ShapeID="_x0000_i1039" DrawAspect="Content" ObjectID="_1616932848" r:id="rId38"/>
        </w:object>
      </w:r>
      <w:r w:rsidR="00FD2B16">
        <w:t xml:space="preserve"> </w:t>
      </w:r>
    </w:p>
    <w:p w14:paraId="56030024" w14:textId="77777777" w:rsidR="008B759C" w:rsidRDefault="008B759C" w:rsidP="00CD7CDA">
      <w:pPr>
        <w:pStyle w:val="Zkladntext"/>
      </w:pPr>
    </w:p>
    <w:p w14:paraId="56030025" w14:textId="77777777" w:rsidR="001B6C19" w:rsidRDefault="001B6C19" w:rsidP="001B6C19">
      <w:pPr>
        <w:pStyle w:val="Zkladntext"/>
        <w:keepNext/>
        <w:ind w:left="425"/>
      </w:pPr>
      <w:r>
        <w:lastRenderedPageBreak/>
        <w:t>Prehľad o pohybe vlastného imania v priebehu predchádzajúceho účtovného obdobia je uvedený v nasledujúcej tabuľke:</w:t>
      </w:r>
    </w:p>
    <w:bookmarkStart w:id="74" w:name="_MON_1393780434"/>
    <w:bookmarkEnd w:id="74"/>
    <w:bookmarkStart w:id="75" w:name="_MON_1395819914"/>
    <w:bookmarkEnd w:id="75"/>
    <w:p w14:paraId="38F7390D" w14:textId="50B389F3" w:rsidR="00710677" w:rsidRDefault="0004785C" w:rsidP="00710677">
      <w:pPr>
        <w:pStyle w:val="Zkladntext"/>
      </w:pPr>
      <w:r>
        <w:object w:dxaOrig="9074" w:dyaOrig="3630" w14:anchorId="4FE5ABA8">
          <v:shape id="_x0000_i1040" type="#_x0000_t75" style="width:454.5pt;height:181pt" o:ole="">
            <v:imagedata r:id="rId39" o:title=""/>
          </v:shape>
          <o:OLEObject Type="Embed" ProgID="Excel.Sheet.8" ShapeID="_x0000_i1040" DrawAspect="Content" ObjectID="_1616932849" r:id="rId40"/>
        </w:object>
      </w:r>
    </w:p>
    <w:p w14:paraId="3012084B" w14:textId="77777777" w:rsidR="009F6441" w:rsidRDefault="009F6441" w:rsidP="007311E8">
      <w:pPr>
        <w:pStyle w:val="Zkladntext"/>
        <w:keepNext/>
        <w:ind w:left="425"/>
      </w:pPr>
    </w:p>
    <w:p w14:paraId="1DC8AAED" w14:textId="13AB5CC1" w:rsidR="00FD2B16" w:rsidRDefault="00C47F4C" w:rsidP="007311E8">
      <w:pPr>
        <w:pStyle w:val="Zkladntext"/>
        <w:keepNext/>
        <w:ind w:left="425"/>
      </w:pPr>
      <w:r w:rsidRPr="00C47F4C">
        <w:t>Rozdelenie hospodárskeho výsledku po zdanení</w:t>
      </w:r>
      <w:r w:rsidR="001B6C19" w:rsidRPr="00C47F4C">
        <w:t xml:space="preserve"> za rok</w:t>
      </w:r>
      <w:r w:rsidR="00B92984">
        <w:t>y</w:t>
      </w:r>
      <w:r w:rsidR="001B6C19" w:rsidRPr="00C47F4C">
        <w:t xml:space="preserve"> </w:t>
      </w:r>
      <w:r w:rsidR="00B92984">
        <w:t>20</w:t>
      </w:r>
      <w:r w:rsidR="00A301E9">
        <w:t>1</w:t>
      </w:r>
      <w:r w:rsidR="00FD2B16">
        <w:t>6</w:t>
      </w:r>
      <w:r w:rsidR="00B92984">
        <w:t xml:space="preserve">, </w:t>
      </w:r>
      <w:r w:rsidR="001B6C19" w:rsidRPr="00C47F4C">
        <w:t>20</w:t>
      </w:r>
      <w:r w:rsidR="00017A48">
        <w:t>1</w:t>
      </w:r>
      <w:r w:rsidR="00FD2B16">
        <w:t>7</w:t>
      </w:r>
      <w:r w:rsidR="001B6C19" w:rsidRPr="00C47F4C">
        <w:t xml:space="preserve"> </w:t>
      </w:r>
      <w:r w:rsidRPr="00C47F4C">
        <w:t>a návrh na rozdelenie za rok 20</w:t>
      </w:r>
      <w:r w:rsidR="009B3784">
        <w:t>1</w:t>
      </w:r>
      <w:r w:rsidR="00FD2B16">
        <w:t>8</w:t>
      </w:r>
    </w:p>
    <w:p w14:paraId="56030029" w14:textId="365205DD" w:rsidR="001B6C19" w:rsidRPr="00C47F4C" w:rsidRDefault="00C47F4C" w:rsidP="007311E8">
      <w:pPr>
        <w:pStyle w:val="Zkladntext"/>
        <w:keepNext/>
        <w:ind w:left="425"/>
      </w:pPr>
      <w:r w:rsidRPr="00C47F4C">
        <w:t xml:space="preserve"> sú nasledovné</w:t>
      </w:r>
      <w:r w:rsidR="001B6C19" w:rsidRPr="00C47F4C">
        <w:t>:</w:t>
      </w:r>
    </w:p>
    <w:bookmarkStart w:id="76" w:name="_MON_1396847303"/>
    <w:bookmarkStart w:id="77" w:name="_MON_1393780641"/>
    <w:bookmarkEnd w:id="76"/>
    <w:bookmarkEnd w:id="77"/>
    <w:bookmarkStart w:id="78" w:name="_MON_1366455252"/>
    <w:bookmarkEnd w:id="78"/>
    <w:p w14:paraId="5603002B" w14:textId="00A650D6" w:rsidR="00267E54" w:rsidRDefault="00E61191" w:rsidP="00267E54">
      <w:pPr>
        <w:pStyle w:val="Zkladntext"/>
      </w:pPr>
      <w:r w:rsidRPr="00C47F4C">
        <w:object w:dxaOrig="9448" w:dyaOrig="1596" w14:anchorId="56030154">
          <v:shape id="_x0000_i1041" type="#_x0000_t75" style="width:454pt;height:75pt" o:ole="">
            <v:imagedata r:id="rId41" o:title=""/>
          </v:shape>
          <o:OLEObject Type="Embed" ProgID="Excel.Sheet.8" ShapeID="_x0000_i1041" DrawAspect="Content" ObjectID="_1616932850" r:id="rId42"/>
        </w:object>
      </w:r>
      <w:r w:rsidR="001B6C19" w:rsidRPr="00C47F4C">
        <w:t>O rozdelení výsledku hospodárenia za účtovné obdobie 20</w:t>
      </w:r>
      <w:r w:rsidR="00CD7CDA">
        <w:t>1</w:t>
      </w:r>
      <w:r w:rsidR="006E4EBA">
        <w:t>8</w:t>
      </w:r>
      <w:r w:rsidR="001B6C19" w:rsidRPr="00C47F4C">
        <w:t xml:space="preserve"> rozhodne valné zhromaždenie.</w:t>
      </w:r>
    </w:p>
    <w:p w14:paraId="5603002C" w14:textId="77777777" w:rsidR="001B6C19" w:rsidRDefault="001B6C19">
      <w:pPr>
        <w:pStyle w:val="Zkladntext"/>
      </w:pPr>
    </w:p>
    <w:p w14:paraId="5603002E" w14:textId="77777777" w:rsidR="008C288C" w:rsidRDefault="008C288C">
      <w:pPr>
        <w:pStyle w:val="Zkladntext"/>
      </w:pPr>
    </w:p>
    <w:p w14:paraId="5603002F" w14:textId="77777777" w:rsidR="008C288C" w:rsidRPr="00F47560" w:rsidRDefault="008C288C" w:rsidP="000C6143">
      <w:pPr>
        <w:pStyle w:val="Nadpis2"/>
        <w:numPr>
          <w:ilvl w:val="0"/>
          <w:numId w:val="7"/>
        </w:numPr>
      </w:pPr>
      <w:r w:rsidRPr="00F47560">
        <w:t>Rezervy</w:t>
      </w:r>
      <w:bookmarkEnd w:id="69"/>
    </w:p>
    <w:p w14:paraId="56030030" w14:textId="77777777" w:rsidR="008C288C" w:rsidRDefault="008C288C" w:rsidP="007D1CB1">
      <w:pPr>
        <w:pStyle w:val="Zkladntext"/>
        <w:keepNext/>
      </w:pPr>
    </w:p>
    <w:p w14:paraId="56030031" w14:textId="77777777" w:rsidR="008C288C" w:rsidRPr="00EC0203" w:rsidRDefault="008C288C" w:rsidP="007D1CB1">
      <w:pPr>
        <w:pStyle w:val="Zkladntext"/>
        <w:keepNext/>
      </w:pPr>
      <w:r>
        <w:t xml:space="preserve">Prehľad o rezervách </w:t>
      </w:r>
      <w:r w:rsidR="00DE41CD">
        <w:t xml:space="preserve">za bežné účtovné obdobie </w:t>
      </w:r>
      <w:r>
        <w:t>je uvedený v nasledujúcej tabuľke:</w:t>
      </w:r>
    </w:p>
    <w:bookmarkStart w:id="79" w:name="_MON_1551606167"/>
    <w:bookmarkEnd w:id="79"/>
    <w:bookmarkStart w:id="80" w:name="_MON_1454183270"/>
    <w:bookmarkEnd w:id="80"/>
    <w:p w14:paraId="69E667DF" w14:textId="70ABE571" w:rsidR="00276166" w:rsidRDefault="00E73BAD" w:rsidP="00276166">
      <w:pPr>
        <w:pStyle w:val="Zkladntext"/>
        <w:jc w:val="left"/>
      </w:pPr>
      <w:r w:rsidRPr="00F961E5">
        <w:object w:dxaOrig="8681" w:dyaOrig="4050" w14:anchorId="1A592B7F">
          <v:shape id="_x0000_i1042" type="#_x0000_t75" style="width:425.5pt;height:212pt" o:ole="">
            <v:imagedata r:id="rId43" o:title=""/>
            <o:lock v:ext="edit" aspectratio="f"/>
          </v:shape>
          <o:OLEObject Type="Embed" ProgID="Excel.Sheet.8" ShapeID="_x0000_i1042" DrawAspect="Content" ObjectID="_1616932851" r:id="rId44"/>
        </w:object>
      </w:r>
    </w:p>
    <w:p w14:paraId="56030033" w14:textId="609056B2" w:rsidR="00DE41CD" w:rsidRPr="00EC0203" w:rsidRDefault="00DE41CD" w:rsidP="00DE41CD">
      <w:pPr>
        <w:pStyle w:val="Zkladntext"/>
        <w:keepNext/>
      </w:pPr>
      <w:r>
        <w:lastRenderedPageBreak/>
        <w:t>Prehľad o rezervách za bezprostredne predchádzajúce účtovné obdobie je uvedený v nasledujúcej tabuľke:</w:t>
      </w:r>
    </w:p>
    <w:bookmarkStart w:id="81" w:name="_MON_1393781432"/>
    <w:bookmarkEnd w:id="81"/>
    <w:p w14:paraId="15BEB17E" w14:textId="53EF394D" w:rsidR="008B1BCF" w:rsidRDefault="000104A8" w:rsidP="008B1BCF">
      <w:pPr>
        <w:pStyle w:val="Zkladntext"/>
        <w:jc w:val="left"/>
      </w:pPr>
      <w:r w:rsidRPr="00F961E5">
        <w:object w:dxaOrig="8681" w:dyaOrig="4283" w14:anchorId="604016FC">
          <v:shape id="_x0000_i1043" type="#_x0000_t75" style="width:426pt;height:222.5pt" o:ole="">
            <v:imagedata r:id="rId45" o:title=""/>
            <o:lock v:ext="edit" aspectratio="f"/>
          </v:shape>
          <o:OLEObject Type="Embed" ProgID="Excel.Sheet.8" ShapeID="_x0000_i1043" DrawAspect="Content" ObjectID="_1616932852" r:id="rId46"/>
        </w:object>
      </w:r>
    </w:p>
    <w:p w14:paraId="56030035" w14:textId="77777777" w:rsidR="00DE41CD" w:rsidRDefault="00DE41CD">
      <w:pPr>
        <w:pStyle w:val="Zkladntext"/>
      </w:pPr>
    </w:p>
    <w:p w14:paraId="56030036" w14:textId="77777777" w:rsidR="008C288C" w:rsidRPr="00E73BAD" w:rsidRDefault="008C288C">
      <w:pPr>
        <w:pStyle w:val="Nadpis2"/>
      </w:pPr>
      <w:bookmarkStart w:id="82" w:name="_Toc530739909"/>
      <w:r w:rsidRPr="00E73BAD">
        <w:t>Záväzky</w:t>
      </w:r>
      <w:bookmarkEnd w:id="82"/>
    </w:p>
    <w:p w14:paraId="56030037" w14:textId="77777777" w:rsidR="008C288C" w:rsidRDefault="008C288C" w:rsidP="00DE41CD">
      <w:pPr>
        <w:pStyle w:val="Zkladntext"/>
        <w:keepNext/>
        <w:ind w:left="425"/>
      </w:pPr>
    </w:p>
    <w:p w14:paraId="56030038" w14:textId="2C6FDC8D" w:rsidR="008C288C" w:rsidRDefault="008C288C" w:rsidP="00DE41CD">
      <w:pPr>
        <w:pStyle w:val="Zkladntext"/>
        <w:keepNext/>
        <w:ind w:left="425"/>
      </w:pPr>
      <w:r>
        <w:t xml:space="preserve">Štruktúra </w:t>
      </w:r>
      <w:r w:rsidR="00DE41CD">
        <w:t xml:space="preserve">krátkodobých </w:t>
      </w:r>
      <w:r>
        <w:t xml:space="preserve">záväzkov </w:t>
      </w:r>
      <w:r w:rsidR="00A73571">
        <w:t>z </w:t>
      </w:r>
      <w:r>
        <w:t xml:space="preserve"> podľa zostatkovej doby splatnosti je uvedená v nasledujúcom prehľade:</w:t>
      </w:r>
    </w:p>
    <w:p w14:paraId="56030039" w14:textId="77777777" w:rsidR="008C288C" w:rsidRDefault="008C288C" w:rsidP="00DE41CD">
      <w:pPr>
        <w:pStyle w:val="Zkladntext"/>
        <w:keepNext/>
        <w:ind w:left="425"/>
      </w:pPr>
    </w:p>
    <w:bookmarkStart w:id="83" w:name="_MON_1393781776"/>
    <w:bookmarkEnd w:id="83"/>
    <w:bookmarkStart w:id="84" w:name="_MON_1395818867"/>
    <w:bookmarkEnd w:id="84"/>
    <w:p w14:paraId="5603003A" w14:textId="5C92A99E" w:rsidR="008C288C" w:rsidRDefault="008F6507">
      <w:pPr>
        <w:pStyle w:val="Zkladntext"/>
      </w:pPr>
      <w:r>
        <w:object w:dxaOrig="8717" w:dyaOrig="5672" w14:anchorId="56030157">
          <v:shape id="_x0000_i1044" type="#_x0000_t75" style="width:435.5pt;height:279pt" o:ole="">
            <v:imagedata r:id="rId47" o:title=""/>
          </v:shape>
          <o:OLEObject Type="Embed" ProgID="Excel.Sheet.8" ShapeID="_x0000_i1044" DrawAspect="Content" ObjectID="_1616932853" r:id="rId48"/>
        </w:object>
      </w:r>
    </w:p>
    <w:p w14:paraId="365B20C7" w14:textId="77777777" w:rsidR="00F34FA1" w:rsidRDefault="00F34FA1" w:rsidP="002C17C4">
      <w:pPr>
        <w:pStyle w:val="Zkladntext"/>
        <w:ind w:left="0"/>
      </w:pPr>
    </w:p>
    <w:p w14:paraId="61053C2C" w14:textId="77777777" w:rsidR="00F34FA1" w:rsidRDefault="00F34FA1">
      <w:pPr>
        <w:pStyle w:val="Zkladntext"/>
      </w:pPr>
    </w:p>
    <w:p w14:paraId="20E24192" w14:textId="77777777" w:rsidR="00F34FA1" w:rsidRDefault="00F34FA1">
      <w:pPr>
        <w:pStyle w:val="Zkladntext"/>
      </w:pPr>
    </w:p>
    <w:p w14:paraId="22FA52DC" w14:textId="77777777" w:rsidR="00F34FA1" w:rsidRDefault="00F34FA1">
      <w:pPr>
        <w:pStyle w:val="Zkladntext"/>
      </w:pPr>
    </w:p>
    <w:p w14:paraId="5603003D" w14:textId="69201630" w:rsidR="00213E89" w:rsidRDefault="00E80984">
      <w:pPr>
        <w:pStyle w:val="Zkladntext"/>
      </w:pPr>
      <w:r>
        <w:t>.</w:t>
      </w:r>
    </w:p>
    <w:p w14:paraId="5603003E" w14:textId="77777777" w:rsidR="003E2F00" w:rsidRDefault="003E2F00">
      <w:pPr>
        <w:pStyle w:val="Zkladntext"/>
      </w:pPr>
    </w:p>
    <w:p w14:paraId="5603003F" w14:textId="21DD72B6" w:rsidR="008C288C" w:rsidRDefault="008C288C" w:rsidP="006709C0">
      <w:pPr>
        <w:pStyle w:val="Zkladntext"/>
        <w:keepNext/>
        <w:ind w:left="425"/>
      </w:pPr>
      <w:r w:rsidRPr="00625188">
        <w:t xml:space="preserve">V rámci krátkodobých a dlhodobých záväzkov Spoločnosť </w:t>
      </w:r>
      <w:r w:rsidR="00AC441E">
        <w:t>ne</w:t>
      </w:r>
      <w:r w:rsidRPr="00625188">
        <w:t>evid</w:t>
      </w:r>
      <w:r w:rsidR="00B269B7" w:rsidRPr="00625188">
        <w:t>uje</w:t>
      </w:r>
      <w:r w:rsidR="005B7E70" w:rsidRPr="00625188">
        <w:t xml:space="preserve"> </w:t>
      </w:r>
      <w:r w:rsidRPr="00625188">
        <w:t xml:space="preserve">záväzky z finančného prenájmu. </w:t>
      </w:r>
    </w:p>
    <w:p w14:paraId="56030040" w14:textId="77777777" w:rsidR="008C288C" w:rsidRDefault="008C288C" w:rsidP="006709C0">
      <w:pPr>
        <w:pStyle w:val="Zkladntext"/>
        <w:keepNext/>
        <w:ind w:left="425"/>
      </w:pPr>
    </w:p>
    <w:p w14:paraId="56030041" w14:textId="1FD42CFA" w:rsidR="008C288C" w:rsidRDefault="008C288C" w:rsidP="00F300BC">
      <w:pPr>
        <w:pStyle w:val="Zkladntext"/>
        <w:tabs>
          <w:tab w:val="left" w:pos="6521"/>
        </w:tabs>
      </w:pPr>
    </w:p>
    <w:p w14:paraId="56030043" w14:textId="77777777" w:rsidR="008C288C" w:rsidRDefault="008C288C">
      <w:pPr>
        <w:pStyle w:val="Zkladntext"/>
      </w:pPr>
      <w:bookmarkStart w:id="85" w:name="OLE_LINK15"/>
      <w:bookmarkStart w:id="86" w:name="OLE_LINK16"/>
    </w:p>
    <w:p w14:paraId="56030044" w14:textId="77777777" w:rsidR="008C288C" w:rsidRDefault="008C288C" w:rsidP="008B6527">
      <w:pPr>
        <w:pStyle w:val="Nadpis2"/>
      </w:pPr>
      <w:bookmarkStart w:id="87" w:name="_Toc530739911"/>
      <w:bookmarkEnd w:id="85"/>
      <w:bookmarkEnd w:id="86"/>
      <w:r>
        <w:lastRenderedPageBreak/>
        <w:t>Sociálny fond</w:t>
      </w:r>
      <w:bookmarkEnd w:id="87"/>
    </w:p>
    <w:p w14:paraId="56030045" w14:textId="77777777" w:rsidR="008C288C" w:rsidRDefault="008C288C" w:rsidP="008B6527">
      <w:pPr>
        <w:pStyle w:val="Zkladntext"/>
        <w:keepNext/>
      </w:pPr>
    </w:p>
    <w:p w14:paraId="56030046" w14:textId="77777777" w:rsidR="008C288C" w:rsidRDefault="008C288C" w:rsidP="008B6527">
      <w:pPr>
        <w:pStyle w:val="Zkladntext"/>
        <w:keepNext/>
      </w:pPr>
      <w:r>
        <w:t>Tvorba a čerpanie sociálneho fondu v priebehu účtovného obdobia sú znázornené v nasledujúcom prehľade:</w:t>
      </w:r>
    </w:p>
    <w:p w14:paraId="56030047" w14:textId="77777777" w:rsidR="008C288C" w:rsidRDefault="008C288C" w:rsidP="008B6527">
      <w:pPr>
        <w:pStyle w:val="Zkladntext"/>
        <w:keepNext/>
      </w:pPr>
    </w:p>
    <w:bookmarkStart w:id="88" w:name="_MON_1393782390"/>
    <w:bookmarkEnd w:id="88"/>
    <w:bookmarkStart w:id="89" w:name="_MON_1393782490"/>
    <w:bookmarkEnd w:id="89"/>
    <w:p w14:paraId="56030048" w14:textId="0DCAC846" w:rsidR="008C288C" w:rsidRDefault="0059475E">
      <w:pPr>
        <w:pStyle w:val="Zkladntext"/>
      </w:pPr>
      <w:r>
        <w:object w:dxaOrig="8769" w:dyaOrig="1680" w14:anchorId="56030159">
          <v:shape id="_x0000_i1045" type="#_x0000_t75" style="width:437.5pt;height:81.5pt" o:ole="">
            <v:imagedata r:id="rId49" o:title=""/>
          </v:shape>
          <o:OLEObject Type="Embed" ProgID="Excel.Sheet.8" ShapeID="_x0000_i1045" DrawAspect="Content" ObjectID="_1616932854" r:id="rId50"/>
        </w:object>
      </w:r>
    </w:p>
    <w:p w14:paraId="5603004A" w14:textId="77777777" w:rsidR="008C288C" w:rsidRDefault="008C288C">
      <w:pPr>
        <w:pStyle w:val="Zkladntext"/>
      </w:pPr>
      <w:r>
        <w:t>Časť sociálneho fondu sa podľa zákona o sociálnom fonde tvorí povinne na ťarchu nákladov a časť sa môže vytvárať zo zisku. Sociálny fond sa podľa zákona o sociálnom fonde čerpá na sociálne, zdravotné, rekreačné a iné potreby zamestnancov.</w:t>
      </w:r>
    </w:p>
    <w:p w14:paraId="5603004B" w14:textId="77777777" w:rsidR="0025336B" w:rsidRDefault="0025336B">
      <w:pPr>
        <w:pStyle w:val="Zkladntext"/>
      </w:pPr>
    </w:p>
    <w:p w14:paraId="5603004C" w14:textId="77777777" w:rsidR="008C288C" w:rsidRDefault="008C288C" w:rsidP="00173372">
      <w:pPr>
        <w:pStyle w:val="Nadpis2"/>
      </w:pPr>
      <w:bookmarkStart w:id="90" w:name="_Toc530739912"/>
      <w:r>
        <w:t>Bankové úvery</w:t>
      </w:r>
      <w:bookmarkEnd w:id="90"/>
    </w:p>
    <w:p w14:paraId="5603004D" w14:textId="77777777" w:rsidR="008C288C" w:rsidRDefault="008C288C" w:rsidP="00173372">
      <w:pPr>
        <w:pStyle w:val="Zkladntext"/>
        <w:keepNext/>
      </w:pPr>
    </w:p>
    <w:p w14:paraId="5603004E" w14:textId="36D3FC56" w:rsidR="008C288C" w:rsidRDefault="00412798" w:rsidP="00173372">
      <w:pPr>
        <w:pStyle w:val="Zkladntext"/>
        <w:keepNext/>
      </w:pPr>
      <w:r>
        <w:t>Spoločnosť nemá žiadne bankové úvery.</w:t>
      </w:r>
    </w:p>
    <w:p w14:paraId="5603004F" w14:textId="77777777" w:rsidR="008C288C" w:rsidRDefault="008C288C" w:rsidP="00173372">
      <w:pPr>
        <w:pStyle w:val="Zkladntext"/>
        <w:keepNext/>
      </w:pPr>
    </w:p>
    <w:p w14:paraId="56030050" w14:textId="3F1A6B4E" w:rsidR="004E2192" w:rsidRDefault="004E2192">
      <w:pPr>
        <w:pStyle w:val="Zkladntext"/>
      </w:pPr>
    </w:p>
    <w:p w14:paraId="73935744" w14:textId="77777777" w:rsidR="00412798" w:rsidRDefault="00412798">
      <w:pPr>
        <w:pStyle w:val="Zkladntext"/>
      </w:pPr>
    </w:p>
    <w:p w14:paraId="72BBF4C6" w14:textId="2545DD5F" w:rsidR="00077A39" w:rsidRDefault="00C13767" w:rsidP="00077A39">
      <w:pPr>
        <w:pStyle w:val="Zkladntext"/>
        <w:ind w:left="0"/>
        <w:rPr>
          <w:szCs w:val="18"/>
        </w:rPr>
      </w:pPr>
      <w:r>
        <w:rPr>
          <w:szCs w:val="18"/>
        </w:rPr>
        <w:t xml:space="preserve">         Spoločnos</w:t>
      </w:r>
      <w:r w:rsidR="00C91CEC">
        <w:rPr>
          <w:szCs w:val="18"/>
        </w:rPr>
        <w:t>ť</w:t>
      </w:r>
      <w:r>
        <w:rPr>
          <w:szCs w:val="18"/>
        </w:rPr>
        <w:t xml:space="preserve"> neeviduje žiadne prijaté </w:t>
      </w:r>
      <w:r w:rsidR="00D41A57">
        <w:rPr>
          <w:szCs w:val="18"/>
        </w:rPr>
        <w:t>pôžičky</w:t>
      </w:r>
      <w:r w:rsidR="006061A8">
        <w:rPr>
          <w:szCs w:val="18"/>
        </w:rPr>
        <w:t>.</w:t>
      </w:r>
    </w:p>
    <w:p w14:paraId="1CC8F171" w14:textId="77777777" w:rsidR="00C13767" w:rsidRPr="00891481" w:rsidRDefault="00C13767" w:rsidP="00077A39">
      <w:pPr>
        <w:pStyle w:val="Zkladntext"/>
        <w:ind w:left="0"/>
        <w:rPr>
          <w:szCs w:val="18"/>
        </w:rPr>
      </w:pPr>
    </w:p>
    <w:p w14:paraId="56030051" w14:textId="77777777" w:rsidR="008C288C" w:rsidRDefault="008C288C" w:rsidP="003538AF">
      <w:pPr>
        <w:pStyle w:val="Zkladntext"/>
      </w:pPr>
    </w:p>
    <w:p w14:paraId="56030052" w14:textId="199E9C29" w:rsidR="008C288C" w:rsidRPr="00FC5DBB" w:rsidRDefault="008C288C" w:rsidP="003538AF">
      <w:pPr>
        <w:pStyle w:val="Nadpis2"/>
      </w:pPr>
      <w:bookmarkStart w:id="91" w:name="_Toc530739913"/>
      <w:r w:rsidRPr="00FC5DBB">
        <w:t>Časové rozlíšenie</w:t>
      </w:r>
      <w:bookmarkEnd w:id="91"/>
      <w:r w:rsidR="000135F7">
        <w:t xml:space="preserve"> – strana pasív</w:t>
      </w:r>
    </w:p>
    <w:p w14:paraId="56030053" w14:textId="77777777" w:rsidR="008C288C" w:rsidRPr="00FC5DBB" w:rsidRDefault="008C288C" w:rsidP="003538AF">
      <w:pPr>
        <w:pStyle w:val="Zkladntext"/>
        <w:keepNext/>
      </w:pPr>
    </w:p>
    <w:p w14:paraId="56030054" w14:textId="77777777" w:rsidR="008C288C" w:rsidRPr="00FC5DBB" w:rsidRDefault="008C288C" w:rsidP="003538AF">
      <w:pPr>
        <w:pStyle w:val="Zkladntext"/>
        <w:keepNext/>
      </w:pPr>
      <w:r w:rsidRPr="00FC5DBB">
        <w:t>Štruktúra časového rozlíšenia je uvedená v nasledujúcom prehľade:</w:t>
      </w:r>
    </w:p>
    <w:p w14:paraId="56030055" w14:textId="77777777" w:rsidR="008C288C" w:rsidRPr="00FC5DBB" w:rsidRDefault="008C288C" w:rsidP="003538AF">
      <w:pPr>
        <w:pStyle w:val="Zkladntext"/>
        <w:keepNext/>
      </w:pPr>
    </w:p>
    <w:bookmarkStart w:id="92" w:name="_MON_1393784207"/>
    <w:bookmarkStart w:id="93" w:name="_MON_1393784226"/>
    <w:bookmarkStart w:id="94" w:name="_MON_1393784057"/>
    <w:bookmarkEnd w:id="92"/>
    <w:bookmarkEnd w:id="93"/>
    <w:bookmarkEnd w:id="94"/>
    <w:bookmarkStart w:id="95" w:name="_MON_1393784198"/>
    <w:bookmarkEnd w:id="95"/>
    <w:p w14:paraId="56030056" w14:textId="1A8D1E98" w:rsidR="008C288C" w:rsidRPr="00FC5DBB" w:rsidRDefault="001765AD">
      <w:pPr>
        <w:pStyle w:val="Zkladntext"/>
      </w:pPr>
      <w:r w:rsidRPr="00FC5DBB">
        <w:object w:dxaOrig="8650" w:dyaOrig="1679" w14:anchorId="5603015B">
          <v:shape id="_x0000_i1046" type="#_x0000_t75" style="width:6in;height:81.5pt" o:ole="">
            <v:imagedata r:id="rId51" o:title=""/>
          </v:shape>
          <o:OLEObject Type="Embed" ProgID="Excel.Sheet.8" ShapeID="_x0000_i1046" DrawAspect="Content" ObjectID="_1616932855" r:id="rId52"/>
        </w:object>
      </w:r>
    </w:p>
    <w:p w14:paraId="56030057" w14:textId="77777777" w:rsidR="008C288C" w:rsidRDefault="008C288C" w:rsidP="00EA63AD">
      <w:pPr>
        <w:pStyle w:val="Nadpis1"/>
      </w:pPr>
      <w:r>
        <w:t>informácie o výnosoch</w:t>
      </w:r>
    </w:p>
    <w:p w14:paraId="56030058" w14:textId="77777777" w:rsidR="008C288C" w:rsidRDefault="008C288C" w:rsidP="00EA63AD">
      <w:pPr>
        <w:pStyle w:val="Nadpis2"/>
        <w:numPr>
          <w:ilvl w:val="0"/>
          <w:numId w:val="0"/>
        </w:numPr>
      </w:pPr>
      <w:bookmarkStart w:id="96" w:name="_Toc530739914"/>
    </w:p>
    <w:p w14:paraId="6891EB78" w14:textId="77777777" w:rsidR="00077A39" w:rsidRPr="00077A39" w:rsidRDefault="00077A39" w:rsidP="000C6143">
      <w:pPr>
        <w:pStyle w:val="Nadpis2"/>
        <w:numPr>
          <w:ilvl w:val="0"/>
          <w:numId w:val="8"/>
        </w:numPr>
      </w:pPr>
      <w:r w:rsidRPr="00077A39">
        <w:t xml:space="preserve">Čistý obrat </w:t>
      </w:r>
    </w:p>
    <w:p w14:paraId="410340F2" w14:textId="77777777" w:rsidR="00077A39" w:rsidRPr="00077A39" w:rsidRDefault="00077A39" w:rsidP="00077A39">
      <w:pPr>
        <w:pStyle w:val="Nadpis2"/>
        <w:numPr>
          <w:ilvl w:val="0"/>
          <w:numId w:val="0"/>
        </w:numPr>
        <w:ind w:left="360"/>
      </w:pPr>
    </w:p>
    <w:p w14:paraId="34DF6266" w14:textId="77777777" w:rsidR="00077A39" w:rsidRPr="00B50225" w:rsidRDefault="00077A39" w:rsidP="00077A39">
      <w:pPr>
        <w:pStyle w:val="Zkladntext"/>
        <w:rPr>
          <w:szCs w:val="18"/>
        </w:rPr>
      </w:pPr>
      <w:r w:rsidRPr="00B50225">
        <w:rPr>
          <w:szCs w:val="18"/>
        </w:rPr>
        <w:t>Čistý obrat Spoločnosti na účely zistenia povinnosti overenia individuálnej účtovnej závierky audítorom [§ 19 ods. 1 písm. a) zákona o účtovníctve] je uvedený v nasledujúcom prehľade:</w:t>
      </w:r>
    </w:p>
    <w:p w14:paraId="2E794BA2" w14:textId="77777777" w:rsidR="00077A39" w:rsidRPr="00891481" w:rsidRDefault="00077A39" w:rsidP="00077A39">
      <w:pPr>
        <w:pStyle w:val="Zkladntext"/>
        <w:rPr>
          <w:szCs w:val="18"/>
        </w:rPr>
      </w:pPr>
    </w:p>
    <w:p w14:paraId="7E574503" w14:textId="77777777" w:rsidR="00077A39" w:rsidRPr="00B50225" w:rsidRDefault="00077A39" w:rsidP="00077A39">
      <w:pPr>
        <w:pStyle w:val="Zkladntext"/>
        <w:rPr>
          <w:szCs w:val="18"/>
        </w:rPr>
      </w:pPr>
    </w:p>
    <w:bookmarkStart w:id="97" w:name="_MON_1405950002"/>
    <w:bookmarkEnd w:id="97"/>
    <w:p w14:paraId="0ABE3A07" w14:textId="0907126C" w:rsidR="00077A39" w:rsidRDefault="00CE4632" w:rsidP="00077A39">
      <w:pPr>
        <w:pStyle w:val="Nadpis2"/>
        <w:numPr>
          <w:ilvl w:val="0"/>
          <w:numId w:val="0"/>
        </w:numPr>
        <w:ind w:left="360"/>
      </w:pPr>
      <w:r w:rsidRPr="00B50225">
        <w:rPr>
          <w:szCs w:val="18"/>
        </w:rPr>
        <w:object w:dxaOrig="8705" w:dyaOrig="2370" w14:anchorId="2B4A9DBB">
          <v:shape id="_x0000_i1047" type="#_x0000_t75" style="width:441pt;height:132.5pt" o:ole="" o:preferrelative="f">
            <v:imagedata r:id="rId53" o:title=""/>
            <o:lock v:ext="edit" aspectratio="f"/>
          </v:shape>
          <o:OLEObject Type="Embed" ProgID="Excel.Sheet.12" ShapeID="_x0000_i1047" DrawAspect="Content" ObjectID="_1616932856" r:id="rId54"/>
        </w:object>
      </w:r>
    </w:p>
    <w:p w14:paraId="56030059" w14:textId="2331D482" w:rsidR="008C288C" w:rsidRDefault="008C288C" w:rsidP="000C6143">
      <w:pPr>
        <w:pStyle w:val="Nadpis2"/>
        <w:numPr>
          <w:ilvl w:val="0"/>
          <w:numId w:val="8"/>
        </w:numPr>
      </w:pPr>
      <w:r>
        <w:t>Tržby za vlastné výkony a tovar</w:t>
      </w:r>
      <w:bookmarkEnd w:id="96"/>
    </w:p>
    <w:p w14:paraId="5603005A" w14:textId="77777777" w:rsidR="008C288C" w:rsidRDefault="008C288C" w:rsidP="00EA63AD">
      <w:pPr>
        <w:pStyle w:val="Zkladntext"/>
        <w:keepNext/>
      </w:pPr>
    </w:p>
    <w:p w14:paraId="5603005B" w14:textId="478415C2" w:rsidR="008C288C" w:rsidRDefault="008C288C" w:rsidP="00EA63AD">
      <w:pPr>
        <w:pStyle w:val="Zkladntext"/>
        <w:keepNext/>
      </w:pPr>
      <w:r>
        <w:t>Tržby za vlastné výkony a tovar podľa jednotlivých segmentov, t. j. podľa typov výrobkov a služieb, a podľa hlavných teritórií sú uvedené v nasledujúcom prehľade:</w:t>
      </w:r>
    </w:p>
    <w:p w14:paraId="5603005C" w14:textId="77777777" w:rsidR="008C288C" w:rsidRDefault="008C288C" w:rsidP="00EA63AD">
      <w:pPr>
        <w:pStyle w:val="Zkladntext"/>
        <w:keepNext/>
      </w:pPr>
    </w:p>
    <w:bookmarkStart w:id="98" w:name="_MON_1394016735"/>
    <w:bookmarkStart w:id="99" w:name="_MON_1394018810"/>
    <w:bookmarkStart w:id="100" w:name="_MON_1394019257"/>
    <w:bookmarkStart w:id="101" w:name="_MON_1394019473"/>
    <w:bookmarkStart w:id="102" w:name="_MON_1394019521"/>
    <w:bookmarkStart w:id="103" w:name="_MON_1394024360"/>
    <w:bookmarkStart w:id="104" w:name="_MON_1394015296"/>
    <w:bookmarkEnd w:id="98"/>
    <w:bookmarkEnd w:id="99"/>
    <w:bookmarkEnd w:id="100"/>
    <w:bookmarkEnd w:id="101"/>
    <w:bookmarkEnd w:id="102"/>
    <w:bookmarkEnd w:id="103"/>
    <w:bookmarkEnd w:id="104"/>
    <w:bookmarkStart w:id="105" w:name="_MON_1394015388"/>
    <w:bookmarkEnd w:id="105"/>
    <w:p w14:paraId="5603005D" w14:textId="4E6C8547" w:rsidR="008C288C" w:rsidRDefault="00B25697" w:rsidP="00D84AF2">
      <w:pPr>
        <w:pStyle w:val="Zkladntext"/>
        <w:ind w:left="0"/>
      </w:pPr>
      <w:r>
        <w:object w:dxaOrig="9769" w:dyaOrig="2932" w14:anchorId="5603015C">
          <v:shape id="_x0000_i1048" type="#_x0000_t75" style="width:487pt;height:146.5pt" o:ole="">
            <v:imagedata r:id="rId55" o:title=""/>
          </v:shape>
          <o:OLEObject Type="Embed" ProgID="Excel.Sheet.8" ShapeID="_x0000_i1048" DrawAspect="Content" ObjectID="_1616932857" r:id="rId56"/>
        </w:object>
      </w:r>
    </w:p>
    <w:p w14:paraId="56030060" w14:textId="77777777" w:rsidR="00380ADA" w:rsidRPr="00B509E6" w:rsidRDefault="00380ADA" w:rsidP="00D84AF2">
      <w:pPr>
        <w:pStyle w:val="Zkladntext"/>
        <w:ind w:left="0"/>
        <w:rPr>
          <w:vanish/>
        </w:rPr>
      </w:pPr>
    </w:p>
    <w:p w14:paraId="56030061" w14:textId="77777777" w:rsidR="008C288C" w:rsidRDefault="008C288C" w:rsidP="00173372">
      <w:pPr>
        <w:pStyle w:val="Nadpis2"/>
      </w:pPr>
      <w:bookmarkStart w:id="106" w:name="_Toc530739915"/>
      <w:r>
        <w:t>Zmena stavu zásob vlastnej výroby</w:t>
      </w:r>
      <w:bookmarkEnd w:id="106"/>
    </w:p>
    <w:p w14:paraId="56030062" w14:textId="77777777" w:rsidR="008C288C" w:rsidRDefault="008C288C" w:rsidP="00173372">
      <w:pPr>
        <w:pStyle w:val="Zkladntext"/>
        <w:keepNext/>
      </w:pPr>
    </w:p>
    <w:p w14:paraId="56030063" w14:textId="044A5936" w:rsidR="008C288C" w:rsidRDefault="00690D28" w:rsidP="00173372">
      <w:pPr>
        <w:pStyle w:val="Zkladntext"/>
        <w:keepNext/>
      </w:pPr>
      <w:r>
        <w:t>Spoločnosť</w:t>
      </w:r>
      <w:r w:rsidR="00CE4632">
        <w:t xml:space="preserve"> neprevádzkuje vlastnú výrobu.</w:t>
      </w:r>
    </w:p>
    <w:p w14:paraId="56030064" w14:textId="77777777" w:rsidR="008C288C" w:rsidRDefault="008C288C" w:rsidP="00173372">
      <w:pPr>
        <w:pStyle w:val="Zkladntext"/>
        <w:keepNext/>
      </w:pPr>
    </w:p>
    <w:p w14:paraId="56030066" w14:textId="77777777" w:rsidR="00BB42DA" w:rsidRDefault="00BB42DA">
      <w:pPr>
        <w:pStyle w:val="Zkladntext"/>
      </w:pPr>
      <w:bookmarkStart w:id="107" w:name="_MON_1366190131"/>
      <w:bookmarkStart w:id="108" w:name="_MON_1366190292"/>
      <w:bookmarkStart w:id="109" w:name="_MON_1393785447"/>
      <w:bookmarkEnd w:id="107"/>
      <w:bookmarkEnd w:id="108"/>
      <w:bookmarkEnd w:id="109"/>
    </w:p>
    <w:p w14:paraId="5603006A" w14:textId="77777777" w:rsidR="008C288C" w:rsidRDefault="008C288C">
      <w:pPr>
        <w:pStyle w:val="Zkladntext"/>
      </w:pPr>
    </w:p>
    <w:p w14:paraId="5603006B" w14:textId="77777777" w:rsidR="008C288C" w:rsidRDefault="008C288C" w:rsidP="006A2CC6">
      <w:pPr>
        <w:pStyle w:val="Nadpis2"/>
      </w:pPr>
      <w:r>
        <w:t>Ostatné výnosy z hospodárskej činnosti</w:t>
      </w:r>
    </w:p>
    <w:bookmarkStart w:id="110" w:name="_MON_1393785915"/>
    <w:bookmarkStart w:id="111" w:name="_MON_1393786000"/>
    <w:bookmarkStart w:id="112" w:name="_MON_1395819720"/>
    <w:bookmarkStart w:id="113" w:name="_MON_1395819754"/>
    <w:bookmarkStart w:id="114" w:name="_MON_1363001172"/>
    <w:bookmarkStart w:id="115" w:name="_MON_1363001247"/>
    <w:bookmarkEnd w:id="110"/>
    <w:bookmarkEnd w:id="111"/>
    <w:bookmarkEnd w:id="112"/>
    <w:bookmarkEnd w:id="113"/>
    <w:bookmarkEnd w:id="114"/>
    <w:bookmarkEnd w:id="115"/>
    <w:bookmarkStart w:id="116" w:name="_MON_1363001273"/>
    <w:bookmarkEnd w:id="116"/>
    <w:p w14:paraId="5603006C" w14:textId="085F7058" w:rsidR="008C288C" w:rsidRDefault="00DE2CC5" w:rsidP="00D37803">
      <w:pPr>
        <w:ind w:left="360"/>
      </w:pPr>
      <w:r>
        <w:object w:dxaOrig="8763" w:dyaOrig="2886" w14:anchorId="5603015F">
          <v:shape id="_x0000_i1049" type="#_x0000_t75" style="width:434pt;height:141.5pt" o:ole="">
            <v:imagedata r:id="rId57" o:title=""/>
          </v:shape>
          <o:OLEObject Type="Embed" ProgID="Excel.Sheet.8" ShapeID="_x0000_i1049" DrawAspect="Content" ObjectID="_1616932858" r:id="rId58"/>
        </w:object>
      </w:r>
    </w:p>
    <w:p w14:paraId="5603006D" w14:textId="77777777" w:rsidR="008C288C" w:rsidRDefault="008C288C">
      <w:pPr>
        <w:pStyle w:val="Zkladntext"/>
      </w:pPr>
    </w:p>
    <w:p w14:paraId="5603006E" w14:textId="77777777" w:rsidR="008C288C" w:rsidRPr="001E2920" w:rsidRDefault="008C288C">
      <w:pPr>
        <w:pStyle w:val="Nadpis2"/>
      </w:pPr>
      <w:r w:rsidRPr="001E2920">
        <w:t>Kurzové zisky</w:t>
      </w:r>
    </w:p>
    <w:p w14:paraId="08ED7F22" w14:textId="77777777" w:rsidR="00854657" w:rsidRDefault="00854657" w:rsidP="00854657">
      <w:pPr>
        <w:pStyle w:val="Zkladntext"/>
        <w:keepNext/>
        <w:ind w:left="425"/>
      </w:pPr>
    </w:p>
    <w:p w14:paraId="56030070" w14:textId="77777777" w:rsidR="008C288C" w:rsidRPr="001E2920" w:rsidRDefault="008C288C" w:rsidP="00854657">
      <w:pPr>
        <w:pStyle w:val="Zkladntext"/>
        <w:keepNext/>
        <w:ind w:left="425"/>
      </w:pPr>
      <w:r w:rsidRPr="001E2920">
        <w:t>Prehľad o kurzových ziskoch:</w:t>
      </w:r>
    </w:p>
    <w:bookmarkStart w:id="117" w:name="_MON_1393786255"/>
    <w:bookmarkStart w:id="118" w:name="_MON_1395819729"/>
    <w:bookmarkEnd w:id="117"/>
    <w:bookmarkEnd w:id="118"/>
    <w:bookmarkStart w:id="119" w:name="_MON_1395819761"/>
    <w:bookmarkEnd w:id="119"/>
    <w:p w14:paraId="56030071" w14:textId="1F23B0B7" w:rsidR="008C288C" w:rsidRDefault="00B25697">
      <w:pPr>
        <w:pStyle w:val="Zkladntext"/>
      </w:pPr>
      <w:r w:rsidRPr="001E2920">
        <w:object w:dxaOrig="8763" w:dyaOrig="1460" w14:anchorId="56030160">
          <v:shape id="_x0000_i1050" type="#_x0000_t75" style="width:429.5pt;height:69pt" o:ole="">
            <v:imagedata r:id="rId59" o:title=""/>
          </v:shape>
          <o:OLEObject Type="Embed" ProgID="Excel.Sheet.8" ShapeID="_x0000_i1050" DrawAspect="Content" ObjectID="_1616932859" r:id="rId60"/>
        </w:object>
      </w:r>
    </w:p>
    <w:p w14:paraId="50658655" w14:textId="22C1AFC2" w:rsidR="00DE2CC5" w:rsidRPr="001E2920" w:rsidRDefault="00DE2CC5">
      <w:pPr>
        <w:pStyle w:val="Zkladntext"/>
      </w:pPr>
      <w:r>
        <w:lastRenderedPageBreak/>
        <w:t>Kurzový zisk v roku 2017 vznikol zo zápočtov pohľadávok a záv</w:t>
      </w:r>
      <w:r w:rsidR="00E345FC">
        <w:t>ä</w:t>
      </w:r>
      <w:r>
        <w:t>zkov z titulu Zmluvy o postúpen</w:t>
      </w:r>
      <w:r w:rsidR="00E345FC">
        <w:t>í</w:t>
      </w:r>
      <w:r>
        <w:t xml:space="preserve"> pohľadávok </w:t>
      </w:r>
      <w:r w:rsidR="00E345FC">
        <w:t>s</w:t>
      </w:r>
      <w:r>
        <w:t xml:space="preserve"> českými subjek</w:t>
      </w:r>
      <w:r w:rsidR="00E345FC">
        <w:t>tami</w:t>
      </w:r>
      <w:r>
        <w:t>.</w:t>
      </w:r>
    </w:p>
    <w:p w14:paraId="56030072" w14:textId="77777777" w:rsidR="008C288C" w:rsidRPr="002808A6" w:rsidRDefault="008C288C" w:rsidP="00345F30">
      <w:pPr>
        <w:pStyle w:val="Zkladntext"/>
        <w:rPr>
          <w:vanish/>
          <w:color w:val="000000" w:themeColor="text1"/>
        </w:rPr>
      </w:pPr>
      <w:bookmarkStart w:id="120" w:name="OLE_LINK11"/>
      <w:bookmarkStart w:id="121" w:name="OLE_LINK12"/>
      <w:bookmarkStart w:id="122" w:name="_Toc530739918"/>
    </w:p>
    <w:bookmarkEnd w:id="120"/>
    <w:bookmarkEnd w:id="121"/>
    <w:bookmarkEnd w:id="122"/>
    <w:p w14:paraId="56030073" w14:textId="77777777" w:rsidR="008C288C" w:rsidRPr="002808A6" w:rsidRDefault="008C288C" w:rsidP="00AE79C9">
      <w:pPr>
        <w:pStyle w:val="Nadpis1"/>
        <w:rPr>
          <w:color w:val="000000" w:themeColor="text1"/>
        </w:rPr>
      </w:pPr>
      <w:r w:rsidRPr="002808A6">
        <w:rPr>
          <w:color w:val="000000" w:themeColor="text1"/>
        </w:rPr>
        <w:t>Informácie o nákladoch</w:t>
      </w:r>
    </w:p>
    <w:p w14:paraId="56030074" w14:textId="77777777" w:rsidR="008C288C" w:rsidRDefault="008C288C" w:rsidP="00AE79C9">
      <w:pPr>
        <w:pStyle w:val="Zkladntext"/>
        <w:keepNext/>
      </w:pPr>
    </w:p>
    <w:p w14:paraId="56030075" w14:textId="77777777" w:rsidR="008C288C" w:rsidRDefault="008C288C" w:rsidP="000C6143">
      <w:pPr>
        <w:pStyle w:val="Nadpis2"/>
        <w:numPr>
          <w:ilvl w:val="0"/>
          <w:numId w:val="9"/>
        </w:numPr>
      </w:pPr>
      <w:r>
        <w:t>Náklady na poskytnuté služby</w:t>
      </w:r>
    </w:p>
    <w:p w14:paraId="56030076" w14:textId="77777777" w:rsidR="008C288C" w:rsidRDefault="008C288C" w:rsidP="00AE79C9">
      <w:pPr>
        <w:keepNext/>
      </w:pPr>
    </w:p>
    <w:p w14:paraId="56030077" w14:textId="77777777" w:rsidR="008C288C" w:rsidRDefault="008C288C" w:rsidP="00AE79C9">
      <w:pPr>
        <w:pStyle w:val="Zkladntext"/>
        <w:keepNext/>
      </w:pPr>
      <w:r w:rsidRPr="00BF5606">
        <w:t>Prehľad o nákladoch na poskytnuté služby:</w:t>
      </w:r>
    </w:p>
    <w:bookmarkStart w:id="123" w:name="_MON_1393786855"/>
    <w:bookmarkStart w:id="124" w:name="_MON_1393786929"/>
    <w:bookmarkStart w:id="125" w:name="_MON_1393786384"/>
    <w:bookmarkStart w:id="126" w:name="_MON_1396850082"/>
    <w:bookmarkStart w:id="127" w:name="OLE_LINK7"/>
    <w:bookmarkStart w:id="128" w:name="OLE_LINK8"/>
    <w:bookmarkEnd w:id="123"/>
    <w:bookmarkEnd w:id="124"/>
    <w:bookmarkEnd w:id="125"/>
    <w:bookmarkEnd w:id="126"/>
    <w:bookmarkStart w:id="129" w:name="_MON_1396850104"/>
    <w:bookmarkEnd w:id="129"/>
    <w:p w14:paraId="56030078" w14:textId="6F082E22" w:rsidR="008C288C" w:rsidRDefault="001730E3" w:rsidP="00CC2AA9">
      <w:pPr>
        <w:pStyle w:val="Nadpis2"/>
        <w:keepNext w:val="0"/>
        <w:numPr>
          <w:ilvl w:val="0"/>
          <w:numId w:val="0"/>
        </w:numPr>
        <w:ind w:left="425"/>
      </w:pPr>
      <w:r>
        <w:object w:dxaOrig="8763" w:dyaOrig="6523" w14:anchorId="56030161">
          <v:shape id="_x0000_i1051" type="#_x0000_t75" style="width:417.5pt;height:338.5pt" o:ole="">
            <v:imagedata r:id="rId61" o:title=""/>
            <o:lock v:ext="edit" aspectratio="f"/>
          </v:shape>
          <o:OLEObject Type="Embed" ProgID="Excel.Sheet.8" ShapeID="_x0000_i1051" DrawAspect="Content" ObjectID="_1616932860" r:id="rId62"/>
        </w:object>
      </w:r>
      <w:bookmarkEnd w:id="127"/>
      <w:bookmarkEnd w:id="128"/>
    </w:p>
    <w:p w14:paraId="56030079" w14:textId="77777777" w:rsidR="008C288C" w:rsidRDefault="008C288C" w:rsidP="00CC2AA9">
      <w:pPr>
        <w:pStyle w:val="Zkladntext"/>
        <w:keepNext/>
        <w:ind w:left="425"/>
      </w:pPr>
      <w:r w:rsidRPr="00C24F77">
        <w:t>Náklady za audit a poradenstvo obsahujú náklady za overenie účtovnej závierky audítorskou spoločnosťou a iné služby poskytnuté touto spoločnosťou v nasledujúcom členení:</w:t>
      </w:r>
    </w:p>
    <w:bookmarkStart w:id="130" w:name="_MON_1393787017"/>
    <w:bookmarkStart w:id="131" w:name="_MON_1394012142"/>
    <w:bookmarkEnd w:id="130"/>
    <w:bookmarkEnd w:id="131"/>
    <w:bookmarkStart w:id="132" w:name="_MON_1394012169"/>
    <w:bookmarkEnd w:id="132"/>
    <w:p w14:paraId="5603007A" w14:textId="285BD535" w:rsidR="008C288C" w:rsidRDefault="00690D28" w:rsidP="00DB5507">
      <w:pPr>
        <w:pStyle w:val="Zkladntext"/>
      </w:pPr>
      <w:r>
        <w:object w:dxaOrig="8744" w:dyaOrig="1342" w14:anchorId="56030162">
          <v:shape id="_x0000_i1052" type="#_x0000_t75" style="width:437pt;height:67pt" o:ole="">
            <v:imagedata r:id="rId63" o:title=""/>
          </v:shape>
          <o:OLEObject Type="Embed" ProgID="Excel.Sheet.8" ShapeID="_x0000_i1052" DrawAspect="Content" ObjectID="_1616932861" r:id="rId64"/>
        </w:object>
      </w:r>
    </w:p>
    <w:p w14:paraId="5603007B" w14:textId="77777777" w:rsidR="008C288C" w:rsidRPr="00BF5606" w:rsidRDefault="008C288C" w:rsidP="00C47F4C">
      <w:pPr>
        <w:pStyle w:val="Nadpis2"/>
      </w:pPr>
      <w:r w:rsidRPr="00BF5606">
        <w:lastRenderedPageBreak/>
        <w:t>Ostatné náklady na hospodársku činnosť</w:t>
      </w:r>
    </w:p>
    <w:p w14:paraId="5603007C" w14:textId="77777777" w:rsidR="008C288C" w:rsidRDefault="008C288C" w:rsidP="002809F9">
      <w:pPr>
        <w:pStyle w:val="Zkladntext"/>
        <w:keepNext/>
      </w:pPr>
    </w:p>
    <w:p w14:paraId="5603007D" w14:textId="77777777" w:rsidR="008C288C" w:rsidRDefault="008C288C" w:rsidP="00C47F4C">
      <w:pPr>
        <w:pStyle w:val="Zkladntext"/>
        <w:keepNext/>
      </w:pPr>
      <w:r w:rsidRPr="00E1759E">
        <w:t>Ostatné náklady na hospodársku činnosť sú uvedené v priloženej tabuľke:</w:t>
      </w:r>
    </w:p>
    <w:bookmarkStart w:id="133" w:name="_MON_1394019778"/>
    <w:bookmarkStart w:id="134" w:name="_MON_1394019907"/>
    <w:bookmarkEnd w:id="133"/>
    <w:bookmarkEnd w:id="134"/>
    <w:bookmarkStart w:id="135" w:name="_MON_1396096864"/>
    <w:bookmarkEnd w:id="135"/>
    <w:p w14:paraId="5603007E" w14:textId="0F858A2E" w:rsidR="008C288C" w:rsidRDefault="00031C69" w:rsidP="00581B5F">
      <w:pPr>
        <w:pStyle w:val="Zkladntext"/>
      </w:pPr>
      <w:r>
        <w:object w:dxaOrig="8763" w:dyaOrig="2828" w14:anchorId="56030163">
          <v:shape id="_x0000_i1053" type="#_x0000_t75" style="width:438pt;height:140.5pt" o:ole="">
            <v:imagedata r:id="rId65" o:title=""/>
          </v:shape>
          <o:OLEObject Type="Embed" ProgID="Excel.Sheet.8" ShapeID="_x0000_i1053" DrawAspect="Content" ObjectID="_1616932862" r:id="rId66"/>
        </w:object>
      </w:r>
    </w:p>
    <w:p w14:paraId="5603007F" w14:textId="43E37DDB" w:rsidR="008C288C" w:rsidRPr="001A561B" w:rsidRDefault="008C288C" w:rsidP="002809F9">
      <w:pPr>
        <w:pStyle w:val="Nadpis2"/>
        <w:rPr>
          <w:vanish/>
        </w:rPr>
      </w:pPr>
      <w:r w:rsidRPr="001A561B">
        <w:rPr>
          <w:vanish/>
        </w:rPr>
        <w:t>Kurzové straty</w:t>
      </w:r>
      <w:r w:rsidR="001A561B">
        <w:rPr>
          <w:vanish/>
        </w:rPr>
        <w:t xml:space="preserve"> (skryté písmo)</w:t>
      </w:r>
    </w:p>
    <w:p w14:paraId="56030080" w14:textId="77777777" w:rsidR="008C288C" w:rsidRPr="001A561B" w:rsidRDefault="008C288C" w:rsidP="002809F9">
      <w:pPr>
        <w:pStyle w:val="Zkladntext"/>
        <w:keepNext/>
        <w:rPr>
          <w:vanish/>
        </w:rPr>
      </w:pPr>
    </w:p>
    <w:p w14:paraId="56030081" w14:textId="77777777" w:rsidR="008C288C" w:rsidRPr="001A561B" w:rsidRDefault="008C288C" w:rsidP="002809F9">
      <w:pPr>
        <w:pStyle w:val="Zkladntext"/>
        <w:keepNext/>
        <w:rPr>
          <w:vanish/>
        </w:rPr>
      </w:pPr>
      <w:r w:rsidRPr="001A561B">
        <w:rPr>
          <w:vanish/>
        </w:rPr>
        <w:t xml:space="preserve">Prehľad o kurzových stratách: </w:t>
      </w:r>
    </w:p>
    <w:bookmarkStart w:id="136" w:name="_MON_1394019799"/>
    <w:bookmarkEnd w:id="136"/>
    <w:p w14:paraId="56030082" w14:textId="4FFFEE21" w:rsidR="008C288C" w:rsidRPr="001A561B" w:rsidRDefault="007A7BA7">
      <w:pPr>
        <w:pStyle w:val="Zkladntext"/>
        <w:rPr>
          <w:vanish/>
          <w:lang w:val="en-GB"/>
        </w:rPr>
      </w:pPr>
      <w:r w:rsidRPr="001A561B">
        <w:rPr>
          <w:vanish/>
          <w:lang w:val="en-GB"/>
        </w:rPr>
        <w:object w:dxaOrig="8735" w:dyaOrig="1382" w14:anchorId="56030164">
          <v:shape id="_x0000_i1054" type="#_x0000_t75" style="width:436.5pt;height:68.5pt" o:ole="">
            <v:imagedata r:id="rId67" o:title=""/>
          </v:shape>
          <o:OLEObject Type="Embed" ProgID="Excel.Sheet.8" ShapeID="_x0000_i1054" DrawAspect="Content" ObjectID="_1616932863" r:id="rId68"/>
        </w:object>
      </w:r>
    </w:p>
    <w:p w14:paraId="56030083" w14:textId="77777777" w:rsidR="008C288C" w:rsidRDefault="008C288C" w:rsidP="00133AE0">
      <w:pPr>
        <w:pStyle w:val="Zkladntext"/>
      </w:pPr>
    </w:p>
    <w:p w14:paraId="56030084" w14:textId="77777777" w:rsidR="008C288C" w:rsidRDefault="008C288C">
      <w:pPr>
        <w:pStyle w:val="Nadpis1"/>
      </w:pPr>
      <w:r>
        <w:t>Informácie o daniach z príjmov</w:t>
      </w:r>
    </w:p>
    <w:p w14:paraId="56030085" w14:textId="77777777" w:rsidR="008C288C" w:rsidRDefault="008C288C">
      <w:pPr>
        <w:pStyle w:val="Zkladntext"/>
      </w:pPr>
    </w:p>
    <w:p w14:paraId="56030086" w14:textId="77777777" w:rsidR="008C288C" w:rsidRDefault="008C288C">
      <w:pPr>
        <w:pStyle w:val="Zkladntext"/>
      </w:pPr>
      <w:r>
        <w:t>Prevod od teoretickej dane z príjmov k vykázanej dani z príjmov je uvedený v nasledujúcom prehľade:</w:t>
      </w:r>
    </w:p>
    <w:p w14:paraId="56030087" w14:textId="77777777" w:rsidR="008C288C" w:rsidRDefault="008C288C">
      <w:pPr>
        <w:pStyle w:val="Zkladntext"/>
      </w:pPr>
    </w:p>
    <w:bookmarkStart w:id="137" w:name="_MON_1394020470"/>
    <w:bookmarkStart w:id="138" w:name="_MON_1394020516"/>
    <w:bookmarkStart w:id="139" w:name="_MON_1394020602"/>
    <w:bookmarkStart w:id="140" w:name="_MON_1394020679"/>
    <w:bookmarkStart w:id="141" w:name="_MON_1394024471"/>
    <w:bookmarkEnd w:id="137"/>
    <w:bookmarkEnd w:id="138"/>
    <w:bookmarkEnd w:id="139"/>
    <w:bookmarkEnd w:id="140"/>
    <w:bookmarkEnd w:id="141"/>
    <w:bookmarkStart w:id="142" w:name="_MON_1394024502"/>
    <w:bookmarkEnd w:id="142"/>
    <w:p w14:paraId="56030088" w14:textId="374DE250" w:rsidR="008C288C" w:rsidRDefault="00031C69">
      <w:pPr>
        <w:pStyle w:val="Zkladntext"/>
      </w:pPr>
      <w:r>
        <w:object w:dxaOrig="9248" w:dyaOrig="4036" w14:anchorId="56030165">
          <v:shape id="_x0000_i1055" type="#_x0000_t75" style="width:458pt;height:195.5pt" o:ole="">
            <v:imagedata r:id="rId69" o:title=""/>
          </v:shape>
          <o:OLEObject Type="Embed" ProgID="Excel.Sheet.8" ShapeID="_x0000_i1055" DrawAspect="Content" ObjectID="_1616932864" r:id="rId70"/>
        </w:object>
      </w:r>
    </w:p>
    <w:p w14:paraId="5603008C" w14:textId="77777777" w:rsidR="005E3A22" w:rsidRDefault="005E3A22">
      <w:pPr>
        <w:pStyle w:val="Zkladntext"/>
      </w:pPr>
    </w:p>
    <w:p w14:paraId="5603008D" w14:textId="77777777" w:rsidR="008C288C" w:rsidRDefault="008C288C" w:rsidP="00C47F4C">
      <w:pPr>
        <w:pStyle w:val="Nadpis1"/>
      </w:pPr>
      <w:bookmarkStart w:id="143" w:name="_MON_1396701773"/>
      <w:bookmarkStart w:id="144" w:name="_MON_1396701862"/>
      <w:bookmarkEnd w:id="143"/>
      <w:bookmarkEnd w:id="144"/>
      <w:r>
        <w:t>Informácie o údajoch na podsúvahových účtoch</w:t>
      </w:r>
    </w:p>
    <w:p w14:paraId="5603008E" w14:textId="77777777" w:rsidR="008C288C" w:rsidRDefault="008C288C" w:rsidP="00C47F4C">
      <w:pPr>
        <w:pStyle w:val="Zkladntext"/>
        <w:keepNext/>
      </w:pPr>
    </w:p>
    <w:p w14:paraId="5603008F" w14:textId="77777777" w:rsidR="008C288C" w:rsidRDefault="008C288C" w:rsidP="000C6143">
      <w:pPr>
        <w:pStyle w:val="Nadpis2"/>
        <w:numPr>
          <w:ilvl w:val="0"/>
          <w:numId w:val="10"/>
        </w:numPr>
      </w:pPr>
      <w:bookmarkStart w:id="145" w:name="_Toc530739920"/>
      <w:r>
        <w:t>Najatý majetok</w:t>
      </w:r>
      <w:bookmarkEnd w:id="145"/>
    </w:p>
    <w:p w14:paraId="56030090" w14:textId="77777777" w:rsidR="005C51E1" w:rsidRDefault="005C51E1" w:rsidP="005C51E1">
      <w:pPr>
        <w:pStyle w:val="Zkladntext"/>
        <w:keepNext/>
        <w:ind w:left="425"/>
      </w:pPr>
    </w:p>
    <w:tbl>
      <w:tblPr>
        <w:tblStyle w:val="Mkatabulky"/>
        <w:tblW w:w="0" w:type="auto"/>
        <w:tblInd w:w="426" w:type="dxa"/>
        <w:tblLook w:val="04A0" w:firstRow="1" w:lastRow="0" w:firstColumn="1" w:lastColumn="0" w:noHBand="0" w:noVBand="1"/>
      </w:tblPr>
      <w:tblGrid>
        <w:gridCol w:w="3135"/>
        <w:gridCol w:w="2784"/>
        <w:gridCol w:w="2835"/>
      </w:tblGrid>
      <w:tr w:rsidR="005C51E1" w:rsidRPr="005C51E1" w14:paraId="56030094" w14:textId="77777777" w:rsidTr="00ED6D0E">
        <w:tc>
          <w:tcPr>
            <w:tcW w:w="3135" w:type="dxa"/>
          </w:tcPr>
          <w:p w14:paraId="56030091" w14:textId="77777777" w:rsidR="005C51E1" w:rsidRPr="005C51E1" w:rsidRDefault="005C51E1" w:rsidP="0089030F">
            <w:pPr>
              <w:pStyle w:val="Zkladntext"/>
              <w:keepNext/>
              <w:ind w:left="0"/>
              <w:jc w:val="center"/>
              <w:rPr>
                <w:b/>
              </w:rPr>
            </w:pPr>
            <w:r w:rsidRPr="005C51E1">
              <w:rPr>
                <w:b/>
              </w:rPr>
              <w:t>Názov položky</w:t>
            </w:r>
          </w:p>
        </w:tc>
        <w:tc>
          <w:tcPr>
            <w:tcW w:w="2784" w:type="dxa"/>
          </w:tcPr>
          <w:p w14:paraId="56030092" w14:textId="77777777" w:rsidR="005C51E1" w:rsidRPr="005C51E1" w:rsidRDefault="005C51E1" w:rsidP="0089030F">
            <w:pPr>
              <w:pStyle w:val="Zkladntext"/>
              <w:keepNext/>
              <w:ind w:left="0"/>
              <w:jc w:val="center"/>
              <w:rPr>
                <w:b/>
              </w:rPr>
            </w:pPr>
            <w:r w:rsidRPr="005C51E1">
              <w:rPr>
                <w:b/>
              </w:rPr>
              <w:t>Bežné účtovné obdobie</w:t>
            </w:r>
          </w:p>
        </w:tc>
        <w:tc>
          <w:tcPr>
            <w:tcW w:w="2835" w:type="dxa"/>
          </w:tcPr>
          <w:p w14:paraId="56030093" w14:textId="77777777" w:rsidR="005C51E1" w:rsidRPr="005C51E1" w:rsidRDefault="005C51E1" w:rsidP="0089030F">
            <w:pPr>
              <w:pStyle w:val="Zkladntext"/>
              <w:keepNext/>
              <w:ind w:left="0"/>
              <w:jc w:val="center"/>
              <w:rPr>
                <w:b/>
              </w:rPr>
            </w:pPr>
            <w:r w:rsidRPr="005C51E1">
              <w:rPr>
                <w:b/>
              </w:rPr>
              <w:t>Bezprostredne predchádzajúce účtovné obdobie</w:t>
            </w:r>
          </w:p>
        </w:tc>
      </w:tr>
      <w:tr w:rsidR="00C502D1" w14:paraId="56030098" w14:textId="77777777" w:rsidTr="00ED6D0E">
        <w:tc>
          <w:tcPr>
            <w:tcW w:w="3135" w:type="dxa"/>
          </w:tcPr>
          <w:p w14:paraId="56030095" w14:textId="77777777" w:rsidR="00C502D1" w:rsidRDefault="00C502D1" w:rsidP="00C502D1">
            <w:pPr>
              <w:pStyle w:val="Zkladntext"/>
              <w:keepNext/>
              <w:ind w:left="0"/>
            </w:pPr>
            <w:r>
              <w:t>Prenajatý majetok</w:t>
            </w:r>
          </w:p>
        </w:tc>
        <w:tc>
          <w:tcPr>
            <w:tcW w:w="2784" w:type="dxa"/>
          </w:tcPr>
          <w:p w14:paraId="56030096" w14:textId="400A41FA" w:rsidR="00C502D1" w:rsidRDefault="0042129F" w:rsidP="0042129F">
            <w:pPr>
              <w:pStyle w:val="Zkladntext"/>
              <w:keepNext/>
              <w:ind w:left="0"/>
              <w:jc w:val="center"/>
            </w:pPr>
            <w:r>
              <w:t xml:space="preserve">Nie </w:t>
            </w:r>
          </w:p>
        </w:tc>
        <w:tc>
          <w:tcPr>
            <w:tcW w:w="2835" w:type="dxa"/>
          </w:tcPr>
          <w:p w14:paraId="56030097" w14:textId="65FAE427" w:rsidR="00C502D1" w:rsidRDefault="0042129F" w:rsidP="00C502D1">
            <w:pPr>
              <w:pStyle w:val="Zkladntext"/>
              <w:keepNext/>
              <w:ind w:left="0"/>
              <w:jc w:val="center"/>
            </w:pPr>
            <w:r>
              <w:t>Nie</w:t>
            </w:r>
          </w:p>
        </w:tc>
      </w:tr>
      <w:tr w:rsidR="00C502D1" w14:paraId="5603009C" w14:textId="77777777" w:rsidTr="00ED6D0E">
        <w:tc>
          <w:tcPr>
            <w:tcW w:w="3135" w:type="dxa"/>
          </w:tcPr>
          <w:p w14:paraId="56030099" w14:textId="77777777" w:rsidR="00C502D1" w:rsidRDefault="00C502D1" w:rsidP="00C502D1">
            <w:pPr>
              <w:pStyle w:val="Zkladntext"/>
              <w:keepNext/>
              <w:ind w:left="0"/>
            </w:pPr>
            <w:r>
              <w:t>Majetok v nájme (operatívny prenájom)</w:t>
            </w:r>
          </w:p>
        </w:tc>
        <w:tc>
          <w:tcPr>
            <w:tcW w:w="2784" w:type="dxa"/>
          </w:tcPr>
          <w:p w14:paraId="5603009A" w14:textId="215BB126" w:rsidR="00C502D1" w:rsidRDefault="0042129F" w:rsidP="00C502D1">
            <w:pPr>
              <w:pStyle w:val="Zkladntext"/>
              <w:keepNext/>
              <w:ind w:left="0"/>
              <w:jc w:val="center"/>
            </w:pPr>
            <w:r>
              <w:t>Nie</w:t>
            </w:r>
          </w:p>
        </w:tc>
        <w:tc>
          <w:tcPr>
            <w:tcW w:w="2835" w:type="dxa"/>
          </w:tcPr>
          <w:p w14:paraId="5603009B" w14:textId="20FC1C3C" w:rsidR="00C502D1" w:rsidRDefault="0042129F" w:rsidP="00C502D1">
            <w:pPr>
              <w:pStyle w:val="Zkladntext"/>
              <w:keepNext/>
              <w:ind w:left="0"/>
              <w:jc w:val="center"/>
            </w:pPr>
            <w:r>
              <w:t>Nie</w:t>
            </w:r>
          </w:p>
        </w:tc>
      </w:tr>
      <w:tr w:rsidR="00C502D1" w14:paraId="560300A0" w14:textId="77777777" w:rsidTr="00ED6D0E">
        <w:tc>
          <w:tcPr>
            <w:tcW w:w="3135" w:type="dxa"/>
          </w:tcPr>
          <w:p w14:paraId="5603009D" w14:textId="77777777" w:rsidR="00C502D1" w:rsidRDefault="00C502D1" w:rsidP="00C502D1">
            <w:pPr>
              <w:pStyle w:val="Zkladntext"/>
              <w:keepNext/>
              <w:ind w:left="0"/>
            </w:pPr>
            <w:r>
              <w:t>Majetok prijatý do úschovy</w:t>
            </w:r>
          </w:p>
        </w:tc>
        <w:tc>
          <w:tcPr>
            <w:tcW w:w="2784" w:type="dxa"/>
          </w:tcPr>
          <w:p w14:paraId="5603009E" w14:textId="77777777" w:rsidR="00C502D1" w:rsidRDefault="00C502D1" w:rsidP="00C502D1">
            <w:pPr>
              <w:pStyle w:val="Zkladntext"/>
              <w:keepNext/>
              <w:ind w:left="0"/>
              <w:jc w:val="center"/>
            </w:pPr>
            <w:r>
              <w:t>Nie</w:t>
            </w:r>
          </w:p>
        </w:tc>
        <w:tc>
          <w:tcPr>
            <w:tcW w:w="2835" w:type="dxa"/>
          </w:tcPr>
          <w:p w14:paraId="5603009F" w14:textId="0358E7C8" w:rsidR="00C502D1" w:rsidRDefault="00C502D1" w:rsidP="00C502D1">
            <w:pPr>
              <w:pStyle w:val="Zkladntext"/>
              <w:keepNext/>
              <w:ind w:left="0"/>
              <w:jc w:val="center"/>
            </w:pPr>
            <w:r>
              <w:t>Nie</w:t>
            </w:r>
          </w:p>
        </w:tc>
      </w:tr>
      <w:tr w:rsidR="00C502D1" w14:paraId="560300A4" w14:textId="77777777" w:rsidTr="00ED6D0E">
        <w:tc>
          <w:tcPr>
            <w:tcW w:w="3135" w:type="dxa"/>
          </w:tcPr>
          <w:p w14:paraId="560300A1" w14:textId="77777777" w:rsidR="00C502D1" w:rsidRDefault="00C502D1" w:rsidP="00C502D1">
            <w:pPr>
              <w:pStyle w:val="Zkladntext"/>
              <w:keepNext/>
              <w:ind w:left="0"/>
            </w:pPr>
            <w:r>
              <w:t>Pohľadávky z derivátov</w:t>
            </w:r>
          </w:p>
        </w:tc>
        <w:tc>
          <w:tcPr>
            <w:tcW w:w="2784" w:type="dxa"/>
          </w:tcPr>
          <w:p w14:paraId="560300A2" w14:textId="77777777" w:rsidR="00C502D1" w:rsidRDefault="00C502D1" w:rsidP="00C502D1">
            <w:pPr>
              <w:pStyle w:val="Zkladntext"/>
              <w:keepNext/>
              <w:ind w:left="0"/>
              <w:jc w:val="center"/>
            </w:pPr>
            <w:r>
              <w:t>Nie</w:t>
            </w:r>
          </w:p>
        </w:tc>
        <w:tc>
          <w:tcPr>
            <w:tcW w:w="2835" w:type="dxa"/>
          </w:tcPr>
          <w:p w14:paraId="560300A3" w14:textId="688486C6" w:rsidR="00C502D1" w:rsidRDefault="00C502D1" w:rsidP="00C502D1">
            <w:pPr>
              <w:pStyle w:val="Zkladntext"/>
              <w:keepNext/>
              <w:ind w:left="0"/>
              <w:jc w:val="center"/>
            </w:pPr>
            <w:r>
              <w:t>Nie</w:t>
            </w:r>
          </w:p>
        </w:tc>
      </w:tr>
      <w:tr w:rsidR="00C502D1" w14:paraId="560300A8" w14:textId="77777777" w:rsidTr="00ED6D0E">
        <w:tc>
          <w:tcPr>
            <w:tcW w:w="3135" w:type="dxa"/>
          </w:tcPr>
          <w:p w14:paraId="560300A5" w14:textId="77777777" w:rsidR="00C502D1" w:rsidRDefault="00C502D1" w:rsidP="00C502D1">
            <w:pPr>
              <w:pStyle w:val="Zkladntext"/>
              <w:keepNext/>
              <w:ind w:left="0"/>
            </w:pPr>
            <w:r>
              <w:t>Záväzky z opcií a derivátov</w:t>
            </w:r>
          </w:p>
        </w:tc>
        <w:tc>
          <w:tcPr>
            <w:tcW w:w="2784" w:type="dxa"/>
          </w:tcPr>
          <w:p w14:paraId="560300A6" w14:textId="77777777" w:rsidR="00C502D1" w:rsidRDefault="00C502D1" w:rsidP="00C502D1">
            <w:pPr>
              <w:pStyle w:val="Zkladntext"/>
              <w:keepNext/>
              <w:ind w:left="0"/>
              <w:jc w:val="center"/>
            </w:pPr>
            <w:r>
              <w:t>Nie</w:t>
            </w:r>
          </w:p>
        </w:tc>
        <w:tc>
          <w:tcPr>
            <w:tcW w:w="2835" w:type="dxa"/>
          </w:tcPr>
          <w:p w14:paraId="560300A7" w14:textId="303AFA58" w:rsidR="00C502D1" w:rsidRDefault="00C502D1" w:rsidP="00C502D1">
            <w:pPr>
              <w:pStyle w:val="Zkladntext"/>
              <w:keepNext/>
              <w:ind w:left="0"/>
              <w:jc w:val="center"/>
            </w:pPr>
            <w:r>
              <w:t>Nie</w:t>
            </w:r>
          </w:p>
        </w:tc>
      </w:tr>
      <w:tr w:rsidR="00C502D1" w14:paraId="560300AC" w14:textId="77777777" w:rsidTr="00ED6D0E">
        <w:tc>
          <w:tcPr>
            <w:tcW w:w="3135" w:type="dxa"/>
          </w:tcPr>
          <w:p w14:paraId="560300A9" w14:textId="77777777" w:rsidR="00C502D1" w:rsidRDefault="00C502D1" w:rsidP="00C502D1">
            <w:pPr>
              <w:pStyle w:val="Zkladntext"/>
              <w:keepNext/>
              <w:ind w:left="0"/>
            </w:pPr>
            <w:r>
              <w:t>Odpísané pohľadávky</w:t>
            </w:r>
          </w:p>
        </w:tc>
        <w:tc>
          <w:tcPr>
            <w:tcW w:w="2784" w:type="dxa"/>
          </w:tcPr>
          <w:p w14:paraId="560300AA" w14:textId="433DA4AB" w:rsidR="00C502D1" w:rsidRDefault="00C502D1" w:rsidP="00C502D1">
            <w:pPr>
              <w:pStyle w:val="Zkladntext"/>
              <w:keepNext/>
              <w:ind w:left="0"/>
              <w:jc w:val="center"/>
            </w:pPr>
            <w:r>
              <w:t>Nie</w:t>
            </w:r>
          </w:p>
        </w:tc>
        <w:tc>
          <w:tcPr>
            <w:tcW w:w="2835" w:type="dxa"/>
          </w:tcPr>
          <w:p w14:paraId="560300AB" w14:textId="3D7EA0E7" w:rsidR="00C502D1" w:rsidRDefault="00C502D1" w:rsidP="00C502D1">
            <w:pPr>
              <w:pStyle w:val="Zkladntext"/>
              <w:keepNext/>
              <w:ind w:left="0"/>
              <w:jc w:val="center"/>
            </w:pPr>
            <w:r>
              <w:t>Nie</w:t>
            </w:r>
          </w:p>
        </w:tc>
      </w:tr>
      <w:tr w:rsidR="00C502D1" w14:paraId="560300B0" w14:textId="77777777" w:rsidTr="00ED6D0E">
        <w:tc>
          <w:tcPr>
            <w:tcW w:w="3135" w:type="dxa"/>
          </w:tcPr>
          <w:p w14:paraId="560300AD" w14:textId="77777777" w:rsidR="00C502D1" w:rsidRDefault="00C502D1" w:rsidP="00C502D1">
            <w:pPr>
              <w:pStyle w:val="Zkladntext"/>
              <w:keepNext/>
              <w:ind w:left="0"/>
            </w:pPr>
            <w:r>
              <w:t>Pohľadávky z leasingu</w:t>
            </w:r>
          </w:p>
        </w:tc>
        <w:tc>
          <w:tcPr>
            <w:tcW w:w="2784" w:type="dxa"/>
          </w:tcPr>
          <w:p w14:paraId="560300AE" w14:textId="77777777" w:rsidR="00C502D1" w:rsidRDefault="00C502D1" w:rsidP="00C502D1">
            <w:pPr>
              <w:pStyle w:val="Zkladntext"/>
              <w:keepNext/>
              <w:ind w:left="0"/>
              <w:jc w:val="center"/>
            </w:pPr>
            <w:r>
              <w:t>Nie</w:t>
            </w:r>
          </w:p>
        </w:tc>
        <w:tc>
          <w:tcPr>
            <w:tcW w:w="2835" w:type="dxa"/>
          </w:tcPr>
          <w:p w14:paraId="560300AF" w14:textId="2864C444" w:rsidR="00C502D1" w:rsidRDefault="00C502D1" w:rsidP="00C502D1">
            <w:pPr>
              <w:pStyle w:val="Zkladntext"/>
              <w:keepNext/>
              <w:ind w:left="0"/>
              <w:jc w:val="center"/>
            </w:pPr>
            <w:r>
              <w:t>Nie</w:t>
            </w:r>
          </w:p>
        </w:tc>
      </w:tr>
      <w:tr w:rsidR="00C502D1" w14:paraId="560300B4" w14:textId="77777777" w:rsidTr="00ED6D0E">
        <w:tc>
          <w:tcPr>
            <w:tcW w:w="3135" w:type="dxa"/>
          </w:tcPr>
          <w:p w14:paraId="560300B1" w14:textId="77777777" w:rsidR="00C502D1" w:rsidRDefault="00C502D1" w:rsidP="00C502D1">
            <w:pPr>
              <w:pStyle w:val="Zkladntext"/>
              <w:keepNext/>
              <w:ind w:left="0"/>
            </w:pPr>
            <w:r>
              <w:t>Záväzky z leasingu</w:t>
            </w:r>
          </w:p>
        </w:tc>
        <w:tc>
          <w:tcPr>
            <w:tcW w:w="2784" w:type="dxa"/>
          </w:tcPr>
          <w:p w14:paraId="560300B2" w14:textId="1D3008AD" w:rsidR="00C502D1" w:rsidRDefault="0042129F" w:rsidP="00C502D1">
            <w:pPr>
              <w:pStyle w:val="Zkladntext"/>
              <w:keepNext/>
              <w:ind w:left="0"/>
              <w:jc w:val="center"/>
            </w:pPr>
            <w:r>
              <w:t>Nie</w:t>
            </w:r>
          </w:p>
        </w:tc>
        <w:tc>
          <w:tcPr>
            <w:tcW w:w="2835" w:type="dxa"/>
          </w:tcPr>
          <w:p w14:paraId="560300B3" w14:textId="181592FD" w:rsidR="00C502D1" w:rsidRDefault="0042129F" w:rsidP="00C502D1">
            <w:pPr>
              <w:pStyle w:val="Zkladntext"/>
              <w:keepNext/>
              <w:ind w:left="0"/>
              <w:jc w:val="center"/>
            </w:pPr>
            <w:r>
              <w:t>Nie</w:t>
            </w:r>
          </w:p>
        </w:tc>
      </w:tr>
      <w:tr w:rsidR="00C502D1" w14:paraId="560300B8" w14:textId="77777777" w:rsidTr="00ED6D0E">
        <w:tc>
          <w:tcPr>
            <w:tcW w:w="3135" w:type="dxa"/>
          </w:tcPr>
          <w:p w14:paraId="560300B5" w14:textId="77777777" w:rsidR="00C502D1" w:rsidRDefault="00C502D1" w:rsidP="00C502D1">
            <w:pPr>
              <w:pStyle w:val="Zkladntext"/>
              <w:ind w:left="0"/>
            </w:pPr>
            <w:r>
              <w:t>Iné položky</w:t>
            </w:r>
          </w:p>
        </w:tc>
        <w:tc>
          <w:tcPr>
            <w:tcW w:w="2784" w:type="dxa"/>
          </w:tcPr>
          <w:p w14:paraId="560300B6" w14:textId="77777777" w:rsidR="00C502D1" w:rsidRDefault="00C502D1" w:rsidP="00C502D1">
            <w:pPr>
              <w:pStyle w:val="Zkladntext"/>
              <w:ind w:left="0"/>
              <w:jc w:val="center"/>
            </w:pPr>
            <w:r>
              <w:t>Nie</w:t>
            </w:r>
          </w:p>
        </w:tc>
        <w:tc>
          <w:tcPr>
            <w:tcW w:w="2835" w:type="dxa"/>
          </w:tcPr>
          <w:p w14:paraId="560300B7" w14:textId="64D4E975" w:rsidR="00C502D1" w:rsidRDefault="00C502D1" w:rsidP="00C502D1">
            <w:pPr>
              <w:pStyle w:val="Zkladntext"/>
              <w:ind w:left="0"/>
              <w:jc w:val="center"/>
            </w:pPr>
            <w:r>
              <w:t>Nie</w:t>
            </w:r>
          </w:p>
        </w:tc>
      </w:tr>
    </w:tbl>
    <w:p w14:paraId="560300B9" w14:textId="77777777" w:rsidR="005C51E1" w:rsidRDefault="005C51E1" w:rsidP="005C51E1">
      <w:pPr>
        <w:pStyle w:val="Zkladntext"/>
        <w:keepNext/>
      </w:pPr>
    </w:p>
    <w:p w14:paraId="560300BB" w14:textId="77777777" w:rsidR="005C51E1" w:rsidRDefault="005C51E1" w:rsidP="005C51E1">
      <w:pPr>
        <w:pStyle w:val="Zkladntext"/>
      </w:pPr>
    </w:p>
    <w:p w14:paraId="560300BC" w14:textId="77777777" w:rsidR="008C288C" w:rsidRDefault="008C288C" w:rsidP="000F2356">
      <w:pPr>
        <w:pStyle w:val="Nadpis1"/>
      </w:pPr>
      <w:r>
        <w:lastRenderedPageBreak/>
        <w:t>Informácie o iných aktívach a iných pasívach</w:t>
      </w:r>
    </w:p>
    <w:p w14:paraId="560300BD" w14:textId="77777777" w:rsidR="008C288C" w:rsidRDefault="008C288C" w:rsidP="000F2356">
      <w:pPr>
        <w:pStyle w:val="Zkladntext"/>
        <w:keepNext/>
        <w:ind w:left="0"/>
      </w:pPr>
    </w:p>
    <w:p w14:paraId="560300BE" w14:textId="7E1BA2A0" w:rsidR="008C288C" w:rsidRPr="006F3988" w:rsidRDefault="008C288C" w:rsidP="000C6143">
      <w:pPr>
        <w:pStyle w:val="Nadpis2"/>
        <w:numPr>
          <w:ilvl w:val="0"/>
          <w:numId w:val="11"/>
        </w:numPr>
      </w:pPr>
      <w:bookmarkStart w:id="146" w:name="_Toc530739921"/>
      <w:r w:rsidRPr="006F3988">
        <w:t>P</w:t>
      </w:r>
      <w:r w:rsidR="00EA2E09" w:rsidRPr="006F3988">
        <w:t>o</w:t>
      </w:r>
      <w:r w:rsidRPr="006F3988">
        <w:t>dmienené záväzky</w:t>
      </w:r>
      <w:bookmarkEnd w:id="146"/>
    </w:p>
    <w:p w14:paraId="560300BF" w14:textId="77777777" w:rsidR="008C288C" w:rsidRDefault="008C288C" w:rsidP="000F2356">
      <w:pPr>
        <w:pStyle w:val="Zkladntext"/>
        <w:keepNext/>
      </w:pPr>
    </w:p>
    <w:p w14:paraId="560300C0" w14:textId="77777777" w:rsidR="008C288C" w:rsidRDefault="008C288C" w:rsidP="00EA2C71">
      <w:pPr>
        <w:pStyle w:val="Zkladntext"/>
      </w:pPr>
      <w:r>
        <w:t>Vzhľadom na to, že mnohé oblasti slovenského daňového práva doteraz neboli dostatočne overené praxou, existuje neistota v</w:t>
      </w:r>
      <w:r w:rsidR="00AA4041">
        <w:t> </w:t>
      </w:r>
      <w:r>
        <w:t>tom, ako ich budú daňové orgány aplikovať. Mieru tejto neistoty nie je možné kvantifikovať a zanikne až potom, keď budú k dispozícii právne precedensy, prípadne oficiálne interpretácie príslušných orgánov.</w:t>
      </w:r>
    </w:p>
    <w:p w14:paraId="560300C1" w14:textId="77777777" w:rsidR="008C288C" w:rsidRDefault="008C288C">
      <w:pPr>
        <w:pStyle w:val="Zkladntext"/>
      </w:pPr>
    </w:p>
    <w:p w14:paraId="560300C2" w14:textId="77777777" w:rsidR="008C288C" w:rsidRDefault="008C288C">
      <w:pPr>
        <w:pStyle w:val="Nadpis2"/>
      </w:pPr>
      <w:bookmarkStart w:id="147" w:name="_Toc530739922"/>
      <w:r>
        <w:t>Ostatné finančné povinnosti</w:t>
      </w:r>
      <w:bookmarkEnd w:id="147"/>
    </w:p>
    <w:p w14:paraId="560300C3" w14:textId="77777777" w:rsidR="008C288C" w:rsidRDefault="008C288C">
      <w:pPr>
        <w:pStyle w:val="Zkladntext"/>
      </w:pPr>
    </w:p>
    <w:p w14:paraId="560300C4" w14:textId="789D1ADF" w:rsidR="008C288C" w:rsidRDefault="008C288C" w:rsidP="00157670">
      <w:pPr>
        <w:pStyle w:val="Zkladntext"/>
      </w:pPr>
      <w:r>
        <w:t>Ostatné finančné povinnosti, ktoré sa nesledujú v bežnom účtovníctve a neuvádzajú v</w:t>
      </w:r>
      <w:r w:rsidR="00B5245D">
        <w:t> </w:t>
      </w:r>
      <w:r>
        <w:t>súvahe</w:t>
      </w:r>
      <w:r w:rsidR="00B5245D">
        <w:t xml:space="preserve">, </w:t>
      </w:r>
      <w:r w:rsidR="000F2356">
        <w:t>spoločnosť neeviduje.</w:t>
      </w:r>
    </w:p>
    <w:p w14:paraId="560300C5" w14:textId="77777777" w:rsidR="008C288C" w:rsidRDefault="008C288C" w:rsidP="00DB0ECB">
      <w:pPr>
        <w:pStyle w:val="Zkladntext"/>
      </w:pPr>
    </w:p>
    <w:p w14:paraId="560300C6" w14:textId="77777777" w:rsidR="008C288C" w:rsidRDefault="008C288C">
      <w:pPr>
        <w:pStyle w:val="Nadpis1"/>
      </w:pPr>
      <w:bookmarkStart w:id="148" w:name="_Toc530739923"/>
      <w:r>
        <w:t>Informácie o príjmoch a výhodách členov štatutárnych orgánov, dozorných orgánov</w:t>
      </w:r>
      <w:bookmarkEnd w:id="148"/>
      <w:r>
        <w:t xml:space="preserve"> a iných orgánov účtovnej jednotky</w:t>
      </w:r>
    </w:p>
    <w:p w14:paraId="560300C7" w14:textId="77777777" w:rsidR="008C288C" w:rsidRDefault="008C288C">
      <w:pPr>
        <w:pStyle w:val="Zkladntext"/>
      </w:pPr>
    </w:p>
    <w:p w14:paraId="560300C8" w14:textId="39C137C8" w:rsidR="008C288C" w:rsidRDefault="008C288C">
      <w:pPr>
        <w:pStyle w:val="Zkladntext"/>
      </w:pPr>
      <w:r w:rsidRPr="00AB4211">
        <w:t xml:space="preserve">Hrubé príjmy členov štatutárnych orgánov Spoločnosti za ich činnosť pre Spoločnosť v sledovanom účtovnom období boli vo výške </w:t>
      </w:r>
      <w:r w:rsidR="00424E92">
        <w:t>0</w:t>
      </w:r>
      <w:r w:rsidR="00AB4211" w:rsidRPr="00AB4211">
        <w:t xml:space="preserve"> </w:t>
      </w:r>
      <w:r w:rsidRPr="00AB4211">
        <w:t>EUR (v roku 20</w:t>
      </w:r>
      <w:r w:rsidR="00AA4041" w:rsidRPr="00AB4211">
        <w:t>1</w:t>
      </w:r>
      <w:r w:rsidR="00DA16AB">
        <w:t>7</w:t>
      </w:r>
      <w:r w:rsidRPr="00AB4211">
        <w:t xml:space="preserve">: </w:t>
      </w:r>
      <w:r w:rsidR="00823519">
        <w:t>0</w:t>
      </w:r>
      <w:r w:rsidR="00424E92" w:rsidRPr="00AB4211">
        <w:t xml:space="preserve"> </w:t>
      </w:r>
      <w:r w:rsidR="000F2356" w:rsidRPr="00AB4211">
        <w:t>EUR</w:t>
      </w:r>
      <w:r w:rsidR="00B20C58">
        <w:t>)</w:t>
      </w:r>
      <w:bookmarkStart w:id="149" w:name="_GoBack"/>
      <w:bookmarkEnd w:id="149"/>
      <w:r w:rsidR="000F2356" w:rsidRPr="00497BBB">
        <w:rPr>
          <w:vanish/>
        </w:rPr>
        <w:t>)</w:t>
      </w:r>
      <w:r w:rsidR="008C737E" w:rsidRPr="00497BBB">
        <w:rPr>
          <w:vanish/>
        </w:rPr>
        <w:t xml:space="preserve">, z toho </w:t>
      </w:r>
      <w:r w:rsidR="00424E92" w:rsidRPr="00497BBB">
        <w:rPr>
          <w:vanish/>
        </w:rPr>
        <w:t xml:space="preserve">0 </w:t>
      </w:r>
      <w:r w:rsidR="008C737E" w:rsidRPr="00497BBB">
        <w:rPr>
          <w:vanish/>
        </w:rPr>
        <w:t>EUR boli nepeňažné</w:t>
      </w:r>
      <w:r w:rsidR="00AB4211" w:rsidRPr="00497BBB">
        <w:rPr>
          <w:vanish/>
        </w:rPr>
        <w:t xml:space="preserve"> (201</w:t>
      </w:r>
      <w:r w:rsidR="00823519" w:rsidRPr="00497BBB">
        <w:rPr>
          <w:vanish/>
        </w:rPr>
        <w:t>4</w:t>
      </w:r>
      <w:r w:rsidR="00AB4211" w:rsidRPr="00497BBB">
        <w:rPr>
          <w:vanish/>
        </w:rPr>
        <w:t xml:space="preserve">: </w:t>
      </w:r>
      <w:r w:rsidR="00823519" w:rsidRPr="00497BBB">
        <w:rPr>
          <w:vanish/>
        </w:rPr>
        <w:t>0</w:t>
      </w:r>
      <w:r w:rsidR="00424E92" w:rsidRPr="00497BBB">
        <w:rPr>
          <w:vanish/>
        </w:rPr>
        <w:t xml:space="preserve"> </w:t>
      </w:r>
      <w:r w:rsidR="00AB4211" w:rsidRPr="00497BBB">
        <w:rPr>
          <w:vanish/>
        </w:rPr>
        <w:t>EUR)</w:t>
      </w:r>
      <w:r w:rsidRPr="00AB4211">
        <w:t>.</w:t>
      </w:r>
    </w:p>
    <w:p w14:paraId="560300C9" w14:textId="77777777" w:rsidR="008C288C" w:rsidRDefault="008C288C">
      <w:pPr>
        <w:pStyle w:val="Zkladntext"/>
      </w:pPr>
    </w:p>
    <w:p w14:paraId="560300CA" w14:textId="77777777" w:rsidR="008C288C" w:rsidRDefault="008C288C">
      <w:pPr>
        <w:pStyle w:val="Nadpis1"/>
      </w:pPr>
      <w:bookmarkStart w:id="150" w:name="_Toc530739924"/>
      <w:r>
        <w:t>Informácie o ekonomických vzťahoch účtovnej jednotky a spriaznených osôb</w:t>
      </w:r>
      <w:bookmarkEnd w:id="150"/>
    </w:p>
    <w:p w14:paraId="560300CB" w14:textId="77777777" w:rsidR="008C288C" w:rsidRDefault="008C288C">
      <w:pPr>
        <w:pStyle w:val="Zkladntext"/>
      </w:pPr>
    </w:p>
    <w:p w14:paraId="560300CC" w14:textId="77777777" w:rsidR="008C288C" w:rsidRDefault="008C288C">
      <w:pPr>
        <w:pStyle w:val="Zkladntext"/>
      </w:pPr>
      <w:r>
        <w:t>Spoločnosť uskutočnila v priebehu účtovného obdobia nasledujúce transakcie so spriaznenými osobami (významné transakcie sa uskutočnili len s </w:t>
      </w:r>
      <w:r w:rsidR="0038644D">
        <w:t>materskou a sesterskými spoločnosťami</w:t>
      </w:r>
      <w:r>
        <w:t>):</w:t>
      </w:r>
    </w:p>
    <w:p w14:paraId="560300CD" w14:textId="77777777" w:rsidR="008C288C" w:rsidRDefault="008C288C">
      <w:pPr>
        <w:pStyle w:val="Zkladntext"/>
      </w:pPr>
    </w:p>
    <w:tbl>
      <w:tblPr>
        <w:tblW w:w="0" w:type="auto"/>
        <w:tblInd w:w="456" w:type="dxa"/>
        <w:tblCellMar>
          <w:left w:w="30" w:type="dxa"/>
          <w:right w:w="30" w:type="dxa"/>
        </w:tblCellMar>
        <w:tblLook w:val="0000" w:firstRow="0" w:lastRow="0" w:firstColumn="0" w:lastColumn="0" w:noHBand="0" w:noVBand="0"/>
      </w:tblPr>
      <w:tblGrid>
        <w:gridCol w:w="4819"/>
        <w:gridCol w:w="425"/>
        <w:gridCol w:w="1246"/>
        <w:gridCol w:w="90"/>
        <w:gridCol w:w="1468"/>
      </w:tblGrid>
      <w:tr w:rsidR="00C502D1" w:rsidRPr="003654BD" w14:paraId="560300D6" w14:textId="77777777" w:rsidTr="008C737E">
        <w:trPr>
          <w:trHeight w:val="250"/>
        </w:trPr>
        <w:tc>
          <w:tcPr>
            <w:tcW w:w="4819" w:type="dxa"/>
          </w:tcPr>
          <w:p w14:paraId="560300CE" w14:textId="77777777" w:rsidR="00C502D1" w:rsidRPr="003654BD" w:rsidRDefault="00C502D1" w:rsidP="000C6143">
            <w:pPr>
              <w:pStyle w:val="Zkladntext"/>
              <w:numPr>
                <w:ilvl w:val="0"/>
                <w:numId w:val="5"/>
              </w:numPr>
              <w:tabs>
                <w:tab w:val="clear" w:pos="360"/>
              </w:tabs>
              <w:ind w:left="253" w:hanging="253"/>
              <w:rPr>
                <w:b/>
                <w:bCs/>
              </w:rPr>
            </w:pPr>
            <w:r w:rsidRPr="003654BD">
              <w:rPr>
                <w:b/>
                <w:bCs/>
              </w:rPr>
              <w:t>transakcie s materskými a sesterskými podnikmi:</w:t>
            </w:r>
          </w:p>
          <w:p w14:paraId="560300CF" w14:textId="77777777" w:rsidR="00C502D1" w:rsidRPr="003654BD" w:rsidRDefault="00C502D1" w:rsidP="00C502D1">
            <w:pPr>
              <w:pStyle w:val="Zkladntext"/>
              <w:tabs>
                <w:tab w:val="left" w:pos="851"/>
              </w:tabs>
              <w:ind w:left="0"/>
            </w:pPr>
          </w:p>
        </w:tc>
        <w:tc>
          <w:tcPr>
            <w:tcW w:w="425" w:type="dxa"/>
          </w:tcPr>
          <w:p w14:paraId="560300D0" w14:textId="77777777" w:rsidR="00C502D1" w:rsidRPr="005D5588" w:rsidRDefault="00C502D1" w:rsidP="00C502D1">
            <w:pPr>
              <w:pStyle w:val="Tabulka"/>
              <w:jc w:val="center"/>
              <w:rPr>
                <w:b/>
              </w:rPr>
            </w:pPr>
            <w:r w:rsidRPr="005D5588">
              <w:rPr>
                <w:b/>
              </w:rPr>
              <w:t>Kód</w:t>
            </w:r>
          </w:p>
        </w:tc>
        <w:tc>
          <w:tcPr>
            <w:tcW w:w="1246" w:type="dxa"/>
            <w:tcBorders>
              <w:bottom w:val="single" w:sz="4" w:space="0" w:color="auto"/>
            </w:tcBorders>
          </w:tcPr>
          <w:p w14:paraId="560300D1" w14:textId="25F7718A" w:rsidR="00C502D1" w:rsidRPr="005D5588" w:rsidRDefault="00C502D1" w:rsidP="00C502D1">
            <w:pPr>
              <w:pStyle w:val="Tabulka"/>
              <w:jc w:val="center"/>
              <w:rPr>
                <w:b/>
              </w:rPr>
            </w:pPr>
            <w:r w:rsidRPr="005D5588">
              <w:rPr>
                <w:b/>
              </w:rPr>
              <w:t>201</w:t>
            </w:r>
            <w:r w:rsidR="00532039" w:rsidRPr="005D5588">
              <w:rPr>
                <w:b/>
              </w:rPr>
              <w:t>8</w:t>
            </w:r>
          </w:p>
          <w:p w14:paraId="560300D2" w14:textId="77777777" w:rsidR="00C502D1" w:rsidRPr="005D5588" w:rsidRDefault="00C502D1" w:rsidP="00C502D1">
            <w:pPr>
              <w:pStyle w:val="Tabulka"/>
              <w:jc w:val="center"/>
              <w:rPr>
                <w:b/>
              </w:rPr>
            </w:pPr>
            <w:r w:rsidRPr="005D5588">
              <w:rPr>
                <w:b/>
              </w:rPr>
              <w:t>EUR</w:t>
            </w:r>
          </w:p>
        </w:tc>
        <w:tc>
          <w:tcPr>
            <w:tcW w:w="90" w:type="dxa"/>
            <w:tcBorders>
              <w:bottom w:val="single" w:sz="4" w:space="0" w:color="auto"/>
            </w:tcBorders>
          </w:tcPr>
          <w:p w14:paraId="560300D3" w14:textId="77777777" w:rsidR="00C502D1" w:rsidRPr="005D5588" w:rsidRDefault="00C502D1" w:rsidP="00C502D1">
            <w:pPr>
              <w:pStyle w:val="Tabulka"/>
              <w:jc w:val="center"/>
              <w:rPr>
                <w:b/>
              </w:rPr>
            </w:pPr>
          </w:p>
        </w:tc>
        <w:tc>
          <w:tcPr>
            <w:tcW w:w="1468" w:type="dxa"/>
            <w:tcBorders>
              <w:bottom w:val="single" w:sz="4" w:space="0" w:color="auto"/>
            </w:tcBorders>
          </w:tcPr>
          <w:p w14:paraId="7AED6280" w14:textId="39B22D93" w:rsidR="00C502D1" w:rsidRPr="005D5588" w:rsidRDefault="00C502D1" w:rsidP="00C502D1">
            <w:pPr>
              <w:pStyle w:val="Tabulka"/>
              <w:jc w:val="center"/>
              <w:rPr>
                <w:b/>
              </w:rPr>
            </w:pPr>
            <w:r w:rsidRPr="005D5588">
              <w:rPr>
                <w:b/>
              </w:rPr>
              <w:t>201</w:t>
            </w:r>
            <w:r w:rsidR="00532039" w:rsidRPr="005D5588">
              <w:rPr>
                <w:b/>
              </w:rPr>
              <w:t>7</w:t>
            </w:r>
          </w:p>
          <w:p w14:paraId="560300D5" w14:textId="7FE8BBBC" w:rsidR="00C502D1" w:rsidRPr="005D5588" w:rsidRDefault="00C502D1" w:rsidP="00C502D1">
            <w:pPr>
              <w:pStyle w:val="Tabulka"/>
              <w:jc w:val="center"/>
              <w:rPr>
                <w:b/>
              </w:rPr>
            </w:pPr>
            <w:r w:rsidRPr="005D5588">
              <w:rPr>
                <w:b/>
              </w:rPr>
              <w:t>EUR</w:t>
            </w:r>
          </w:p>
        </w:tc>
      </w:tr>
      <w:tr w:rsidR="00C502D1" w:rsidRPr="003654BD" w14:paraId="560300DC" w14:textId="77777777" w:rsidTr="008C737E">
        <w:trPr>
          <w:trHeight w:val="250"/>
        </w:trPr>
        <w:tc>
          <w:tcPr>
            <w:tcW w:w="4819" w:type="dxa"/>
          </w:tcPr>
          <w:p w14:paraId="560300D7" w14:textId="015A7A6F" w:rsidR="00C502D1" w:rsidRPr="003654BD" w:rsidRDefault="005E303F" w:rsidP="00532039">
            <w:pPr>
              <w:pStyle w:val="Tabulka"/>
            </w:pPr>
            <w:r>
              <w:t>čerpanie</w:t>
            </w:r>
            <w:r w:rsidR="00C502D1" w:rsidRPr="003654BD">
              <w:t xml:space="preserve"> pôžičiek (materská spoločnosť</w:t>
            </w:r>
            <w:r w:rsidR="001E223E">
              <w:t xml:space="preserve"> ENDL+K od 11.1</w:t>
            </w:r>
            <w:r w:rsidR="005D5588">
              <w:t>.2018</w:t>
            </w:r>
            <w:r w:rsidR="00C502D1" w:rsidRPr="003654BD">
              <w:t>)</w:t>
            </w:r>
          </w:p>
        </w:tc>
        <w:tc>
          <w:tcPr>
            <w:tcW w:w="425" w:type="dxa"/>
          </w:tcPr>
          <w:p w14:paraId="560300D8" w14:textId="77777777" w:rsidR="00C502D1" w:rsidRPr="003654BD" w:rsidRDefault="00C502D1" w:rsidP="00C502D1">
            <w:pPr>
              <w:pStyle w:val="Tabulka"/>
              <w:jc w:val="right"/>
            </w:pPr>
            <w:r w:rsidRPr="003654BD">
              <w:t>08</w:t>
            </w:r>
          </w:p>
        </w:tc>
        <w:tc>
          <w:tcPr>
            <w:tcW w:w="1246" w:type="dxa"/>
            <w:tcBorders>
              <w:top w:val="single" w:sz="4" w:space="0" w:color="auto"/>
            </w:tcBorders>
          </w:tcPr>
          <w:p w14:paraId="560300D9" w14:textId="69D56601" w:rsidR="00C502D1" w:rsidRPr="003654BD" w:rsidRDefault="00D10608" w:rsidP="00D10608">
            <w:pPr>
              <w:pStyle w:val="Tabulka"/>
              <w:jc w:val="right"/>
            </w:pPr>
            <w:r>
              <w:t>1</w:t>
            </w:r>
            <w:r w:rsidR="005E303F">
              <w:t xml:space="preserve"> 000 000</w:t>
            </w:r>
          </w:p>
        </w:tc>
        <w:tc>
          <w:tcPr>
            <w:tcW w:w="90" w:type="dxa"/>
            <w:tcBorders>
              <w:top w:val="single" w:sz="4" w:space="0" w:color="auto"/>
            </w:tcBorders>
          </w:tcPr>
          <w:p w14:paraId="560300DA" w14:textId="77777777" w:rsidR="00C502D1" w:rsidRPr="003654BD" w:rsidRDefault="00C502D1" w:rsidP="00C502D1">
            <w:pPr>
              <w:pStyle w:val="Tabulka"/>
              <w:jc w:val="right"/>
            </w:pPr>
          </w:p>
        </w:tc>
        <w:tc>
          <w:tcPr>
            <w:tcW w:w="1468" w:type="dxa"/>
            <w:tcBorders>
              <w:top w:val="single" w:sz="4" w:space="0" w:color="auto"/>
            </w:tcBorders>
          </w:tcPr>
          <w:p w14:paraId="560300DB" w14:textId="6B66E409" w:rsidR="00C502D1" w:rsidRPr="003654BD" w:rsidRDefault="001E223E" w:rsidP="005E303F">
            <w:pPr>
              <w:pStyle w:val="Tabulka"/>
              <w:jc w:val="right"/>
            </w:pPr>
            <w:r>
              <w:t>0</w:t>
            </w:r>
          </w:p>
        </w:tc>
      </w:tr>
      <w:tr w:rsidR="00C502D1" w:rsidRPr="003654BD" w14:paraId="560300E2" w14:textId="77777777" w:rsidTr="008C737E">
        <w:trPr>
          <w:trHeight w:val="250"/>
        </w:trPr>
        <w:tc>
          <w:tcPr>
            <w:tcW w:w="4819" w:type="dxa"/>
          </w:tcPr>
          <w:p w14:paraId="560300DD" w14:textId="5444FAF1" w:rsidR="00C502D1" w:rsidRPr="003654BD" w:rsidRDefault="00C502D1" w:rsidP="00532039">
            <w:pPr>
              <w:pStyle w:val="Tabulka"/>
            </w:pPr>
            <w:r w:rsidRPr="003654BD">
              <w:t>splácanie pôžičiek (materská spoločnosť)</w:t>
            </w:r>
          </w:p>
        </w:tc>
        <w:tc>
          <w:tcPr>
            <w:tcW w:w="425" w:type="dxa"/>
          </w:tcPr>
          <w:p w14:paraId="560300DE" w14:textId="77777777" w:rsidR="00C502D1" w:rsidRPr="003654BD" w:rsidRDefault="00C502D1" w:rsidP="00C502D1">
            <w:pPr>
              <w:pStyle w:val="Tabulka"/>
              <w:jc w:val="right"/>
            </w:pPr>
            <w:r w:rsidRPr="003654BD">
              <w:t>08</w:t>
            </w:r>
          </w:p>
        </w:tc>
        <w:tc>
          <w:tcPr>
            <w:tcW w:w="1246" w:type="dxa"/>
          </w:tcPr>
          <w:p w14:paraId="560300DF" w14:textId="3499B74D" w:rsidR="00C502D1" w:rsidRPr="003654BD" w:rsidRDefault="005E303F" w:rsidP="00605C6D">
            <w:pPr>
              <w:pStyle w:val="Tabulka"/>
              <w:jc w:val="right"/>
            </w:pPr>
            <w:r>
              <w:t>0</w:t>
            </w:r>
          </w:p>
        </w:tc>
        <w:tc>
          <w:tcPr>
            <w:tcW w:w="90" w:type="dxa"/>
          </w:tcPr>
          <w:p w14:paraId="560300E0" w14:textId="77777777" w:rsidR="00C502D1" w:rsidRPr="003654BD" w:rsidRDefault="00C502D1" w:rsidP="00C502D1">
            <w:pPr>
              <w:pStyle w:val="Tabulka"/>
              <w:jc w:val="right"/>
            </w:pPr>
          </w:p>
        </w:tc>
        <w:tc>
          <w:tcPr>
            <w:tcW w:w="1468" w:type="dxa"/>
          </w:tcPr>
          <w:p w14:paraId="560300E1" w14:textId="6547224E" w:rsidR="00C502D1" w:rsidRPr="003654BD" w:rsidRDefault="001E223E" w:rsidP="00C502D1">
            <w:pPr>
              <w:pStyle w:val="Tabulka"/>
              <w:jc w:val="right"/>
            </w:pPr>
            <w:r>
              <w:t>0</w:t>
            </w:r>
          </w:p>
        </w:tc>
      </w:tr>
      <w:tr w:rsidR="00C502D1" w:rsidRPr="003654BD" w14:paraId="560300E8" w14:textId="77777777" w:rsidTr="008C737E">
        <w:trPr>
          <w:trHeight w:val="250"/>
        </w:trPr>
        <w:tc>
          <w:tcPr>
            <w:tcW w:w="4819" w:type="dxa"/>
          </w:tcPr>
          <w:p w14:paraId="560300E3" w14:textId="4D99371C" w:rsidR="00C502D1" w:rsidRPr="003654BD" w:rsidRDefault="00C502D1" w:rsidP="00C502D1">
            <w:pPr>
              <w:pStyle w:val="Tabulka"/>
            </w:pPr>
            <w:r w:rsidRPr="003654BD">
              <w:t>nákladové úroky k pôžičkám (materská spoločnosť)</w:t>
            </w:r>
          </w:p>
        </w:tc>
        <w:tc>
          <w:tcPr>
            <w:tcW w:w="425" w:type="dxa"/>
          </w:tcPr>
          <w:p w14:paraId="560300E4" w14:textId="77777777" w:rsidR="00C502D1" w:rsidRPr="003654BD" w:rsidRDefault="00C502D1" w:rsidP="00C502D1">
            <w:pPr>
              <w:pStyle w:val="Tabulka"/>
              <w:jc w:val="right"/>
            </w:pPr>
            <w:r w:rsidRPr="003654BD">
              <w:t>08</w:t>
            </w:r>
          </w:p>
        </w:tc>
        <w:tc>
          <w:tcPr>
            <w:tcW w:w="1246" w:type="dxa"/>
          </w:tcPr>
          <w:p w14:paraId="560300E5" w14:textId="0819D5F9" w:rsidR="00C502D1" w:rsidRPr="003654BD" w:rsidRDefault="005E303F" w:rsidP="00C502D1">
            <w:pPr>
              <w:pStyle w:val="Tabulka"/>
              <w:jc w:val="right"/>
            </w:pPr>
            <w:r>
              <w:t>0</w:t>
            </w:r>
          </w:p>
        </w:tc>
        <w:tc>
          <w:tcPr>
            <w:tcW w:w="90" w:type="dxa"/>
          </w:tcPr>
          <w:p w14:paraId="560300E6" w14:textId="77777777" w:rsidR="00C502D1" w:rsidRPr="003654BD" w:rsidRDefault="00C502D1" w:rsidP="00C502D1">
            <w:pPr>
              <w:pStyle w:val="Tabulka"/>
              <w:jc w:val="right"/>
            </w:pPr>
          </w:p>
        </w:tc>
        <w:tc>
          <w:tcPr>
            <w:tcW w:w="1468" w:type="dxa"/>
          </w:tcPr>
          <w:p w14:paraId="560300E7" w14:textId="029AB3EA" w:rsidR="00C502D1" w:rsidRPr="003654BD" w:rsidRDefault="001E223E" w:rsidP="00C502D1">
            <w:pPr>
              <w:pStyle w:val="Tabulka"/>
              <w:jc w:val="right"/>
            </w:pPr>
            <w:r>
              <w:t>0</w:t>
            </w:r>
          </w:p>
        </w:tc>
      </w:tr>
      <w:tr w:rsidR="00C502D1" w:rsidRPr="003654BD" w14:paraId="560300EE" w14:textId="77777777" w:rsidTr="008C737E">
        <w:trPr>
          <w:trHeight w:val="250"/>
        </w:trPr>
        <w:tc>
          <w:tcPr>
            <w:tcW w:w="4819" w:type="dxa"/>
          </w:tcPr>
          <w:p w14:paraId="560300E9" w14:textId="68B2D732" w:rsidR="00C502D1" w:rsidRPr="003654BD" w:rsidRDefault="00C502D1" w:rsidP="00852A5C">
            <w:pPr>
              <w:pStyle w:val="Tabulka"/>
            </w:pPr>
            <w:r w:rsidRPr="003654BD">
              <w:t>nákup materiálov</w:t>
            </w:r>
            <w:r w:rsidR="00852A5C">
              <w:t xml:space="preserve">, </w:t>
            </w:r>
            <w:r w:rsidRPr="003654BD">
              <w:t>tovarov</w:t>
            </w:r>
            <w:r w:rsidR="00852A5C">
              <w:t xml:space="preserve"> a dlhodobého hmotného majetku</w:t>
            </w:r>
          </w:p>
        </w:tc>
        <w:tc>
          <w:tcPr>
            <w:tcW w:w="425" w:type="dxa"/>
          </w:tcPr>
          <w:p w14:paraId="560300EA" w14:textId="77777777" w:rsidR="00C502D1" w:rsidRPr="003654BD" w:rsidRDefault="00C502D1" w:rsidP="00C502D1">
            <w:pPr>
              <w:pStyle w:val="Tabulka"/>
              <w:jc w:val="right"/>
            </w:pPr>
            <w:r w:rsidRPr="003654BD">
              <w:t>01</w:t>
            </w:r>
          </w:p>
        </w:tc>
        <w:tc>
          <w:tcPr>
            <w:tcW w:w="1246" w:type="dxa"/>
          </w:tcPr>
          <w:p w14:paraId="560300EB" w14:textId="3F2D249C" w:rsidR="00C502D1" w:rsidRPr="003654BD" w:rsidRDefault="005E303F" w:rsidP="005B3B25">
            <w:pPr>
              <w:pStyle w:val="Tabulka"/>
              <w:jc w:val="right"/>
            </w:pPr>
            <w:r>
              <w:t>0</w:t>
            </w:r>
          </w:p>
        </w:tc>
        <w:tc>
          <w:tcPr>
            <w:tcW w:w="90" w:type="dxa"/>
          </w:tcPr>
          <w:p w14:paraId="560300EC" w14:textId="77777777" w:rsidR="00C502D1" w:rsidRPr="003654BD" w:rsidRDefault="00C502D1" w:rsidP="00C502D1">
            <w:pPr>
              <w:pStyle w:val="Tabulka"/>
              <w:jc w:val="right"/>
            </w:pPr>
          </w:p>
        </w:tc>
        <w:tc>
          <w:tcPr>
            <w:tcW w:w="1468" w:type="dxa"/>
          </w:tcPr>
          <w:p w14:paraId="560300ED" w14:textId="03F4CCB0" w:rsidR="00C502D1" w:rsidRPr="003654BD" w:rsidRDefault="001E223E" w:rsidP="00C502D1">
            <w:pPr>
              <w:pStyle w:val="Tabulka"/>
              <w:jc w:val="right"/>
            </w:pPr>
            <w:r>
              <w:t>0</w:t>
            </w:r>
          </w:p>
        </w:tc>
      </w:tr>
      <w:tr w:rsidR="00C502D1" w:rsidRPr="003654BD" w14:paraId="560300F4" w14:textId="77777777" w:rsidTr="008C737E">
        <w:trPr>
          <w:trHeight w:val="250"/>
        </w:trPr>
        <w:tc>
          <w:tcPr>
            <w:tcW w:w="4819" w:type="dxa"/>
          </w:tcPr>
          <w:p w14:paraId="560300EF" w14:textId="445F3F17" w:rsidR="00C502D1" w:rsidRPr="003654BD" w:rsidRDefault="00C502D1" w:rsidP="00C502D1">
            <w:pPr>
              <w:pStyle w:val="Tabulka"/>
            </w:pPr>
            <w:r w:rsidRPr="003654BD">
              <w:t>nákup služieb</w:t>
            </w:r>
          </w:p>
        </w:tc>
        <w:tc>
          <w:tcPr>
            <w:tcW w:w="425" w:type="dxa"/>
          </w:tcPr>
          <w:p w14:paraId="560300F0" w14:textId="77777777" w:rsidR="00C502D1" w:rsidRPr="003654BD" w:rsidRDefault="00C502D1" w:rsidP="00C502D1">
            <w:pPr>
              <w:pStyle w:val="Tabulka"/>
              <w:jc w:val="right"/>
            </w:pPr>
            <w:r w:rsidRPr="003654BD">
              <w:t>01</w:t>
            </w:r>
          </w:p>
        </w:tc>
        <w:tc>
          <w:tcPr>
            <w:tcW w:w="1246" w:type="dxa"/>
          </w:tcPr>
          <w:p w14:paraId="560300F1" w14:textId="41E23855" w:rsidR="00C502D1" w:rsidRPr="003654BD" w:rsidRDefault="005E303F" w:rsidP="00C502D1">
            <w:pPr>
              <w:pStyle w:val="Tabulka"/>
              <w:jc w:val="right"/>
            </w:pPr>
            <w:r>
              <w:t>0</w:t>
            </w:r>
          </w:p>
        </w:tc>
        <w:tc>
          <w:tcPr>
            <w:tcW w:w="90" w:type="dxa"/>
          </w:tcPr>
          <w:p w14:paraId="560300F2" w14:textId="77777777" w:rsidR="00C502D1" w:rsidRPr="003654BD" w:rsidRDefault="00C502D1" w:rsidP="00C502D1">
            <w:pPr>
              <w:pStyle w:val="Tabulka"/>
              <w:jc w:val="right"/>
            </w:pPr>
          </w:p>
        </w:tc>
        <w:tc>
          <w:tcPr>
            <w:tcW w:w="1468" w:type="dxa"/>
          </w:tcPr>
          <w:p w14:paraId="560300F3" w14:textId="615D23A6" w:rsidR="00C502D1" w:rsidRPr="003654BD" w:rsidRDefault="001E223E" w:rsidP="00C502D1">
            <w:pPr>
              <w:pStyle w:val="Tabulka"/>
              <w:jc w:val="right"/>
            </w:pPr>
            <w:r>
              <w:t>0</w:t>
            </w:r>
          </w:p>
        </w:tc>
      </w:tr>
      <w:tr w:rsidR="00C502D1" w:rsidRPr="003654BD" w14:paraId="560300FA" w14:textId="77777777" w:rsidTr="008C737E">
        <w:trPr>
          <w:trHeight w:val="250"/>
        </w:trPr>
        <w:tc>
          <w:tcPr>
            <w:tcW w:w="4819" w:type="dxa"/>
          </w:tcPr>
          <w:p w14:paraId="560300F5" w14:textId="77777777" w:rsidR="00C502D1" w:rsidRPr="003654BD" w:rsidRDefault="00C502D1" w:rsidP="00C502D1">
            <w:pPr>
              <w:pStyle w:val="Tabulka"/>
            </w:pPr>
            <w:r w:rsidRPr="003654BD">
              <w:t xml:space="preserve">predaj tovaru </w:t>
            </w:r>
          </w:p>
        </w:tc>
        <w:tc>
          <w:tcPr>
            <w:tcW w:w="425" w:type="dxa"/>
          </w:tcPr>
          <w:p w14:paraId="560300F6" w14:textId="77777777" w:rsidR="00C502D1" w:rsidRPr="003654BD" w:rsidRDefault="00C502D1" w:rsidP="00C502D1">
            <w:pPr>
              <w:pStyle w:val="Tabulka"/>
              <w:jc w:val="right"/>
            </w:pPr>
            <w:r w:rsidRPr="003654BD">
              <w:t>02</w:t>
            </w:r>
          </w:p>
        </w:tc>
        <w:tc>
          <w:tcPr>
            <w:tcW w:w="1246" w:type="dxa"/>
          </w:tcPr>
          <w:p w14:paraId="560300F7" w14:textId="1E97EF8B" w:rsidR="00C502D1" w:rsidRPr="003654BD" w:rsidRDefault="005E303F" w:rsidP="00C502D1">
            <w:pPr>
              <w:pStyle w:val="Tabulka"/>
              <w:jc w:val="right"/>
            </w:pPr>
            <w:r>
              <w:t>0</w:t>
            </w:r>
          </w:p>
        </w:tc>
        <w:tc>
          <w:tcPr>
            <w:tcW w:w="90" w:type="dxa"/>
          </w:tcPr>
          <w:p w14:paraId="560300F8" w14:textId="77777777" w:rsidR="00C502D1" w:rsidRPr="003654BD" w:rsidRDefault="00C502D1" w:rsidP="00C502D1">
            <w:pPr>
              <w:pStyle w:val="Tabulka"/>
              <w:jc w:val="right"/>
            </w:pPr>
          </w:p>
        </w:tc>
        <w:tc>
          <w:tcPr>
            <w:tcW w:w="1468" w:type="dxa"/>
          </w:tcPr>
          <w:p w14:paraId="560300F9" w14:textId="4D2D927A" w:rsidR="00C502D1" w:rsidRPr="003654BD" w:rsidRDefault="001E223E" w:rsidP="00C502D1">
            <w:pPr>
              <w:pStyle w:val="Tabulka"/>
              <w:jc w:val="right"/>
            </w:pPr>
            <w:r>
              <w:t>0</w:t>
            </w:r>
          </w:p>
        </w:tc>
      </w:tr>
      <w:tr w:rsidR="00C502D1" w:rsidRPr="003654BD" w14:paraId="56030100" w14:textId="77777777" w:rsidTr="008C737E">
        <w:trPr>
          <w:trHeight w:val="250"/>
        </w:trPr>
        <w:tc>
          <w:tcPr>
            <w:tcW w:w="4819" w:type="dxa"/>
          </w:tcPr>
          <w:p w14:paraId="560300FB" w14:textId="77777777" w:rsidR="00C502D1" w:rsidRPr="003654BD" w:rsidRDefault="00C502D1" w:rsidP="00C502D1">
            <w:pPr>
              <w:pStyle w:val="Tabulka"/>
            </w:pPr>
            <w:r w:rsidRPr="003654BD">
              <w:t>predaj výrobkov</w:t>
            </w:r>
          </w:p>
        </w:tc>
        <w:tc>
          <w:tcPr>
            <w:tcW w:w="425" w:type="dxa"/>
          </w:tcPr>
          <w:p w14:paraId="560300FC" w14:textId="77777777" w:rsidR="00C502D1" w:rsidRPr="003654BD" w:rsidRDefault="00C502D1" w:rsidP="00C502D1">
            <w:pPr>
              <w:pStyle w:val="Tabulka"/>
              <w:jc w:val="right"/>
            </w:pPr>
            <w:r w:rsidRPr="003654BD">
              <w:t>02</w:t>
            </w:r>
          </w:p>
        </w:tc>
        <w:tc>
          <w:tcPr>
            <w:tcW w:w="1246" w:type="dxa"/>
          </w:tcPr>
          <w:p w14:paraId="560300FD" w14:textId="45CD7918" w:rsidR="00C502D1" w:rsidRPr="003654BD" w:rsidRDefault="005E303F" w:rsidP="00731579">
            <w:pPr>
              <w:pStyle w:val="Tabulka"/>
              <w:jc w:val="right"/>
            </w:pPr>
            <w:r>
              <w:t>0</w:t>
            </w:r>
          </w:p>
        </w:tc>
        <w:tc>
          <w:tcPr>
            <w:tcW w:w="90" w:type="dxa"/>
          </w:tcPr>
          <w:p w14:paraId="560300FE" w14:textId="77777777" w:rsidR="00C502D1" w:rsidRPr="003654BD" w:rsidRDefault="00C502D1" w:rsidP="00C502D1">
            <w:pPr>
              <w:pStyle w:val="Tabulka"/>
              <w:jc w:val="right"/>
            </w:pPr>
          </w:p>
        </w:tc>
        <w:tc>
          <w:tcPr>
            <w:tcW w:w="1468" w:type="dxa"/>
          </w:tcPr>
          <w:p w14:paraId="560300FF" w14:textId="6859348D" w:rsidR="00C502D1" w:rsidRPr="003654BD" w:rsidRDefault="001E223E" w:rsidP="00C502D1">
            <w:pPr>
              <w:pStyle w:val="Tabulka"/>
              <w:jc w:val="right"/>
            </w:pPr>
            <w:r>
              <w:t>0</w:t>
            </w:r>
          </w:p>
        </w:tc>
      </w:tr>
      <w:tr w:rsidR="00C502D1" w:rsidRPr="003654BD" w14:paraId="56030106" w14:textId="77777777" w:rsidTr="008C737E">
        <w:trPr>
          <w:trHeight w:val="250"/>
        </w:trPr>
        <w:tc>
          <w:tcPr>
            <w:tcW w:w="4819" w:type="dxa"/>
          </w:tcPr>
          <w:p w14:paraId="56030101" w14:textId="77777777" w:rsidR="00C502D1" w:rsidRPr="003654BD" w:rsidRDefault="00C502D1" w:rsidP="00C502D1">
            <w:pPr>
              <w:pStyle w:val="Tabulka"/>
            </w:pPr>
            <w:r w:rsidRPr="003654BD">
              <w:t>predaj materiálu</w:t>
            </w:r>
          </w:p>
        </w:tc>
        <w:tc>
          <w:tcPr>
            <w:tcW w:w="425" w:type="dxa"/>
          </w:tcPr>
          <w:p w14:paraId="56030102" w14:textId="77777777" w:rsidR="00C502D1" w:rsidRPr="003654BD" w:rsidRDefault="00C502D1" w:rsidP="00C502D1">
            <w:pPr>
              <w:pStyle w:val="Tabulka"/>
              <w:jc w:val="right"/>
            </w:pPr>
            <w:r w:rsidRPr="003654BD">
              <w:t>02</w:t>
            </w:r>
          </w:p>
        </w:tc>
        <w:tc>
          <w:tcPr>
            <w:tcW w:w="1246" w:type="dxa"/>
          </w:tcPr>
          <w:p w14:paraId="56030103" w14:textId="76AB6023" w:rsidR="00C502D1" w:rsidRPr="003654BD" w:rsidRDefault="005E303F" w:rsidP="00C502D1">
            <w:pPr>
              <w:pStyle w:val="Tabulka"/>
              <w:jc w:val="right"/>
            </w:pPr>
            <w:r>
              <w:t>0</w:t>
            </w:r>
          </w:p>
        </w:tc>
        <w:tc>
          <w:tcPr>
            <w:tcW w:w="90" w:type="dxa"/>
          </w:tcPr>
          <w:p w14:paraId="56030104" w14:textId="77777777" w:rsidR="00C502D1" w:rsidRPr="003654BD" w:rsidRDefault="00C502D1" w:rsidP="00C502D1">
            <w:pPr>
              <w:pStyle w:val="Tabulka"/>
              <w:jc w:val="right"/>
            </w:pPr>
          </w:p>
        </w:tc>
        <w:tc>
          <w:tcPr>
            <w:tcW w:w="1468" w:type="dxa"/>
          </w:tcPr>
          <w:p w14:paraId="56030105" w14:textId="4141E415" w:rsidR="00C502D1" w:rsidRPr="003654BD" w:rsidRDefault="001E223E" w:rsidP="00C502D1">
            <w:pPr>
              <w:pStyle w:val="Tabulka"/>
              <w:jc w:val="right"/>
            </w:pPr>
            <w:r>
              <w:t>0</w:t>
            </w:r>
          </w:p>
        </w:tc>
      </w:tr>
      <w:tr w:rsidR="00C502D1" w:rsidRPr="003654BD" w14:paraId="5603010C" w14:textId="77777777" w:rsidTr="008C737E">
        <w:trPr>
          <w:trHeight w:val="250"/>
        </w:trPr>
        <w:tc>
          <w:tcPr>
            <w:tcW w:w="4819" w:type="dxa"/>
          </w:tcPr>
          <w:p w14:paraId="56030107" w14:textId="77777777" w:rsidR="00C502D1" w:rsidRPr="003654BD" w:rsidRDefault="00C502D1" w:rsidP="00C502D1">
            <w:pPr>
              <w:pStyle w:val="Tabulka"/>
            </w:pPr>
            <w:r>
              <w:t>predaj služieb</w:t>
            </w:r>
          </w:p>
        </w:tc>
        <w:tc>
          <w:tcPr>
            <w:tcW w:w="425" w:type="dxa"/>
          </w:tcPr>
          <w:p w14:paraId="56030108" w14:textId="77777777" w:rsidR="00C502D1" w:rsidRPr="003654BD" w:rsidRDefault="00C502D1" w:rsidP="00C502D1">
            <w:pPr>
              <w:pStyle w:val="Tabulka"/>
              <w:jc w:val="right"/>
            </w:pPr>
            <w:r>
              <w:t>03</w:t>
            </w:r>
          </w:p>
        </w:tc>
        <w:tc>
          <w:tcPr>
            <w:tcW w:w="1246" w:type="dxa"/>
          </w:tcPr>
          <w:p w14:paraId="56030109" w14:textId="2794176D" w:rsidR="00C502D1" w:rsidRPr="003654BD" w:rsidRDefault="005E303F" w:rsidP="00C502D1">
            <w:pPr>
              <w:pStyle w:val="Tabulka"/>
              <w:jc w:val="right"/>
            </w:pPr>
            <w:r>
              <w:t>0</w:t>
            </w:r>
          </w:p>
        </w:tc>
        <w:tc>
          <w:tcPr>
            <w:tcW w:w="90" w:type="dxa"/>
          </w:tcPr>
          <w:p w14:paraId="5603010A" w14:textId="77777777" w:rsidR="00C502D1" w:rsidRPr="003654BD" w:rsidRDefault="00C502D1" w:rsidP="00C502D1">
            <w:pPr>
              <w:pStyle w:val="Tabulka"/>
              <w:jc w:val="right"/>
            </w:pPr>
          </w:p>
        </w:tc>
        <w:tc>
          <w:tcPr>
            <w:tcW w:w="1468" w:type="dxa"/>
          </w:tcPr>
          <w:p w14:paraId="5603010B" w14:textId="17D7D1D3" w:rsidR="00C502D1" w:rsidRPr="003654BD" w:rsidRDefault="001E223E" w:rsidP="00C502D1">
            <w:pPr>
              <w:pStyle w:val="Tabulka"/>
              <w:jc w:val="right"/>
            </w:pPr>
            <w:r>
              <w:t>0</w:t>
            </w:r>
          </w:p>
        </w:tc>
      </w:tr>
      <w:tr w:rsidR="008C737E" w:rsidRPr="003654BD" w14:paraId="56030112" w14:textId="77777777" w:rsidTr="008C737E">
        <w:trPr>
          <w:trHeight w:val="250"/>
        </w:trPr>
        <w:tc>
          <w:tcPr>
            <w:tcW w:w="4819" w:type="dxa"/>
          </w:tcPr>
          <w:p w14:paraId="6A3D1B28" w14:textId="3FF31D95" w:rsidR="008C737E" w:rsidRDefault="001E223E">
            <w:pPr>
              <w:pStyle w:val="Tabulka"/>
            </w:pPr>
            <w:proofErr w:type="spellStart"/>
            <w:r>
              <w:t>Ostatné-post.pohledávky,p</w:t>
            </w:r>
            <w:r w:rsidR="0089441D">
              <w:t>r</w:t>
            </w:r>
            <w:r>
              <w:t>evzet</w:t>
            </w:r>
            <w:r w:rsidR="0089441D">
              <w:t>ie</w:t>
            </w:r>
            <w:proofErr w:type="spellEnd"/>
            <w:r>
              <w:t xml:space="preserve"> </w:t>
            </w:r>
            <w:proofErr w:type="spellStart"/>
            <w:r>
              <w:t>dluhu</w:t>
            </w:r>
            <w:proofErr w:type="spellEnd"/>
            <w:r>
              <w:t xml:space="preserve"> </w:t>
            </w:r>
            <w:proofErr w:type="spellStart"/>
            <w:r>
              <w:t>Basilaris</w:t>
            </w:r>
            <w:proofErr w:type="spellEnd"/>
          </w:p>
          <w:p w14:paraId="5603010D" w14:textId="46CAB98C" w:rsidR="001E223E" w:rsidRPr="003654BD" w:rsidRDefault="001E223E">
            <w:pPr>
              <w:pStyle w:val="Tabulka"/>
            </w:pPr>
          </w:p>
        </w:tc>
        <w:tc>
          <w:tcPr>
            <w:tcW w:w="425" w:type="dxa"/>
          </w:tcPr>
          <w:p w14:paraId="5603010E" w14:textId="698DB1F0" w:rsidR="008C737E" w:rsidRPr="003654BD" w:rsidRDefault="001E223E" w:rsidP="009A501D">
            <w:pPr>
              <w:pStyle w:val="Tabulka"/>
              <w:jc w:val="right"/>
            </w:pPr>
            <w:r>
              <w:t>11</w:t>
            </w:r>
          </w:p>
        </w:tc>
        <w:tc>
          <w:tcPr>
            <w:tcW w:w="1246" w:type="dxa"/>
          </w:tcPr>
          <w:p w14:paraId="5603010F" w14:textId="7BF04356" w:rsidR="008C737E" w:rsidRPr="003654BD" w:rsidRDefault="001E223E" w:rsidP="009A501D">
            <w:pPr>
              <w:pStyle w:val="Tabulka"/>
              <w:jc w:val="right"/>
            </w:pPr>
            <w:r>
              <w:t>0</w:t>
            </w:r>
          </w:p>
        </w:tc>
        <w:tc>
          <w:tcPr>
            <w:tcW w:w="90" w:type="dxa"/>
          </w:tcPr>
          <w:p w14:paraId="56030110" w14:textId="77777777" w:rsidR="008C737E" w:rsidRPr="003654BD" w:rsidRDefault="008C737E" w:rsidP="009A501D">
            <w:pPr>
              <w:pStyle w:val="Tabulka"/>
              <w:jc w:val="right"/>
            </w:pPr>
          </w:p>
        </w:tc>
        <w:tc>
          <w:tcPr>
            <w:tcW w:w="1468" w:type="dxa"/>
          </w:tcPr>
          <w:p w14:paraId="56030111" w14:textId="3F1737E2" w:rsidR="008C737E" w:rsidRPr="003654BD" w:rsidRDefault="001E223E" w:rsidP="009A501D">
            <w:pPr>
              <w:pStyle w:val="Tabulka"/>
              <w:jc w:val="right"/>
            </w:pPr>
            <w:r>
              <w:t>391 619</w:t>
            </w:r>
          </w:p>
        </w:tc>
      </w:tr>
    </w:tbl>
    <w:p w14:paraId="56030113" w14:textId="3E9FD058" w:rsidR="008C288C" w:rsidRDefault="008C288C" w:rsidP="0089030F">
      <w:pPr>
        <w:pStyle w:val="Zkladntext"/>
        <w:keepNext/>
        <w:ind w:left="425"/>
        <w:rPr>
          <w:b/>
          <w:bCs/>
        </w:rPr>
      </w:pPr>
      <w:r w:rsidRPr="003654BD">
        <w:rPr>
          <w:b/>
          <w:bCs/>
        </w:rPr>
        <w:t xml:space="preserve">b) </w:t>
      </w:r>
      <w:r w:rsidR="00BF717E" w:rsidRPr="003654BD">
        <w:rPr>
          <w:b/>
          <w:bCs/>
        </w:rPr>
        <w:tab/>
      </w:r>
      <w:r w:rsidRPr="003654BD">
        <w:rPr>
          <w:b/>
          <w:bCs/>
        </w:rPr>
        <w:t>transakcie s</w:t>
      </w:r>
      <w:r w:rsidR="00F32197" w:rsidRPr="003654BD">
        <w:rPr>
          <w:b/>
          <w:bCs/>
        </w:rPr>
        <w:t xml:space="preserve">o </w:t>
      </w:r>
      <w:r w:rsidR="00DA5DCA" w:rsidRPr="003654BD">
        <w:rPr>
          <w:b/>
          <w:bCs/>
        </w:rPr>
        <w:t>spoločnosťou majetkovo prepojenou na majiteľov skupiny</w:t>
      </w:r>
      <w:r w:rsidRPr="003654BD">
        <w:rPr>
          <w:b/>
          <w:bCs/>
        </w:rPr>
        <w:t>:</w:t>
      </w:r>
    </w:p>
    <w:p w14:paraId="7970833B" w14:textId="7F35DBEB" w:rsidR="001E223E" w:rsidRDefault="001E223E" w:rsidP="0089030F">
      <w:pPr>
        <w:pStyle w:val="Zkladntext"/>
        <w:keepNext/>
        <w:ind w:left="425"/>
        <w:rPr>
          <w:b/>
          <w:bCs/>
        </w:rPr>
      </w:pPr>
      <w:r>
        <w:rPr>
          <w:b/>
          <w:bCs/>
        </w:rPr>
        <w:tab/>
      </w:r>
      <w:r>
        <w:rPr>
          <w:b/>
          <w:bCs/>
        </w:rPr>
        <w:tab/>
      </w:r>
      <w:r>
        <w:rPr>
          <w:b/>
          <w:bCs/>
        </w:rPr>
        <w:tab/>
      </w:r>
      <w:r>
        <w:rPr>
          <w:b/>
          <w:bCs/>
        </w:rPr>
        <w:tab/>
      </w:r>
      <w:r>
        <w:rPr>
          <w:b/>
          <w:bCs/>
        </w:rPr>
        <w:tab/>
      </w:r>
      <w:r>
        <w:rPr>
          <w:b/>
          <w:bCs/>
        </w:rPr>
        <w:tab/>
      </w:r>
      <w:r>
        <w:rPr>
          <w:b/>
          <w:bCs/>
        </w:rPr>
        <w:tab/>
      </w:r>
      <w:r>
        <w:rPr>
          <w:b/>
          <w:bCs/>
        </w:rPr>
        <w:tab/>
      </w:r>
    </w:p>
    <w:p w14:paraId="756F9104" w14:textId="3052C06A" w:rsidR="005D5588" w:rsidRDefault="001E223E" w:rsidP="005D5588">
      <w:pPr>
        <w:pStyle w:val="Zkladntext"/>
        <w:keepNext/>
        <w:ind w:left="425"/>
        <w:rPr>
          <w:b/>
          <w:bCs/>
        </w:rPr>
      </w:pPr>
      <w:r>
        <w:rPr>
          <w:b/>
          <w:bCs/>
        </w:rPr>
        <w:tab/>
      </w:r>
      <w:r>
        <w:rPr>
          <w:b/>
          <w:bCs/>
        </w:rPr>
        <w:tab/>
      </w:r>
      <w:r>
        <w:rPr>
          <w:b/>
          <w:bCs/>
        </w:rPr>
        <w:tab/>
      </w:r>
      <w:r>
        <w:rPr>
          <w:b/>
          <w:bCs/>
        </w:rPr>
        <w:tab/>
      </w:r>
      <w:r>
        <w:rPr>
          <w:b/>
          <w:bCs/>
        </w:rPr>
        <w:tab/>
      </w:r>
      <w:r>
        <w:rPr>
          <w:b/>
          <w:bCs/>
        </w:rPr>
        <w:tab/>
      </w:r>
      <w:r>
        <w:rPr>
          <w:b/>
          <w:bCs/>
        </w:rPr>
        <w:tab/>
        <w:t xml:space="preserve">     </w:t>
      </w:r>
      <w:r w:rsidRPr="001E223E">
        <w:rPr>
          <w:b/>
          <w:bCs/>
        </w:rPr>
        <w:t>Kód</w:t>
      </w:r>
      <w:r w:rsidRPr="001E223E">
        <w:rPr>
          <w:b/>
          <w:bCs/>
        </w:rPr>
        <w:tab/>
      </w:r>
      <w:r w:rsidR="005D5588">
        <w:rPr>
          <w:b/>
          <w:bCs/>
        </w:rPr>
        <w:t xml:space="preserve">         </w:t>
      </w:r>
      <w:r w:rsidRPr="001E223E">
        <w:rPr>
          <w:b/>
          <w:bCs/>
        </w:rPr>
        <w:t>2018</w:t>
      </w:r>
      <w:r w:rsidR="005D5588">
        <w:rPr>
          <w:b/>
          <w:bCs/>
        </w:rPr>
        <w:t xml:space="preserve">                       2</w:t>
      </w:r>
      <w:r w:rsidRPr="001E223E">
        <w:rPr>
          <w:b/>
          <w:bCs/>
        </w:rPr>
        <w:t>017</w:t>
      </w:r>
    </w:p>
    <w:p w14:paraId="481C1E63" w14:textId="77777777" w:rsidR="00793AFC" w:rsidRDefault="00793AFC" w:rsidP="005D5588">
      <w:pPr>
        <w:pStyle w:val="Zkladntext"/>
        <w:keepNext/>
        <w:ind w:left="425"/>
        <w:rPr>
          <w:b/>
          <w:bCs/>
        </w:rPr>
      </w:pPr>
    </w:p>
    <w:tbl>
      <w:tblPr>
        <w:tblW w:w="0" w:type="auto"/>
        <w:tblInd w:w="456" w:type="dxa"/>
        <w:tblCellMar>
          <w:left w:w="30" w:type="dxa"/>
          <w:right w:w="30" w:type="dxa"/>
        </w:tblCellMar>
        <w:tblLook w:val="0000" w:firstRow="0" w:lastRow="0" w:firstColumn="0" w:lastColumn="0" w:noHBand="0" w:noVBand="0"/>
      </w:tblPr>
      <w:tblGrid>
        <w:gridCol w:w="4819"/>
        <w:gridCol w:w="425"/>
        <w:gridCol w:w="1134"/>
        <w:gridCol w:w="151"/>
        <w:gridCol w:w="1475"/>
      </w:tblGrid>
      <w:tr w:rsidR="00D10608" w:rsidRPr="003654BD" w14:paraId="56030119" w14:textId="77777777" w:rsidTr="001E223E">
        <w:trPr>
          <w:trHeight w:val="250"/>
        </w:trPr>
        <w:tc>
          <w:tcPr>
            <w:tcW w:w="4819" w:type="dxa"/>
          </w:tcPr>
          <w:p w14:paraId="56030114" w14:textId="6F914C11" w:rsidR="00D10608" w:rsidRPr="003654BD" w:rsidRDefault="00D10608" w:rsidP="00D10608">
            <w:pPr>
              <w:pStyle w:val="Zkladntext"/>
              <w:keepNext/>
              <w:tabs>
                <w:tab w:val="left" w:pos="851"/>
              </w:tabs>
              <w:ind w:left="0"/>
            </w:pPr>
            <w:r>
              <w:t>čerpanie</w:t>
            </w:r>
            <w:r w:rsidRPr="003654BD">
              <w:t xml:space="preserve"> pôžičiek (</w:t>
            </w:r>
            <w:proofErr w:type="spellStart"/>
            <w:r w:rsidR="005D5588">
              <w:t>prop.spoľ</w:t>
            </w:r>
            <w:proofErr w:type="spellEnd"/>
            <w:r w:rsidR="005D5588">
              <w:t>.</w:t>
            </w:r>
            <w:r>
              <w:t xml:space="preserve"> ENDL+K do 10.1.2018)</w:t>
            </w:r>
          </w:p>
        </w:tc>
        <w:tc>
          <w:tcPr>
            <w:tcW w:w="425" w:type="dxa"/>
          </w:tcPr>
          <w:p w14:paraId="56030115" w14:textId="0B63E723" w:rsidR="00D10608" w:rsidRPr="003654BD" w:rsidRDefault="00D10608" w:rsidP="0089030F">
            <w:pPr>
              <w:pStyle w:val="Tabulka"/>
              <w:keepNext/>
              <w:jc w:val="right"/>
            </w:pPr>
          </w:p>
        </w:tc>
        <w:tc>
          <w:tcPr>
            <w:tcW w:w="1134" w:type="dxa"/>
          </w:tcPr>
          <w:p w14:paraId="56030116" w14:textId="12A6E789" w:rsidR="00D10608" w:rsidRPr="003654BD" w:rsidRDefault="00D10608" w:rsidP="0089030F">
            <w:pPr>
              <w:pStyle w:val="Tabulka"/>
              <w:keepNext/>
              <w:jc w:val="right"/>
            </w:pPr>
          </w:p>
        </w:tc>
        <w:tc>
          <w:tcPr>
            <w:tcW w:w="151" w:type="dxa"/>
          </w:tcPr>
          <w:p w14:paraId="56030117" w14:textId="77777777" w:rsidR="00D10608" w:rsidRPr="003654BD" w:rsidRDefault="00D10608" w:rsidP="0089030F">
            <w:pPr>
              <w:pStyle w:val="Tabulka"/>
              <w:keepNext/>
              <w:jc w:val="right"/>
            </w:pPr>
          </w:p>
        </w:tc>
        <w:tc>
          <w:tcPr>
            <w:tcW w:w="1475" w:type="dxa"/>
          </w:tcPr>
          <w:p w14:paraId="56030118" w14:textId="0802ADE2" w:rsidR="00D10608" w:rsidRPr="003654BD" w:rsidRDefault="00D10608" w:rsidP="001E223E">
            <w:pPr>
              <w:pStyle w:val="Tabulka"/>
              <w:keepNext/>
              <w:jc w:val="right"/>
            </w:pPr>
            <w:r>
              <w:t>2 000 000</w:t>
            </w:r>
          </w:p>
        </w:tc>
      </w:tr>
      <w:tr w:rsidR="00D10608" w:rsidRPr="003654BD" w14:paraId="6DBD3306" w14:textId="77777777" w:rsidTr="001E223E">
        <w:trPr>
          <w:trHeight w:val="250"/>
        </w:trPr>
        <w:tc>
          <w:tcPr>
            <w:tcW w:w="4819" w:type="dxa"/>
          </w:tcPr>
          <w:p w14:paraId="4E81CC1C" w14:textId="245F916B" w:rsidR="00D10608" w:rsidRDefault="00D10608" w:rsidP="001E223E">
            <w:pPr>
              <w:pStyle w:val="Zkladntext"/>
              <w:keepNext/>
              <w:tabs>
                <w:tab w:val="left" w:pos="851"/>
              </w:tabs>
              <w:ind w:left="0"/>
            </w:pPr>
            <w:proofErr w:type="spellStart"/>
            <w:r>
              <w:t>ostatné-post.pohľadávky</w:t>
            </w:r>
            <w:proofErr w:type="spellEnd"/>
            <w:r>
              <w:t xml:space="preserve"> (</w:t>
            </w:r>
            <w:proofErr w:type="spellStart"/>
            <w:r w:rsidR="005D5588">
              <w:t>prop.spoľ</w:t>
            </w:r>
            <w:proofErr w:type="spellEnd"/>
            <w:r w:rsidR="005D5588">
              <w:t xml:space="preserve">. </w:t>
            </w:r>
            <w:r>
              <w:t>ENDL+K do 10.1.2018)</w:t>
            </w:r>
          </w:p>
        </w:tc>
        <w:tc>
          <w:tcPr>
            <w:tcW w:w="425" w:type="dxa"/>
          </w:tcPr>
          <w:p w14:paraId="648034BF" w14:textId="2D7AE58C" w:rsidR="00D10608" w:rsidRDefault="00D10608" w:rsidP="0089030F">
            <w:pPr>
              <w:pStyle w:val="Tabulka"/>
              <w:keepNext/>
              <w:jc w:val="right"/>
            </w:pPr>
            <w:r>
              <w:t>11</w:t>
            </w:r>
          </w:p>
        </w:tc>
        <w:tc>
          <w:tcPr>
            <w:tcW w:w="1134" w:type="dxa"/>
          </w:tcPr>
          <w:p w14:paraId="257476C7" w14:textId="438D42D6" w:rsidR="00D10608" w:rsidRDefault="00D10608" w:rsidP="0089030F">
            <w:pPr>
              <w:pStyle w:val="Tabulka"/>
              <w:keepNext/>
              <w:jc w:val="right"/>
            </w:pPr>
            <w:r>
              <w:t>0</w:t>
            </w:r>
          </w:p>
        </w:tc>
        <w:tc>
          <w:tcPr>
            <w:tcW w:w="151" w:type="dxa"/>
          </w:tcPr>
          <w:p w14:paraId="7FFD7FA3" w14:textId="77777777" w:rsidR="00D10608" w:rsidRPr="003654BD" w:rsidRDefault="00D10608" w:rsidP="0089030F">
            <w:pPr>
              <w:pStyle w:val="Tabulka"/>
              <w:keepNext/>
              <w:jc w:val="right"/>
            </w:pPr>
          </w:p>
        </w:tc>
        <w:tc>
          <w:tcPr>
            <w:tcW w:w="1475" w:type="dxa"/>
          </w:tcPr>
          <w:p w14:paraId="3B169E21" w14:textId="58FEAA06" w:rsidR="00D10608" w:rsidRDefault="00D10608" w:rsidP="001E223E">
            <w:pPr>
              <w:pStyle w:val="Tabulka"/>
              <w:keepNext/>
              <w:jc w:val="right"/>
            </w:pPr>
            <w:r>
              <w:t>391 619</w:t>
            </w:r>
          </w:p>
        </w:tc>
      </w:tr>
      <w:tr w:rsidR="00D10608" w:rsidRPr="003654BD" w14:paraId="4E3FBC51" w14:textId="77777777" w:rsidTr="001E223E">
        <w:trPr>
          <w:trHeight w:val="250"/>
        </w:trPr>
        <w:tc>
          <w:tcPr>
            <w:tcW w:w="4819" w:type="dxa"/>
          </w:tcPr>
          <w:p w14:paraId="16D1357C" w14:textId="5F268DA6" w:rsidR="00D10608" w:rsidRPr="003654BD" w:rsidRDefault="00D10608" w:rsidP="00C502D1">
            <w:pPr>
              <w:pStyle w:val="Tabulka"/>
              <w:keepNext/>
            </w:pPr>
            <w:r>
              <w:t xml:space="preserve">príjem zo splatenia poskytnutej pôžičky (Slovak </w:t>
            </w:r>
            <w:proofErr w:type="spellStart"/>
            <w:r>
              <w:t>Restaurants</w:t>
            </w:r>
            <w:proofErr w:type="spellEnd"/>
            <w:r>
              <w:t>)</w:t>
            </w:r>
          </w:p>
        </w:tc>
        <w:tc>
          <w:tcPr>
            <w:tcW w:w="425" w:type="dxa"/>
          </w:tcPr>
          <w:p w14:paraId="72FD8BC5" w14:textId="4D8F78E5" w:rsidR="00D10608" w:rsidRPr="003654BD" w:rsidRDefault="00D10608" w:rsidP="00C502D1">
            <w:pPr>
              <w:pStyle w:val="Tabulka"/>
              <w:keepNext/>
              <w:jc w:val="right"/>
            </w:pPr>
            <w:r>
              <w:t>08</w:t>
            </w:r>
          </w:p>
        </w:tc>
        <w:tc>
          <w:tcPr>
            <w:tcW w:w="1134" w:type="dxa"/>
          </w:tcPr>
          <w:p w14:paraId="03E7E77A" w14:textId="02ACB7F5" w:rsidR="00D10608" w:rsidRDefault="00D10608" w:rsidP="00C502D1">
            <w:pPr>
              <w:pStyle w:val="Tabulka"/>
              <w:keepNext/>
              <w:jc w:val="right"/>
            </w:pPr>
            <w:r>
              <w:t>861 384</w:t>
            </w:r>
          </w:p>
        </w:tc>
        <w:tc>
          <w:tcPr>
            <w:tcW w:w="151" w:type="dxa"/>
          </w:tcPr>
          <w:p w14:paraId="72A7DDCD" w14:textId="77777777" w:rsidR="00D10608" w:rsidRPr="003654BD" w:rsidRDefault="00D10608" w:rsidP="00C502D1">
            <w:pPr>
              <w:pStyle w:val="Tabulka"/>
              <w:keepNext/>
              <w:jc w:val="right"/>
            </w:pPr>
          </w:p>
        </w:tc>
        <w:tc>
          <w:tcPr>
            <w:tcW w:w="1475" w:type="dxa"/>
          </w:tcPr>
          <w:p w14:paraId="2CF5014D" w14:textId="16457BD8" w:rsidR="00D10608" w:rsidRDefault="00D10608" w:rsidP="00C502D1">
            <w:pPr>
              <w:pStyle w:val="Tabulka"/>
              <w:keepNext/>
              <w:jc w:val="right"/>
            </w:pPr>
            <w:r>
              <w:t>550 000</w:t>
            </w:r>
          </w:p>
        </w:tc>
      </w:tr>
      <w:tr w:rsidR="00D10608" w:rsidRPr="003654BD" w14:paraId="32CC8D16" w14:textId="77777777" w:rsidTr="001E223E">
        <w:trPr>
          <w:trHeight w:val="250"/>
        </w:trPr>
        <w:tc>
          <w:tcPr>
            <w:tcW w:w="4819" w:type="dxa"/>
          </w:tcPr>
          <w:p w14:paraId="324DB3DA" w14:textId="6ECF6604" w:rsidR="00D10608" w:rsidRDefault="00D10608" w:rsidP="00C502D1">
            <w:pPr>
              <w:pStyle w:val="Tabulka"/>
              <w:keepNext/>
            </w:pPr>
            <w:r>
              <w:t xml:space="preserve">čerpanie pôžičky Slovak </w:t>
            </w:r>
            <w:proofErr w:type="spellStart"/>
            <w:r>
              <w:t>Restaurants</w:t>
            </w:r>
            <w:proofErr w:type="spellEnd"/>
          </w:p>
        </w:tc>
        <w:tc>
          <w:tcPr>
            <w:tcW w:w="425" w:type="dxa"/>
          </w:tcPr>
          <w:p w14:paraId="69F975B4" w14:textId="2589A70F" w:rsidR="00D10608" w:rsidRDefault="00D10608" w:rsidP="00C502D1">
            <w:pPr>
              <w:pStyle w:val="Tabulka"/>
              <w:keepNext/>
              <w:jc w:val="right"/>
            </w:pPr>
            <w:r>
              <w:t>08</w:t>
            </w:r>
          </w:p>
        </w:tc>
        <w:tc>
          <w:tcPr>
            <w:tcW w:w="1134" w:type="dxa"/>
          </w:tcPr>
          <w:p w14:paraId="22256D7C" w14:textId="3ED124F7" w:rsidR="00D10608" w:rsidRDefault="00D10608" w:rsidP="00C502D1">
            <w:pPr>
              <w:pStyle w:val="Tabulka"/>
              <w:keepNext/>
              <w:jc w:val="right"/>
            </w:pPr>
            <w:r>
              <w:t>2 600 000</w:t>
            </w:r>
          </w:p>
        </w:tc>
        <w:tc>
          <w:tcPr>
            <w:tcW w:w="151" w:type="dxa"/>
          </w:tcPr>
          <w:p w14:paraId="10E5E187" w14:textId="77777777" w:rsidR="00D10608" w:rsidRPr="003654BD" w:rsidRDefault="00D10608" w:rsidP="00C502D1">
            <w:pPr>
              <w:pStyle w:val="Tabulka"/>
              <w:keepNext/>
              <w:jc w:val="right"/>
            </w:pPr>
          </w:p>
        </w:tc>
        <w:tc>
          <w:tcPr>
            <w:tcW w:w="1475" w:type="dxa"/>
          </w:tcPr>
          <w:p w14:paraId="5E09A35A" w14:textId="7883DC5D" w:rsidR="00D10608" w:rsidRDefault="00D10608" w:rsidP="00C502D1">
            <w:pPr>
              <w:pStyle w:val="Tabulka"/>
              <w:keepNext/>
              <w:jc w:val="right"/>
            </w:pPr>
            <w:r>
              <w:t>17 000</w:t>
            </w:r>
          </w:p>
        </w:tc>
      </w:tr>
      <w:tr w:rsidR="00D10608" w:rsidRPr="003654BD" w14:paraId="5603011F" w14:textId="77777777" w:rsidTr="001E223E">
        <w:trPr>
          <w:trHeight w:val="250"/>
        </w:trPr>
        <w:tc>
          <w:tcPr>
            <w:tcW w:w="4819" w:type="dxa"/>
          </w:tcPr>
          <w:p w14:paraId="5603011A" w14:textId="148A4BA8" w:rsidR="00D10608" w:rsidRPr="003654BD" w:rsidRDefault="00D10608" w:rsidP="00C502D1">
            <w:pPr>
              <w:pStyle w:val="Tabulka"/>
              <w:keepNext/>
            </w:pPr>
            <w:r w:rsidRPr="003654BD">
              <w:t>nákup služieb (nájomné a</w:t>
            </w:r>
            <w:r>
              <w:t> </w:t>
            </w:r>
            <w:r w:rsidRPr="003654BD">
              <w:t>súvisiace služby</w:t>
            </w:r>
            <w:r>
              <w:t xml:space="preserve">, Slovak </w:t>
            </w:r>
            <w:proofErr w:type="spellStart"/>
            <w:r>
              <w:t>Restaurants</w:t>
            </w:r>
            <w:proofErr w:type="spellEnd"/>
            <w:r w:rsidRPr="003654BD">
              <w:t>)</w:t>
            </w:r>
          </w:p>
        </w:tc>
        <w:tc>
          <w:tcPr>
            <w:tcW w:w="425" w:type="dxa"/>
          </w:tcPr>
          <w:p w14:paraId="5603011B" w14:textId="77777777" w:rsidR="00D10608" w:rsidRPr="003654BD" w:rsidRDefault="00D10608" w:rsidP="00C502D1">
            <w:pPr>
              <w:pStyle w:val="Tabulka"/>
              <w:keepNext/>
              <w:jc w:val="right"/>
            </w:pPr>
            <w:r w:rsidRPr="003654BD">
              <w:t>0</w:t>
            </w:r>
            <w:r>
              <w:t>3</w:t>
            </w:r>
          </w:p>
        </w:tc>
        <w:tc>
          <w:tcPr>
            <w:tcW w:w="1134" w:type="dxa"/>
          </w:tcPr>
          <w:p w14:paraId="5603011C" w14:textId="47F9FCD2" w:rsidR="00D10608" w:rsidRPr="003654BD" w:rsidRDefault="00D10608" w:rsidP="00C502D1">
            <w:pPr>
              <w:pStyle w:val="Tabulka"/>
              <w:keepNext/>
              <w:jc w:val="right"/>
            </w:pPr>
            <w:r>
              <w:t>5 831 690</w:t>
            </w:r>
          </w:p>
        </w:tc>
        <w:tc>
          <w:tcPr>
            <w:tcW w:w="151" w:type="dxa"/>
          </w:tcPr>
          <w:p w14:paraId="5603011D" w14:textId="77777777" w:rsidR="00D10608" w:rsidRPr="003654BD" w:rsidRDefault="00D10608" w:rsidP="00C502D1">
            <w:pPr>
              <w:pStyle w:val="Tabulka"/>
              <w:keepNext/>
              <w:jc w:val="right"/>
            </w:pPr>
          </w:p>
        </w:tc>
        <w:tc>
          <w:tcPr>
            <w:tcW w:w="1475" w:type="dxa"/>
          </w:tcPr>
          <w:p w14:paraId="5603011E" w14:textId="390A7433" w:rsidR="00D10608" w:rsidRPr="003654BD" w:rsidRDefault="00D10608" w:rsidP="00C502D1">
            <w:pPr>
              <w:pStyle w:val="Tabulka"/>
              <w:keepNext/>
              <w:jc w:val="right"/>
            </w:pPr>
            <w:r>
              <w:t>5 446 404</w:t>
            </w:r>
          </w:p>
        </w:tc>
      </w:tr>
      <w:tr w:rsidR="00D10608" w14:paraId="56030125" w14:textId="77777777" w:rsidTr="001E223E">
        <w:trPr>
          <w:trHeight w:val="250"/>
        </w:trPr>
        <w:tc>
          <w:tcPr>
            <w:tcW w:w="4819" w:type="dxa"/>
          </w:tcPr>
          <w:p w14:paraId="56030120" w14:textId="57BD2404" w:rsidR="00D10608" w:rsidRPr="003654BD" w:rsidRDefault="00D10608" w:rsidP="00C502D1">
            <w:pPr>
              <w:pStyle w:val="Tabulka"/>
              <w:keepNext/>
            </w:pPr>
            <w:r w:rsidRPr="003654BD">
              <w:t>úrokové výnosy</w:t>
            </w:r>
            <w:r>
              <w:t xml:space="preserve"> (Slovak </w:t>
            </w:r>
            <w:proofErr w:type="spellStart"/>
            <w:r>
              <w:t>Restaurants</w:t>
            </w:r>
            <w:proofErr w:type="spellEnd"/>
            <w:r>
              <w:t>)</w:t>
            </w:r>
          </w:p>
        </w:tc>
        <w:tc>
          <w:tcPr>
            <w:tcW w:w="425" w:type="dxa"/>
          </w:tcPr>
          <w:p w14:paraId="56030121" w14:textId="77777777" w:rsidR="00D10608" w:rsidRPr="003654BD" w:rsidRDefault="00D10608" w:rsidP="00C502D1">
            <w:pPr>
              <w:pStyle w:val="Tabulka"/>
              <w:keepNext/>
              <w:jc w:val="right"/>
            </w:pPr>
            <w:r w:rsidRPr="003654BD">
              <w:t>08</w:t>
            </w:r>
          </w:p>
        </w:tc>
        <w:tc>
          <w:tcPr>
            <w:tcW w:w="1134" w:type="dxa"/>
          </w:tcPr>
          <w:p w14:paraId="56030122" w14:textId="5549AA11" w:rsidR="00D10608" w:rsidRPr="003654BD" w:rsidRDefault="00D10608" w:rsidP="00C502D1">
            <w:pPr>
              <w:pStyle w:val="Tabulka"/>
              <w:keepNext/>
              <w:jc w:val="right"/>
            </w:pPr>
            <w:r>
              <w:t xml:space="preserve">6 367    </w:t>
            </w:r>
          </w:p>
        </w:tc>
        <w:tc>
          <w:tcPr>
            <w:tcW w:w="151" w:type="dxa"/>
          </w:tcPr>
          <w:p w14:paraId="56030123" w14:textId="77777777" w:rsidR="00D10608" w:rsidRPr="003654BD" w:rsidRDefault="00D10608" w:rsidP="00C502D1">
            <w:pPr>
              <w:pStyle w:val="Tabulka"/>
              <w:keepNext/>
              <w:jc w:val="right"/>
            </w:pPr>
          </w:p>
        </w:tc>
        <w:tc>
          <w:tcPr>
            <w:tcW w:w="1475" w:type="dxa"/>
          </w:tcPr>
          <w:p w14:paraId="56030124" w14:textId="61189DDE" w:rsidR="00D10608" w:rsidRDefault="00D10608" w:rsidP="00C502D1">
            <w:pPr>
              <w:pStyle w:val="Tabulka"/>
              <w:keepNext/>
              <w:jc w:val="right"/>
            </w:pPr>
            <w:r>
              <w:t>33 943</w:t>
            </w:r>
          </w:p>
        </w:tc>
      </w:tr>
      <w:tr w:rsidR="00D10608" w14:paraId="49AF9A57" w14:textId="77777777" w:rsidTr="001E223E">
        <w:trPr>
          <w:trHeight w:val="250"/>
        </w:trPr>
        <w:tc>
          <w:tcPr>
            <w:tcW w:w="4819" w:type="dxa"/>
          </w:tcPr>
          <w:p w14:paraId="56082C17" w14:textId="0ACFB095" w:rsidR="00D10608" w:rsidRPr="003654BD" w:rsidRDefault="00D10608" w:rsidP="00C502D1">
            <w:pPr>
              <w:pStyle w:val="Tabulka"/>
              <w:keepNext/>
            </w:pPr>
            <w:r>
              <w:t xml:space="preserve">Ostatné – post. pohľadávky Slovak </w:t>
            </w:r>
            <w:proofErr w:type="spellStart"/>
            <w:r>
              <w:t>Restaurants</w:t>
            </w:r>
            <w:proofErr w:type="spellEnd"/>
          </w:p>
        </w:tc>
        <w:tc>
          <w:tcPr>
            <w:tcW w:w="425" w:type="dxa"/>
          </w:tcPr>
          <w:p w14:paraId="129045BA" w14:textId="0EA3D8A2" w:rsidR="00D10608" w:rsidRPr="003654BD" w:rsidRDefault="00D10608" w:rsidP="00C502D1">
            <w:pPr>
              <w:pStyle w:val="Tabulka"/>
              <w:keepNext/>
              <w:jc w:val="right"/>
            </w:pPr>
            <w:r>
              <w:t>11</w:t>
            </w:r>
          </w:p>
        </w:tc>
        <w:tc>
          <w:tcPr>
            <w:tcW w:w="1134" w:type="dxa"/>
          </w:tcPr>
          <w:p w14:paraId="43CF9C1B" w14:textId="77777777" w:rsidR="00D10608" w:rsidRDefault="00D10608" w:rsidP="00C502D1">
            <w:pPr>
              <w:pStyle w:val="Tabulka"/>
              <w:keepNext/>
              <w:jc w:val="right"/>
            </w:pPr>
          </w:p>
        </w:tc>
        <w:tc>
          <w:tcPr>
            <w:tcW w:w="151" w:type="dxa"/>
          </w:tcPr>
          <w:p w14:paraId="0EA47FBE" w14:textId="77777777" w:rsidR="00D10608" w:rsidRPr="003654BD" w:rsidRDefault="00D10608" w:rsidP="00C502D1">
            <w:pPr>
              <w:pStyle w:val="Tabulka"/>
              <w:keepNext/>
              <w:jc w:val="right"/>
            </w:pPr>
          </w:p>
        </w:tc>
        <w:tc>
          <w:tcPr>
            <w:tcW w:w="1475" w:type="dxa"/>
          </w:tcPr>
          <w:p w14:paraId="57C55DE2" w14:textId="3EBA74A7" w:rsidR="00D10608" w:rsidRDefault="00D10608" w:rsidP="00C502D1">
            <w:pPr>
              <w:pStyle w:val="Tabulka"/>
              <w:keepNext/>
              <w:jc w:val="right"/>
            </w:pPr>
            <w:r>
              <w:t>607 010</w:t>
            </w:r>
          </w:p>
        </w:tc>
      </w:tr>
    </w:tbl>
    <w:p w14:paraId="56030126" w14:textId="2623331D" w:rsidR="008C288C" w:rsidRDefault="008C288C" w:rsidP="00640568">
      <w:pPr>
        <w:pStyle w:val="Zkladntext"/>
        <w:ind w:left="0"/>
      </w:pPr>
    </w:p>
    <w:p w14:paraId="56030127" w14:textId="77777777" w:rsidR="00CB0372" w:rsidRDefault="00CB0372" w:rsidP="0074070F">
      <w:pPr>
        <w:pStyle w:val="Zkladntext"/>
        <w:keepNext/>
        <w:ind w:left="0" w:firstLine="425"/>
      </w:pPr>
      <w:r>
        <w:t>Kód druhu obchodu:</w:t>
      </w:r>
    </w:p>
    <w:p w14:paraId="56030128" w14:textId="77777777" w:rsidR="00CB0372" w:rsidRDefault="00CB0372" w:rsidP="00CB0372">
      <w:pPr>
        <w:pStyle w:val="Zkladntext"/>
        <w:ind w:left="0" w:firstLine="426"/>
      </w:pPr>
    </w:p>
    <w:p w14:paraId="56030129" w14:textId="77777777" w:rsidR="006F48A7" w:rsidRDefault="006F48A7" w:rsidP="00CB0372">
      <w:pPr>
        <w:pStyle w:val="Zkladntext"/>
        <w:ind w:left="0" w:firstLine="426"/>
        <w:sectPr w:rsidR="006F48A7" w:rsidSect="00086B42">
          <w:headerReference w:type="default" r:id="rId71"/>
          <w:footerReference w:type="default" r:id="rId72"/>
          <w:pgSz w:w="11907" w:h="16840" w:code="9"/>
          <w:pgMar w:top="1701" w:right="1134" w:bottom="1701" w:left="1134" w:header="1134" w:footer="1134" w:gutter="0"/>
          <w:cols w:space="708"/>
        </w:sectPr>
      </w:pPr>
    </w:p>
    <w:p w14:paraId="5603012A" w14:textId="77777777" w:rsidR="00CB0372" w:rsidRDefault="00CB0372" w:rsidP="00CB0372">
      <w:pPr>
        <w:pStyle w:val="Zkladntext"/>
        <w:ind w:left="0" w:firstLine="426"/>
      </w:pPr>
      <w:r w:rsidRPr="00037F25">
        <w:lastRenderedPageBreak/>
        <w:t>01 – k</w:t>
      </w:r>
      <w:r>
        <w:t>úpa</w:t>
      </w:r>
    </w:p>
    <w:p w14:paraId="5603012B" w14:textId="77777777" w:rsidR="00CB0372" w:rsidRDefault="00CB0372" w:rsidP="00CB0372">
      <w:pPr>
        <w:pStyle w:val="Zkladntext"/>
        <w:ind w:left="0" w:firstLine="426"/>
      </w:pPr>
      <w:r>
        <w:t>02 – predaj</w:t>
      </w:r>
    </w:p>
    <w:p w14:paraId="5603012C" w14:textId="77777777" w:rsidR="00CB0372" w:rsidRDefault="00CB0372" w:rsidP="00CB0372">
      <w:pPr>
        <w:pStyle w:val="Zkladntext"/>
        <w:ind w:left="0" w:firstLine="426"/>
      </w:pPr>
      <w:r>
        <w:t>03 – poskytnutie služby</w:t>
      </w:r>
    </w:p>
    <w:p w14:paraId="5603012D" w14:textId="77777777" w:rsidR="00CB0372" w:rsidRDefault="00CB0372" w:rsidP="00CB0372">
      <w:pPr>
        <w:pStyle w:val="Zkladntext"/>
        <w:ind w:left="0" w:firstLine="426"/>
      </w:pPr>
      <w:r>
        <w:lastRenderedPageBreak/>
        <w:t>05 – licencia</w:t>
      </w:r>
    </w:p>
    <w:p w14:paraId="5603012E" w14:textId="77777777" w:rsidR="00CB0372" w:rsidRDefault="00CB0372" w:rsidP="00CB0372">
      <w:pPr>
        <w:pStyle w:val="Zkladntext"/>
        <w:ind w:left="0" w:firstLine="426"/>
      </w:pPr>
      <w:r>
        <w:t>08 – úver, pôžička</w:t>
      </w:r>
    </w:p>
    <w:p w14:paraId="5603012F" w14:textId="77777777" w:rsidR="00CB0372" w:rsidRDefault="00CB0372" w:rsidP="00CB0372">
      <w:pPr>
        <w:pStyle w:val="Zkladntext"/>
        <w:ind w:left="0" w:firstLine="426"/>
      </w:pPr>
      <w:r>
        <w:t>11 – iný obchod</w:t>
      </w:r>
    </w:p>
    <w:p w14:paraId="56030130" w14:textId="77777777" w:rsidR="006F48A7" w:rsidRDefault="006F48A7" w:rsidP="00CB0372">
      <w:pPr>
        <w:pStyle w:val="Zkladntext"/>
        <w:ind w:left="0" w:firstLine="426"/>
        <w:sectPr w:rsidR="006F48A7" w:rsidSect="006F48A7">
          <w:type w:val="continuous"/>
          <w:pgSz w:w="11907" w:h="16840" w:code="9"/>
          <w:pgMar w:top="1701" w:right="1134" w:bottom="1701" w:left="1134" w:header="1134" w:footer="1134" w:gutter="0"/>
          <w:cols w:num="2" w:space="708"/>
        </w:sectPr>
      </w:pPr>
    </w:p>
    <w:p w14:paraId="56030131" w14:textId="77777777" w:rsidR="00CB0372" w:rsidRPr="00093CC4" w:rsidRDefault="00CB0372" w:rsidP="00CB0372">
      <w:pPr>
        <w:pStyle w:val="Zkladntext"/>
        <w:ind w:left="0" w:firstLine="426"/>
      </w:pPr>
    </w:p>
    <w:p w14:paraId="56030132" w14:textId="77777777" w:rsidR="008C288C" w:rsidRDefault="008C288C" w:rsidP="001A1C53">
      <w:pPr>
        <w:pStyle w:val="Zkladntext"/>
        <w:keepNext/>
        <w:ind w:left="0" w:firstLine="426"/>
      </w:pPr>
      <w:r>
        <w:lastRenderedPageBreak/>
        <w:t>Vybrané aktíva a pasíva vyplývajúce z transakcií so spriaznenými osobami sú uvedené v nasledujúcom prehľade:</w:t>
      </w:r>
    </w:p>
    <w:p w14:paraId="56030133" w14:textId="77777777" w:rsidR="008C288C" w:rsidRDefault="008C288C" w:rsidP="001A1C53">
      <w:pPr>
        <w:pStyle w:val="Zkladntext"/>
        <w:keepNext/>
      </w:pPr>
    </w:p>
    <w:bookmarkStart w:id="151" w:name="_MON_1394021030"/>
    <w:bookmarkStart w:id="152" w:name="_MON_1395817127"/>
    <w:bookmarkStart w:id="153" w:name="_MON_1395817336"/>
    <w:bookmarkStart w:id="154" w:name="_MON_1395817510"/>
    <w:bookmarkEnd w:id="151"/>
    <w:bookmarkEnd w:id="152"/>
    <w:bookmarkEnd w:id="153"/>
    <w:bookmarkEnd w:id="154"/>
    <w:bookmarkStart w:id="155" w:name="_MON_1363174339"/>
    <w:bookmarkEnd w:id="155"/>
    <w:p w14:paraId="56030134" w14:textId="1C4A53F9" w:rsidR="008C288C" w:rsidRDefault="000E2974">
      <w:pPr>
        <w:pStyle w:val="Zkladntext"/>
      </w:pPr>
      <w:r>
        <w:object w:dxaOrig="8919" w:dyaOrig="2607" w14:anchorId="56030167">
          <v:shape id="_x0000_i1056" type="#_x0000_t75" style="width:447pt;height:129.5pt" o:ole="">
            <v:imagedata r:id="rId73" o:title=""/>
          </v:shape>
          <o:OLEObject Type="Embed" ProgID="Excel.Sheet.8" ShapeID="_x0000_i1056" DrawAspect="Content" ObjectID="_1616932865" r:id="rId74"/>
        </w:object>
      </w:r>
    </w:p>
    <w:p w14:paraId="56030135" w14:textId="77777777" w:rsidR="008C288C" w:rsidRDefault="008C288C">
      <w:pPr>
        <w:pStyle w:val="Nadpis1"/>
      </w:pPr>
      <w:bookmarkStart w:id="156" w:name="_Toc530739925"/>
      <w:r>
        <w:t>Informácie o skutočnostiach, ktoré nastali po dni, ku ktorému sa zostavuje účtovná závierka, do dňa zostavenia účtovnej závierky</w:t>
      </w:r>
      <w:bookmarkEnd w:id="156"/>
    </w:p>
    <w:p w14:paraId="56030136" w14:textId="77777777" w:rsidR="008C288C" w:rsidRDefault="008C288C">
      <w:pPr>
        <w:pStyle w:val="Zkladntext"/>
      </w:pPr>
    </w:p>
    <w:p w14:paraId="56030137" w14:textId="6E2D44F0" w:rsidR="008C288C" w:rsidRDefault="008C288C">
      <w:pPr>
        <w:pStyle w:val="Zkladntext"/>
      </w:pPr>
      <w:r>
        <w:t>Po 31. decembri 20</w:t>
      </w:r>
      <w:r w:rsidR="00682417">
        <w:t>1</w:t>
      </w:r>
      <w:r w:rsidR="000E2974">
        <w:t>8</w:t>
      </w:r>
      <w:r>
        <w:t xml:space="preserve"> </w:t>
      </w:r>
      <w:r w:rsidR="00037F25">
        <w:t>ne</w:t>
      </w:r>
      <w:r>
        <w:t>nastali udalosti majúce významný vplyv na verné zobrazenie skutočností,</w:t>
      </w:r>
      <w:r w:rsidR="00682417">
        <w:t xml:space="preserve"> ktoré sú predmetom účtovníctva</w:t>
      </w:r>
      <w:r w:rsidR="003F2C9F">
        <w:t>.</w:t>
      </w:r>
    </w:p>
    <w:p w14:paraId="56030138" w14:textId="77777777" w:rsidR="008C288C" w:rsidRDefault="008C288C" w:rsidP="00F47560">
      <w:pPr>
        <w:pStyle w:val="Zkladntext"/>
      </w:pPr>
    </w:p>
    <w:p w14:paraId="615980BB" w14:textId="77777777" w:rsidR="006F3988" w:rsidRDefault="006F3988" w:rsidP="00F47560">
      <w:pPr>
        <w:pStyle w:val="Zkladntext"/>
      </w:pPr>
    </w:p>
    <w:p w14:paraId="41AC7B32" w14:textId="77777777" w:rsidR="006F3988" w:rsidRDefault="006F3988" w:rsidP="00F47560">
      <w:pPr>
        <w:pStyle w:val="Zkladntext"/>
      </w:pPr>
    </w:p>
    <w:p w14:paraId="10FF1145" w14:textId="77777777" w:rsidR="006F3988" w:rsidRDefault="006F3988" w:rsidP="00F47560">
      <w:pPr>
        <w:pStyle w:val="Zkladntext"/>
      </w:pPr>
    </w:p>
    <w:p w14:paraId="24465152" w14:textId="77777777" w:rsidR="006F3988" w:rsidRDefault="006F3988" w:rsidP="00F47560">
      <w:pPr>
        <w:pStyle w:val="Zkladntext"/>
      </w:pPr>
    </w:p>
    <w:p w14:paraId="56030139" w14:textId="64A54D72" w:rsidR="008C288C" w:rsidRPr="007571A7" w:rsidRDefault="008C288C" w:rsidP="006F0F56">
      <w:pPr>
        <w:pStyle w:val="Nadpis1"/>
      </w:pPr>
      <w:bookmarkStart w:id="157" w:name="_Toc530739926"/>
      <w:r w:rsidRPr="007571A7">
        <w:t xml:space="preserve">Prehľad peňažných tokov k 31. decembru </w:t>
      </w:r>
      <w:bookmarkEnd w:id="157"/>
      <w:r w:rsidRPr="007571A7">
        <w:t>20</w:t>
      </w:r>
      <w:r w:rsidR="00546F18" w:rsidRPr="007571A7">
        <w:t>1</w:t>
      </w:r>
      <w:r w:rsidR="000E2974" w:rsidRPr="007571A7">
        <w:t xml:space="preserve">8 </w:t>
      </w:r>
    </w:p>
    <w:p w14:paraId="5603013A" w14:textId="77777777" w:rsidR="001A1C53" w:rsidRDefault="001A1C53" w:rsidP="001A1C53">
      <w:pPr>
        <w:pStyle w:val="Zkladntext"/>
      </w:pPr>
    </w:p>
    <w:p w14:paraId="5603013B" w14:textId="77777777" w:rsidR="001A1C53" w:rsidRDefault="001A1C53" w:rsidP="00641924">
      <w:pPr>
        <w:pStyle w:val="Zkladntext"/>
        <w:keepNext/>
        <w:ind w:left="425"/>
        <w:rPr>
          <w:b/>
        </w:rPr>
      </w:pPr>
      <w:r>
        <w:rPr>
          <w:b/>
        </w:rPr>
        <w:t>Peňažné prostriedky</w:t>
      </w:r>
    </w:p>
    <w:p w14:paraId="5603013C" w14:textId="77777777" w:rsidR="001A1C53" w:rsidRDefault="001A1C53" w:rsidP="00641924">
      <w:pPr>
        <w:pStyle w:val="Zkladntext"/>
        <w:keepNext/>
        <w:ind w:left="425"/>
        <w:rPr>
          <w:b/>
        </w:rPr>
      </w:pPr>
    </w:p>
    <w:p w14:paraId="5603013D" w14:textId="77777777" w:rsidR="001A1C53" w:rsidRDefault="001A1C53" w:rsidP="001A1C53">
      <w:pPr>
        <w:pStyle w:val="Zkladntext"/>
      </w:pPr>
      <w:r>
        <w:t xml:space="preserve">Peňažnými prostriedkami (angl. cash) sa rozumejú peňažné hotovosti, ekvivalenty peňažných hotovostí, peňažné prostriedky na bežných účtoch v bankách, kontokorentný účet a časť zostatku účtu Peniaze na ceste, ktorý sa viaže na prevod medzi bežným účtom a pokladnicou alebo medzi dvoma bankovými účtami. </w:t>
      </w:r>
    </w:p>
    <w:p w14:paraId="5603013E" w14:textId="77777777" w:rsidR="001A1C53" w:rsidRDefault="001A1C53" w:rsidP="001A1C53">
      <w:pPr>
        <w:pStyle w:val="Zkladntext"/>
      </w:pPr>
    </w:p>
    <w:p w14:paraId="5603013F" w14:textId="77777777" w:rsidR="001A1C53" w:rsidRDefault="001A1C53" w:rsidP="00641924">
      <w:pPr>
        <w:pStyle w:val="Zkladntext"/>
        <w:keepNext/>
        <w:ind w:left="425"/>
        <w:rPr>
          <w:b/>
        </w:rPr>
      </w:pPr>
      <w:r>
        <w:rPr>
          <w:b/>
        </w:rPr>
        <w:t>Peňažné ekvivalenty</w:t>
      </w:r>
    </w:p>
    <w:p w14:paraId="56030140" w14:textId="77777777" w:rsidR="001A1C53" w:rsidRDefault="001A1C53" w:rsidP="00641924">
      <w:pPr>
        <w:pStyle w:val="Zkladntext"/>
        <w:keepNext/>
        <w:ind w:left="425"/>
      </w:pPr>
    </w:p>
    <w:p w14:paraId="56030141" w14:textId="77777777" w:rsidR="001A1C53" w:rsidRDefault="001A1C53" w:rsidP="001A1C53">
      <w:pPr>
        <w:pStyle w:val="Zkladntext"/>
      </w:pPr>
      <w:r>
        <w:t xml:space="preserve">Peňažnými ekvivalentmi (angl. </w:t>
      </w:r>
      <w:proofErr w:type="spellStart"/>
      <w:r>
        <w:t>cash</w:t>
      </w:r>
      <w:proofErr w:type="spellEnd"/>
      <w:r>
        <w:t xml:space="preserve"> </w:t>
      </w:r>
      <w:proofErr w:type="spellStart"/>
      <w:r>
        <w:t>equivalents</w:t>
      </w:r>
      <w:proofErr w:type="spellEnd"/>
      <w:r>
        <w:t>)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14:paraId="56030142" w14:textId="77777777" w:rsidR="008C288C" w:rsidRDefault="008C288C">
      <w:pPr>
        <w:pStyle w:val="Zkladntext"/>
      </w:pPr>
    </w:p>
    <w:p w14:paraId="349906C0" w14:textId="77777777" w:rsidR="000E2974" w:rsidRDefault="000E2974">
      <w:pPr>
        <w:pStyle w:val="Zkladntext"/>
      </w:pPr>
    </w:p>
    <w:p w14:paraId="6DA4C2A6" w14:textId="6384ACD4" w:rsidR="000E2974" w:rsidRDefault="00A04632">
      <w:pPr>
        <w:pStyle w:val="Zkladntext"/>
      </w:pPr>
      <w:r w:rsidRPr="00290B63">
        <w:rPr>
          <w:noProof/>
          <w:lang w:val="cs-CZ" w:eastAsia="cs-CZ"/>
        </w:rPr>
        <w:lastRenderedPageBreak/>
        <w:drawing>
          <wp:inline distT="0" distB="0" distL="0" distR="0" wp14:anchorId="73E73B98" wp14:editId="5C0A727F">
            <wp:extent cx="6120765" cy="78200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20765" cy="7820025"/>
                    </a:xfrm>
                    <a:prstGeom prst="rect">
                      <a:avLst/>
                    </a:prstGeom>
                    <a:noFill/>
                    <a:ln>
                      <a:noFill/>
                    </a:ln>
                  </pic:spPr>
                </pic:pic>
              </a:graphicData>
            </a:graphic>
          </wp:inline>
        </w:drawing>
      </w:r>
    </w:p>
    <w:p w14:paraId="56030144" w14:textId="77777777" w:rsidR="00A83D91" w:rsidRDefault="00A83D91" w:rsidP="00E04921">
      <w:pPr>
        <w:pStyle w:val="Zkladntext"/>
        <w:tabs>
          <w:tab w:val="center" w:pos="1985"/>
          <w:tab w:val="center" w:pos="7655"/>
        </w:tabs>
      </w:pPr>
      <w:bookmarkStart w:id="158" w:name="_MON_1394024185"/>
      <w:bookmarkStart w:id="159" w:name="_MON_1394024254"/>
      <w:bookmarkStart w:id="160" w:name="_MON_1394860702"/>
      <w:bookmarkStart w:id="161" w:name="_MON_1394860711"/>
      <w:bookmarkStart w:id="162" w:name="_MON_1366455368"/>
      <w:bookmarkStart w:id="163" w:name="_MON_1394022531"/>
      <w:bookmarkStart w:id="164" w:name="_MON_1394022687"/>
      <w:bookmarkStart w:id="165" w:name="_MON_1394023248"/>
      <w:bookmarkStart w:id="166" w:name="_MON_1394023852"/>
      <w:bookmarkEnd w:id="158"/>
      <w:bookmarkEnd w:id="159"/>
      <w:bookmarkEnd w:id="160"/>
      <w:bookmarkEnd w:id="161"/>
      <w:bookmarkEnd w:id="162"/>
      <w:bookmarkEnd w:id="163"/>
      <w:bookmarkEnd w:id="164"/>
      <w:bookmarkEnd w:id="165"/>
      <w:bookmarkEnd w:id="166"/>
    </w:p>
    <w:sectPr w:rsidR="00A83D91" w:rsidSect="006F48A7">
      <w:type w:val="continuous"/>
      <w:pgSz w:w="11907" w:h="16840" w:code="9"/>
      <w:pgMar w:top="1701" w:right="1134" w:bottom="1701"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6C0DE" w14:textId="77777777" w:rsidR="004C05C1" w:rsidRDefault="004C05C1">
      <w:r>
        <w:separator/>
      </w:r>
    </w:p>
  </w:endnote>
  <w:endnote w:type="continuationSeparator" w:id="0">
    <w:p w14:paraId="24857970" w14:textId="77777777" w:rsidR="004C05C1" w:rsidRDefault="004C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uturaTEE-Demi">
    <w:altName w:val="Century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10082"/>
      <w:docPartObj>
        <w:docPartGallery w:val="Page Numbers (Bottom of Page)"/>
        <w:docPartUnique/>
      </w:docPartObj>
    </w:sdtPr>
    <w:sdtEndPr/>
    <w:sdtContent>
      <w:p w14:paraId="41211650" w14:textId="1AA7D0D2" w:rsidR="00257910" w:rsidRDefault="00257910">
        <w:pPr>
          <w:pStyle w:val="Zpat"/>
          <w:jc w:val="center"/>
        </w:pPr>
        <w:r>
          <w:fldChar w:fldCharType="begin"/>
        </w:r>
        <w:r>
          <w:instrText>PAGE   \* MERGEFORMAT</w:instrText>
        </w:r>
        <w:r>
          <w:fldChar w:fldCharType="separate"/>
        </w:r>
        <w:r w:rsidR="00B20C58" w:rsidRPr="00B20C58">
          <w:rPr>
            <w:noProof/>
            <w:lang w:val="cs-CZ"/>
          </w:rPr>
          <w:t>19</w:t>
        </w:r>
        <w:r>
          <w:fldChar w:fldCharType="end"/>
        </w:r>
      </w:p>
    </w:sdtContent>
  </w:sdt>
  <w:p w14:paraId="5603016E" w14:textId="729B0BD0" w:rsidR="00257910" w:rsidRPr="0031371D" w:rsidRDefault="00257910" w:rsidP="00C63875">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2367" w14:textId="77777777" w:rsidR="004C05C1" w:rsidRDefault="004C05C1">
      <w:r>
        <w:separator/>
      </w:r>
    </w:p>
  </w:footnote>
  <w:footnote w:type="continuationSeparator" w:id="0">
    <w:p w14:paraId="666EC663" w14:textId="77777777" w:rsidR="004C05C1" w:rsidRDefault="004C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016D" w14:textId="535D591A" w:rsidR="00257910" w:rsidRPr="00C63875" w:rsidRDefault="00257910" w:rsidP="00C63875">
    <w:pPr>
      <w:pStyle w:val="Zhlav"/>
      <w:pBdr>
        <w:bottom w:val="single" w:sz="4" w:space="1" w:color="auto"/>
      </w:pBdr>
      <w:tabs>
        <w:tab w:val="clear" w:pos="4153"/>
        <w:tab w:val="clear" w:pos="8306"/>
        <w:tab w:val="right" w:pos="9639"/>
      </w:tabs>
      <w:rPr>
        <w:sz w:val="18"/>
        <w:szCs w:val="18"/>
      </w:rPr>
    </w:pPr>
    <w:r>
      <w:rPr>
        <w:sz w:val="18"/>
        <w:szCs w:val="18"/>
      </w:rPr>
      <w:t xml:space="preserve">Slovak </w:t>
    </w:r>
    <w:proofErr w:type="spellStart"/>
    <w:r>
      <w:rPr>
        <w:sz w:val="18"/>
        <w:szCs w:val="18"/>
      </w:rPr>
      <w:t>Games</w:t>
    </w:r>
    <w:proofErr w:type="spellEnd"/>
    <w:r>
      <w:rPr>
        <w:sz w:val="18"/>
        <w:szCs w:val="18"/>
      </w:rPr>
      <w:t>, s.r.o. Bratislava</w:t>
    </w:r>
    <w:r w:rsidRPr="008644EE">
      <w:rPr>
        <w:sz w:val="18"/>
        <w:szCs w:val="18"/>
      </w:rPr>
      <w:ptab w:relativeTo="margin" w:alignment="center" w:leader="none"/>
    </w:r>
    <w:r>
      <w:rPr>
        <w:sz w:val="18"/>
        <w:szCs w:val="18"/>
      </w:rPr>
      <w:t>2018</w:t>
    </w:r>
    <w:r w:rsidRPr="008644EE">
      <w:rPr>
        <w:sz w:val="18"/>
        <w:szCs w:val="18"/>
      </w:rPr>
      <w:ptab w:relativeTo="margin" w:alignment="right" w:leader="none"/>
    </w:r>
    <w:r>
      <w:rPr>
        <w:sz w:val="18"/>
        <w:szCs w:val="18"/>
      </w:rPr>
      <w:t xml:space="preserve">Poznámky účtovnej závierky </w:t>
    </w:r>
    <w:proofErr w:type="spellStart"/>
    <w:r>
      <w:rPr>
        <w:sz w:val="18"/>
        <w:szCs w:val="18"/>
      </w:rPr>
      <w:t>Úč</w:t>
    </w:r>
    <w:proofErr w:type="spellEnd"/>
    <w:r>
      <w:rPr>
        <w:sz w:val="18"/>
        <w:szCs w:val="18"/>
      </w:rPr>
      <w:t xml:space="preserve"> POD 3 - 04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5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2">
    <w:nsid w:val="228C0B1B"/>
    <w:multiLevelType w:val="hybridMultilevel"/>
    <w:tmpl w:val="778A733E"/>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BE61C3"/>
    <w:multiLevelType w:val="singleLevel"/>
    <w:tmpl w:val="E6BC554C"/>
    <w:lvl w:ilvl="0">
      <w:start w:val="1"/>
      <w:numFmt w:val="decimal"/>
      <w:pStyle w:val="Nadpis2"/>
      <w:lvlText w:val="%1."/>
      <w:lvlJc w:val="left"/>
      <w:pPr>
        <w:tabs>
          <w:tab w:val="num" w:pos="360"/>
        </w:tabs>
        <w:ind w:left="360" w:hanging="360"/>
      </w:pPr>
      <w:rPr>
        <w:rFonts w:cs="Times New Roman" w:hint="default"/>
      </w:rPr>
    </w:lvl>
  </w:abstractNum>
  <w:abstractNum w:abstractNumId="4">
    <w:nsid w:val="4D1C68B1"/>
    <w:multiLevelType w:val="hybridMultilevel"/>
    <w:tmpl w:val="80022A78"/>
    <w:lvl w:ilvl="0" w:tplc="B76C1CBA">
      <w:start w:val="1"/>
      <w:numFmt w:val="lowerLetter"/>
      <w:lvlText w:val="%1."/>
      <w:lvlJc w:val="left"/>
      <w:pPr>
        <w:ind w:left="1148" w:hanging="360"/>
      </w:pPr>
      <w:rPr>
        <w:rFonts w:hint="default"/>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5">
    <w:nsid w:val="73473C13"/>
    <w:multiLevelType w:val="singleLevel"/>
    <w:tmpl w:val="2A50B936"/>
    <w:lvl w:ilvl="0">
      <w:start w:val="1"/>
      <w:numFmt w:val="upperLetter"/>
      <w:pStyle w:val="Nadpis1"/>
      <w:lvlText w:val="%1."/>
      <w:lvlJc w:val="left"/>
      <w:pPr>
        <w:tabs>
          <w:tab w:val="num" w:pos="360"/>
        </w:tabs>
        <w:ind w:left="360" w:hanging="360"/>
      </w:pPr>
      <w:rPr>
        <w:rFonts w:cs="Times New Roman" w:hint="default"/>
      </w:rPr>
    </w:lvl>
  </w:abstractNum>
  <w:num w:numId="1">
    <w:abstractNumId w:val="5"/>
  </w:num>
  <w:num w:numId="2">
    <w:abstractNumId w:val="3"/>
  </w:num>
  <w:num w:numId="3">
    <w:abstractNumId w:val="3"/>
  </w:num>
  <w:num w:numId="4">
    <w:abstractNumId w:val="3"/>
    <w:lvlOverride w:ilvl="0">
      <w:startOverride w:val="1"/>
    </w:lvlOverride>
  </w:num>
  <w:num w:numId="5">
    <w:abstractNumId w:val="0"/>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4"/>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F6"/>
    <w:rsid w:val="00000267"/>
    <w:rsid w:val="000011DC"/>
    <w:rsid w:val="0000244D"/>
    <w:rsid w:val="000035EE"/>
    <w:rsid w:val="00003788"/>
    <w:rsid w:val="000055AF"/>
    <w:rsid w:val="00006107"/>
    <w:rsid w:val="00006805"/>
    <w:rsid w:val="00006DF1"/>
    <w:rsid w:val="000073CB"/>
    <w:rsid w:val="0001014C"/>
    <w:rsid w:val="000104A8"/>
    <w:rsid w:val="000124DC"/>
    <w:rsid w:val="000135F7"/>
    <w:rsid w:val="00014A98"/>
    <w:rsid w:val="00015318"/>
    <w:rsid w:val="00015B65"/>
    <w:rsid w:val="00017669"/>
    <w:rsid w:val="00017A48"/>
    <w:rsid w:val="000200C0"/>
    <w:rsid w:val="000223BA"/>
    <w:rsid w:val="0002287A"/>
    <w:rsid w:val="000246D8"/>
    <w:rsid w:val="00025913"/>
    <w:rsid w:val="00026AE4"/>
    <w:rsid w:val="00027197"/>
    <w:rsid w:val="00031706"/>
    <w:rsid w:val="0003198B"/>
    <w:rsid w:val="00031C69"/>
    <w:rsid w:val="0003326A"/>
    <w:rsid w:val="000366E9"/>
    <w:rsid w:val="00037F25"/>
    <w:rsid w:val="00041140"/>
    <w:rsid w:val="000416ED"/>
    <w:rsid w:val="00042F8D"/>
    <w:rsid w:val="00047470"/>
    <w:rsid w:val="0004785C"/>
    <w:rsid w:val="00047DBA"/>
    <w:rsid w:val="00047FA7"/>
    <w:rsid w:val="000504CD"/>
    <w:rsid w:val="00050844"/>
    <w:rsid w:val="0005090B"/>
    <w:rsid w:val="0005165E"/>
    <w:rsid w:val="00051660"/>
    <w:rsid w:val="000526A6"/>
    <w:rsid w:val="00052793"/>
    <w:rsid w:val="00052CC2"/>
    <w:rsid w:val="00053629"/>
    <w:rsid w:val="000541A9"/>
    <w:rsid w:val="00055901"/>
    <w:rsid w:val="00056316"/>
    <w:rsid w:val="00057D18"/>
    <w:rsid w:val="00061937"/>
    <w:rsid w:val="0006205B"/>
    <w:rsid w:val="00062CDD"/>
    <w:rsid w:val="0006326D"/>
    <w:rsid w:val="00063C1F"/>
    <w:rsid w:val="00065372"/>
    <w:rsid w:val="000658F2"/>
    <w:rsid w:val="00066071"/>
    <w:rsid w:val="00067FAD"/>
    <w:rsid w:val="00071898"/>
    <w:rsid w:val="00071CF6"/>
    <w:rsid w:val="00071E41"/>
    <w:rsid w:val="0007211D"/>
    <w:rsid w:val="00072C98"/>
    <w:rsid w:val="00073997"/>
    <w:rsid w:val="00074CD3"/>
    <w:rsid w:val="00075465"/>
    <w:rsid w:val="00076B52"/>
    <w:rsid w:val="00077A39"/>
    <w:rsid w:val="00081789"/>
    <w:rsid w:val="00081984"/>
    <w:rsid w:val="00083B68"/>
    <w:rsid w:val="00085047"/>
    <w:rsid w:val="00085FC4"/>
    <w:rsid w:val="00086598"/>
    <w:rsid w:val="00086B42"/>
    <w:rsid w:val="00087A91"/>
    <w:rsid w:val="00087F1B"/>
    <w:rsid w:val="00091AC5"/>
    <w:rsid w:val="00092370"/>
    <w:rsid w:val="00092389"/>
    <w:rsid w:val="00093ABA"/>
    <w:rsid w:val="0009489D"/>
    <w:rsid w:val="00097D19"/>
    <w:rsid w:val="000A0F07"/>
    <w:rsid w:val="000A327C"/>
    <w:rsid w:val="000A3A3E"/>
    <w:rsid w:val="000A44D0"/>
    <w:rsid w:val="000A6B66"/>
    <w:rsid w:val="000B0B6B"/>
    <w:rsid w:val="000B1B04"/>
    <w:rsid w:val="000B1BCF"/>
    <w:rsid w:val="000B3D99"/>
    <w:rsid w:val="000C072B"/>
    <w:rsid w:val="000C12DD"/>
    <w:rsid w:val="000C1C29"/>
    <w:rsid w:val="000C2CC4"/>
    <w:rsid w:val="000C4A7B"/>
    <w:rsid w:val="000C4E15"/>
    <w:rsid w:val="000C6143"/>
    <w:rsid w:val="000C7699"/>
    <w:rsid w:val="000D1615"/>
    <w:rsid w:val="000D170C"/>
    <w:rsid w:val="000D1ACE"/>
    <w:rsid w:val="000D2AD7"/>
    <w:rsid w:val="000D3AA1"/>
    <w:rsid w:val="000D3AFE"/>
    <w:rsid w:val="000D41FE"/>
    <w:rsid w:val="000D47B6"/>
    <w:rsid w:val="000D4A12"/>
    <w:rsid w:val="000D59B7"/>
    <w:rsid w:val="000D6652"/>
    <w:rsid w:val="000D73D3"/>
    <w:rsid w:val="000D7FB5"/>
    <w:rsid w:val="000E0221"/>
    <w:rsid w:val="000E20A6"/>
    <w:rsid w:val="000E2974"/>
    <w:rsid w:val="000E3D8B"/>
    <w:rsid w:val="000E4237"/>
    <w:rsid w:val="000E4355"/>
    <w:rsid w:val="000E5D83"/>
    <w:rsid w:val="000E5D91"/>
    <w:rsid w:val="000E7937"/>
    <w:rsid w:val="000F0A3B"/>
    <w:rsid w:val="000F2356"/>
    <w:rsid w:val="00100413"/>
    <w:rsid w:val="001008F0"/>
    <w:rsid w:val="00100D75"/>
    <w:rsid w:val="00100EE3"/>
    <w:rsid w:val="001021AB"/>
    <w:rsid w:val="00105C95"/>
    <w:rsid w:val="0011201A"/>
    <w:rsid w:val="0011292F"/>
    <w:rsid w:val="00120666"/>
    <w:rsid w:val="00120947"/>
    <w:rsid w:val="0012173C"/>
    <w:rsid w:val="00121FBE"/>
    <w:rsid w:val="001225CC"/>
    <w:rsid w:val="00122D25"/>
    <w:rsid w:val="00123251"/>
    <w:rsid w:val="001259A6"/>
    <w:rsid w:val="001269C7"/>
    <w:rsid w:val="00130E26"/>
    <w:rsid w:val="00131110"/>
    <w:rsid w:val="00131A8D"/>
    <w:rsid w:val="001321ED"/>
    <w:rsid w:val="00133AE0"/>
    <w:rsid w:val="00133BE5"/>
    <w:rsid w:val="00134AF2"/>
    <w:rsid w:val="00135042"/>
    <w:rsid w:val="0014042A"/>
    <w:rsid w:val="00143BE0"/>
    <w:rsid w:val="00144073"/>
    <w:rsid w:val="0014588A"/>
    <w:rsid w:val="001472C0"/>
    <w:rsid w:val="00147335"/>
    <w:rsid w:val="00147A3A"/>
    <w:rsid w:val="00150380"/>
    <w:rsid w:val="00150D1F"/>
    <w:rsid w:val="00150F2C"/>
    <w:rsid w:val="00153C8A"/>
    <w:rsid w:val="00156919"/>
    <w:rsid w:val="00157670"/>
    <w:rsid w:val="001577AC"/>
    <w:rsid w:val="00157D4F"/>
    <w:rsid w:val="00160267"/>
    <w:rsid w:val="00163EF4"/>
    <w:rsid w:val="0016402C"/>
    <w:rsid w:val="00165F85"/>
    <w:rsid w:val="00166D32"/>
    <w:rsid w:val="00167BB1"/>
    <w:rsid w:val="00170F53"/>
    <w:rsid w:val="00170F63"/>
    <w:rsid w:val="001710A1"/>
    <w:rsid w:val="0017185E"/>
    <w:rsid w:val="001718F6"/>
    <w:rsid w:val="001720B4"/>
    <w:rsid w:val="001730E3"/>
    <w:rsid w:val="00173372"/>
    <w:rsid w:val="0017514A"/>
    <w:rsid w:val="0017541C"/>
    <w:rsid w:val="001765AD"/>
    <w:rsid w:val="00177612"/>
    <w:rsid w:val="00180997"/>
    <w:rsid w:val="00182F4C"/>
    <w:rsid w:val="001863C9"/>
    <w:rsid w:val="0018686D"/>
    <w:rsid w:val="0018708F"/>
    <w:rsid w:val="0018717B"/>
    <w:rsid w:val="00187265"/>
    <w:rsid w:val="001874CF"/>
    <w:rsid w:val="001879FE"/>
    <w:rsid w:val="00190F56"/>
    <w:rsid w:val="0019169C"/>
    <w:rsid w:val="00191993"/>
    <w:rsid w:val="001930FB"/>
    <w:rsid w:val="00194BFD"/>
    <w:rsid w:val="001A081B"/>
    <w:rsid w:val="001A0ABD"/>
    <w:rsid w:val="001A13B8"/>
    <w:rsid w:val="001A1C53"/>
    <w:rsid w:val="001A4726"/>
    <w:rsid w:val="001A4929"/>
    <w:rsid w:val="001A561B"/>
    <w:rsid w:val="001A6016"/>
    <w:rsid w:val="001A6149"/>
    <w:rsid w:val="001B10A6"/>
    <w:rsid w:val="001B1E73"/>
    <w:rsid w:val="001B37DB"/>
    <w:rsid w:val="001B496F"/>
    <w:rsid w:val="001B649A"/>
    <w:rsid w:val="001B6C19"/>
    <w:rsid w:val="001C246F"/>
    <w:rsid w:val="001C2DC4"/>
    <w:rsid w:val="001C30AF"/>
    <w:rsid w:val="001C3CF7"/>
    <w:rsid w:val="001C490C"/>
    <w:rsid w:val="001C4B4A"/>
    <w:rsid w:val="001C4EB8"/>
    <w:rsid w:val="001C56AC"/>
    <w:rsid w:val="001D25AA"/>
    <w:rsid w:val="001D2C0E"/>
    <w:rsid w:val="001D30FF"/>
    <w:rsid w:val="001D4219"/>
    <w:rsid w:val="001D56D8"/>
    <w:rsid w:val="001D58CA"/>
    <w:rsid w:val="001D6387"/>
    <w:rsid w:val="001D7B35"/>
    <w:rsid w:val="001E1149"/>
    <w:rsid w:val="001E1F34"/>
    <w:rsid w:val="001E2162"/>
    <w:rsid w:val="001E223E"/>
    <w:rsid w:val="001E2831"/>
    <w:rsid w:val="001E2920"/>
    <w:rsid w:val="001E37E7"/>
    <w:rsid w:val="001E38E9"/>
    <w:rsid w:val="001E50E2"/>
    <w:rsid w:val="001E580C"/>
    <w:rsid w:val="001E6376"/>
    <w:rsid w:val="001E7DAB"/>
    <w:rsid w:val="001F0426"/>
    <w:rsid w:val="001F21DC"/>
    <w:rsid w:val="001F265A"/>
    <w:rsid w:val="001F286C"/>
    <w:rsid w:val="001F29E7"/>
    <w:rsid w:val="001F2C38"/>
    <w:rsid w:val="001F36C6"/>
    <w:rsid w:val="001F371D"/>
    <w:rsid w:val="001F5447"/>
    <w:rsid w:val="001F5856"/>
    <w:rsid w:val="001F5A32"/>
    <w:rsid w:val="001F6A18"/>
    <w:rsid w:val="001F722F"/>
    <w:rsid w:val="001F770B"/>
    <w:rsid w:val="00201205"/>
    <w:rsid w:val="0020155A"/>
    <w:rsid w:val="00201EE1"/>
    <w:rsid w:val="00202D54"/>
    <w:rsid w:val="002046B5"/>
    <w:rsid w:val="00206175"/>
    <w:rsid w:val="002112E4"/>
    <w:rsid w:val="0021136D"/>
    <w:rsid w:val="002137F9"/>
    <w:rsid w:val="00213E89"/>
    <w:rsid w:val="00214164"/>
    <w:rsid w:val="002178D7"/>
    <w:rsid w:val="002215CF"/>
    <w:rsid w:val="00221BD9"/>
    <w:rsid w:val="002237F2"/>
    <w:rsid w:val="002265B9"/>
    <w:rsid w:val="00226789"/>
    <w:rsid w:val="00226B57"/>
    <w:rsid w:val="0022729A"/>
    <w:rsid w:val="00227420"/>
    <w:rsid w:val="00231538"/>
    <w:rsid w:val="00231A0B"/>
    <w:rsid w:val="002339B6"/>
    <w:rsid w:val="00234953"/>
    <w:rsid w:val="00236F0D"/>
    <w:rsid w:val="002373D6"/>
    <w:rsid w:val="00240005"/>
    <w:rsid w:val="002404F9"/>
    <w:rsid w:val="002418B2"/>
    <w:rsid w:val="002418ED"/>
    <w:rsid w:val="002439DB"/>
    <w:rsid w:val="00245351"/>
    <w:rsid w:val="00246F66"/>
    <w:rsid w:val="0024772A"/>
    <w:rsid w:val="00247DCE"/>
    <w:rsid w:val="00247E2C"/>
    <w:rsid w:val="00247FFB"/>
    <w:rsid w:val="002517EA"/>
    <w:rsid w:val="00252E14"/>
    <w:rsid w:val="0025336B"/>
    <w:rsid w:val="00253706"/>
    <w:rsid w:val="00255608"/>
    <w:rsid w:val="00257910"/>
    <w:rsid w:val="00257ABC"/>
    <w:rsid w:val="00260DFD"/>
    <w:rsid w:val="00260FD0"/>
    <w:rsid w:val="002624AB"/>
    <w:rsid w:val="002629A8"/>
    <w:rsid w:val="00266944"/>
    <w:rsid w:val="00267E54"/>
    <w:rsid w:val="00267F81"/>
    <w:rsid w:val="0027069D"/>
    <w:rsid w:val="00270730"/>
    <w:rsid w:val="002707EC"/>
    <w:rsid w:val="00270D25"/>
    <w:rsid w:val="00271497"/>
    <w:rsid w:val="002721B7"/>
    <w:rsid w:val="002722CF"/>
    <w:rsid w:val="002730DA"/>
    <w:rsid w:val="002749F2"/>
    <w:rsid w:val="00276166"/>
    <w:rsid w:val="00276BB1"/>
    <w:rsid w:val="002808A6"/>
    <w:rsid w:val="002809F9"/>
    <w:rsid w:val="00282203"/>
    <w:rsid w:val="00284E27"/>
    <w:rsid w:val="00286470"/>
    <w:rsid w:val="00287883"/>
    <w:rsid w:val="00291161"/>
    <w:rsid w:val="002912B6"/>
    <w:rsid w:val="00291BAA"/>
    <w:rsid w:val="0029251E"/>
    <w:rsid w:val="00292A77"/>
    <w:rsid w:val="0029303E"/>
    <w:rsid w:val="00294B7C"/>
    <w:rsid w:val="0029504E"/>
    <w:rsid w:val="002955AF"/>
    <w:rsid w:val="002A040C"/>
    <w:rsid w:val="002A12C4"/>
    <w:rsid w:val="002A2252"/>
    <w:rsid w:val="002A2DCE"/>
    <w:rsid w:val="002A319D"/>
    <w:rsid w:val="002A36F1"/>
    <w:rsid w:val="002A5828"/>
    <w:rsid w:val="002A7AF8"/>
    <w:rsid w:val="002B1FF0"/>
    <w:rsid w:val="002B39BE"/>
    <w:rsid w:val="002B43A1"/>
    <w:rsid w:val="002B55B1"/>
    <w:rsid w:val="002B6077"/>
    <w:rsid w:val="002C0C6C"/>
    <w:rsid w:val="002C0D20"/>
    <w:rsid w:val="002C1138"/>
    <w:rsid w:val="002C17C4"/>
    <w:rsid w:val="002C6EEA"/>
    <w:rsid w:val="002C72C4"/>
    <w:rsid w:val="002D02B1"/>
    <w:rsid w:val="002D354B"/>
    <w:rsid w:val="002D3BBA"/>
    <w:rsid w:val="002D673D"/>
    <w:rsid w:val="002D6AE8"/>
    <w:rsid w:val="002D7B2C"/>
    <w:rsid w:val="002E1BEA"/>
    <w:rsid w:val="002E42F5"/>
    <w:rsid w:val="002F0759"/>
    <w:rsid w:val="002F0EE6"/>
    <w:rsid w:val="002F0FA3"/>
    <w:rsid w:val="002F1D1A"/>
    <w:rsid w:val="002F28F0"/>
    <w:rsid w:val="002F3534"/>
    <w:rsid w:val="002F4849"/>
    <w:rsid w:val="002F62FA"/>
    <w:rsid w:val="002F683E"/>
    <w:rsid w:val="002F76AD"/>
    <w:rsid w:val="0030095C"/>
    <w:rsid w:val="00300A62"/>
    <w:rsid w:val="0030116D"/>
    <w:rsid w:val="003014A4"/>
    <w:rsid w:val="00305CEB"/>
    <w:rsid w:val="0030678B"/>
    <w:rsid w:val="00306E1C"/>
    <w:rsid w:val="00307511"/>
    <w:rsid w:val="00310A8B"/>
    <w:rsid w:val="00310BD5"/>
    <w:rsid w:val="00312C45"/>
    <w:rsid w:val="003135E9"/>
    <w:rsid w:val="0031371D"/>
    <w:rsid w:val="00315498"/>
    <w:rsid w:val="00317E1E"/>
    <w:rsid w:val="00320DF2"/>
    <w:rsid w:val="00320E3B"/>
    <w:rsid w:val="00321968"/>
    <w:rsid w:val="00324F33"/>
    <w:rsid w:val="003322EF"/>
    <w:rsid w:val="003322F2"/>
    <w:rsid w:val="00333470"/>
    <w:rsid w:val="00333DF6"/>
    <w:rsid w:val="003346C6"/>
    <w:rsid w:val="003349D9"/>
    <w:rsid w:val="00335F04"/>
    <w:rsid w:val="00336A69"/>
    <w:rsid w:val="003370DC"/>
    <w:rsid w:val="00340090"/>
    <w:rsid w:val="0034112B"/>
    <w:rsid w:val="0034140F"/>
    <w:rsid w:val="00341B46"/>
    <w:rsid w:val="003439DA"/>
    <w:rsid w:val="00345DB0"/>
    <w:rsid w:val="00345F30"/>
    <w:rsid w:val="00346EEE"/>
    <w:rsid w:val="003478A8"/>
    <w:rsid w:val="00350046"/>
    <w:rsid w:val="00351305"/>
    <w:rsid w:val="00351A3A"/>
    <w:rsid w:val="00351C81"/>
    <w:rsid w:val="00352785"/>
    <w:rsid w:val="00352C30"/>
    <w:rsid w:val="00353094"/>
    <w:rsid w:val="0035351A"/>
    <w:rsid w:val="003538AF"/>
    <w:rsid w:val="00353FA4"/>
    <w:rsid w:val="003546AE"/>
    <w:rsid w:val="00354D52"/>
    <w:rsid w:val="003560A5"/>
    <w:rsid w:val="003609E4"/>
    <w:rsid w:val="0036121E"/>
    <w:rsid w:val="00362A94"/>
    <w:rsid w:val="00362DFE"/>
    <w:rsid w:val="00363FB9"/>
    <w:rsid w:val="003648A3"/>
    <w:rsid w:val="003654BD"/>
    <w:rsid w:val="003708B0"/>
    <w:rsid w:val="00372B72"/>
    <w:rsid w:val="0037363A"/>
    <w:rsid w:val="00373AF2"/>
    <w:rsid w:val="003746E9"/>
    <w:rsid w:val="00375D94"/>
    <w:rsid w:val="003765A7"/>
    <w:rsid w:val="003766AC"/>
    <w:rsid w:val="00376BE4"/>
    <w:rsid w:val="00377AB3"/>
    <w:rsid w:val="00380ADA"/>
    <w:rsid w:val="00382AEF"/>
    <w:rsid w:val="00383378"/>
    <w:rsid w:val="00384813"/>
    <w:rsid w:val="0038573E"/>
    <w:rsid w:val="0038644D"/>
    <w:rsid w:val="00390A50"/>
    <w:rsid w:val="00391342"/>
    <w:rsid w:val="00391EC0"/>
    <w:rsid w:val="0039390D"/>
    <w:rsid w:val="00394F30"/>
    <w:rsid w:val="00395440"/>
    <w:rsid w:val="00395629"/>
    <w:rsid w:val="00395C2A"/>
    <w:rsid w:val="00396626"/>
    <w:rsid w:val="00397FEB"/>
    <w:rsid w:val="003A0947"/>
    <w:rsid w:val="003A3D0B"/>
    <w:rsid w:val="003A44D8"/>
    <w:rsid w:val="003A5781"/>
    <w:rsid w:val="003A5BF1"/>
    <w:rsid w:val="003A5EFC"/>
    <w:rsid w:val="003A6B98"/>
    <w:rsid w:val="003B0989"/>
    <w:rsid w:val="003B12C0"/>
    <w:rsid w:val="003B33D4"/>
    <w:rsid w:val="003B47AF"/>
    <w:rsid w:val="003B4C7C"/>
    <w:rsid w:val="003B51A1"/>
    <w:rsid w:val="003B5241"/>
    <w:rsid w:val="003B58E8"/>
    <w:rsid w:val="003B5CB3"/>
    <w:rsid w:val="003B5CE7"/>
    <w:rsid w:val="003B6240"/>
    <w:rsid w:val="003C0055"/>
    <w:rsid w:val="003C0D10"/>
    <w:rsid w:val="003C5593"/>
    <w:rsid w:val="003C645F"/>
    <w:rsid w:val="003C6FF7"/>
    <w:rsid w:val="003C7F2D"/>
    <w:rsid w:val="003D0F75"/>
    <w:rsid w:val="003D3C42"/>
    <w:rsid w:val="003D4195"/>
    <w:rsid w:val="003D4866"/>
    <w:rsid w:val="003D4B5E"/>
    <w:rsid w:val="003D520F"/>
    <w:rsid w:val="003D5577"/>
    <w:rsid w:val="003E0485"/>
    <w:rsid w:val="003E0A2C"/>
    <w:rsid w:val="003E155B"/>
    <w:rsid w:val="003E2E98"/>
    <w:rsid w:val="003E2F00"/>
    <w:rsid w:val="003E3FE0"/>
    <w:rsid w:val="003E4634"/>
    <w:rsid w:val="003E6E0F"/>
    <w:rsid w:val="003F1957"/>
    <w:rsid w:val="003F266C"/>
    <w:rsid w:val="003F2C9F"/>
    <w:rsid w:val="003F3AD1"/>
    <w:rsid w:val="003F440A"/>
    <w:rsid w:val="003F60C1"/>
    <w:rsid w:val="003F7B49"/>
    <w:rsid w:val="003F7EF1"/>
    <w:rsid w:val="00402CDF"/>
    <w:rsid w:val="00404398"/>
    <w:rsid w:val="004048EC"/>
    <w:rsid w:val="00404C6A"/>
    <w:rsid w:val="00406AD9"/>
    <w:rsid w:val="0040709B"/>
    <w:rsid w:val="00411DE8"/>
    <w:rsid w:val="0041211B"/>
    <w:rsid w:val="00412798"/>
    <w:rsid w:val="00412E79"/>
    <w:rsid w:val="00413481"/>
    <w:rsid w:val="004159D5"/>
    <w:rsid w:val="00415A3D"/>
    <w:rsid w:val="004172E8"/>
    <w:rsid w:val="00420DE2"/>
    <w:rsid w:val="0042129F"/>
    <w:rsid w:val="004212E5"/>
    <w:rsid w:val="00421640"/>
    <w:rsid w:val="00421E6B"/>
    <w:rsid w:val="004221BA"/>
    <w:rsid w:val="00422D49"/>
    <w:rsid w:val="004230F2"/>
    <w:rsid w:val="00423D7B"/>
    <w:rsid w:val="00424E92"/>
    <w:rsid w:val="0042551E"/>
    <w:rsid w:val="004258DC"/>
    <w:rsid w:val="0043133F"/>
    <w:rsid w:val="004315CE"/>
    <w:rsid w:val="004324CD"/>
    <w:rsid w:val="00434339"/>
    <w:rsid w:val="004352E7"/>
    <w:rsid w:val="00444026"/>
    <w:rsid w:val="00446311"/>
    <w:rsid w:val="0045308D"/>
    <w:rsid w:val="004533A0"/>
    <w:rsid w:val="00455255"/>
    <w:rsid w:val="00455A9E"/>
    <w:rsid w:val="00455C54"/>
    <w:rsid w:val="00456DB7"/>
    <w:rsid w:val="00456E42"/>
    <w:rsid w:val="00457582"/>
    <w:rsid w:val="004576FC"/>
    <w:rsid w:val="0046179E"/>
    <w:rsid w:val="004620E9"/>
    <w:rsid w:val="0046227E"/>
    <w:rsid w:val="00463062"/>
    <w:rsid w:val="00463088"/>
    <w:rsid w:val="00463813"/>
    <w:rsid w:val="00463CBE"/>
    <w:rsid w:val="004651AA"/>
    <w:rsid w:val="004652A3"/>
    <w:rsid w:val="00465E26"/>
    <w:rsid w:val="0046648F"/>
    <w:rsid w:val="00466B24"/>
    <w:rsid w:val="00466B42"/>
    <w:rsid w:val="00467471"/>
    <w:rsid w:val="00467EE5"/>
    <w:rsid w:val="0047214B"/>
    <w:rsid w:val="0047232C"/>
    <w:rsid w:val="00477B0B"/>
    <w:rsid w:val="00477D6E"/>
    <w:rsid w:val="00480264"/>
    <w:rsid w:val="00480E97"/>
    <w:rsid w:val="00481CCC"/>
    <w:rsid w:val="00482123"/>
    <w:rsid w:val="00482736"/>
    <w:rsid w:val="004838F3"/>
    <w:rsid w:val="004867CC"/>
    <w:rsid w:val="00486904"/>
    <w:rsid w:val="0048696C"/>
    <w:rsid w:val="00490AF4"/>
    <w:rsid w:val="0049167E"/>
    <w:rsid w:val="00492CEB"/>
    <w:rsid w:val="00493ECE"/>
    <w:rsid w:val="004942B3"/>
    <w:rsid w:val="00494AF8"/>
    <w:rsid w:val="0049634A"/>
    <w:rsid w:val="0049680F"/>
    <w:rsid w:val="00497BBB"/>
    <w:rsid w:val="004A05A4"/>
    <w:rsid w:val="004A0902"/>
    <w:rsid w:val="004A10BA"/>
    <w:rsid w:val="004A20DC"/>
    <w:rsid w:val="004A25C5"/>
    <w:rsid w:val="004A260A"/>
    <w:rsid w:val="004A2AE3"/>
    <w:rsid w:val="004A3D6A"/>
    <w:rsid w:val="004A44DC"/>
    <w:rsid w:val="004A6354"/>
    <w:rsid w:val="004A6936"/>
    <w:rsid w:val="004A6CEE"/>
    <w:rsid w:val="004B03D9"/>
    <w:rsid w:val="004B0E81"/>
    <w:rsid w:val="004B19F2"/>
    <w:rsid w:val="004B1AA4"/>
    <w:rsid w:val="004B1C31"/>
    <w:rsid w:val="004B2795"/>
    <w:rsid w:val="004B338B"/>
    <w:rsid w:val="004B4D48"/>
    <w:rsid w:val="004B51EE"/>
    <w:rsid w:val="004B6118"/>
    <w:rsid w:val="004B61D4"/>
    <w:rsid w:val="004C05C1"/>
    <w:rsid w:val="004C0A40"/>
    <w:rsid w:val="004C12DA"/>
    <w:rsid w:val="004C5784"/>
    <w:rsid w:val="004C59B4"/>
    <w:rsid w:val="004C676B"/>
    <w:rsid w:val="004C787D"/>
    <w:rsid w:val="004D051E"/>
    <w:rsid w:val="004D0F84"/>
    <w:rsid w:val="004D318E"/>
    <w:rsid w:val="004D4E9D"/>
    <w:rsid w:val="004D639D"/>
    <w:rsid w:val="004D71C9"/>
    <w:rsid w:val="004D7D12"/>
    <w:rsid w:val="004D7DCF"/>
    <w:rsid w:val="004E04F6"/>
    <w:rsid w:val="004E204E"/>
    <w:rsid w:val="004E2192"/>
    <w:rsid w:val="004E2BF0"/>
    <w:rsid w:val="004E3D83"/>
    <w:rsid w:val="004E5A7A"/>
    <w:rsid w:val="004E5FBF"/>
    <w:rsid w:val="004E7D09"/>
    <w:rsid w:val="004F0DB4"/>
    <w:rsid w:val="004F1849"/>
    <w:rsid w:val="004F255F"/>
    <w:rsid w:val="004F264E"/>
    <w:rsid w:val="004F3300"/>
    <w:rsid w:val="004F4A75"/>
    <w:rsid w:val="004F4F3B"/>
    <w:rsid w:val="004F51EB"/>
    <w:rsid w:val="004F5413"/>
    <w:rsid w:val="004F72A7"/>
    <w:rsid w:val="004F759A"/>
    <w:rsid w:val="00500439"/>
    <w:rsid w:val="00500B31"/>
    <w:rsid w:val="005052B2"/>
    <w:rsid w:val="00505EB4"/>
    <w:rsid w:val="00510B72"/>
    <w:rsid w:val="00510B9B"/>
    <w:rsid w:val="005116C5"/>
    <w:rsid w:val="00513F22"/>
    <w:rsid w:val="00513FF6"/>
    <w:rsid w:val="00516FDE"/>
    <w:rsid w:val="0051773A"/>
    <w:rsid w:val="005206A2"/>
    <w:rsid w:val="00520948"/>
    <w:rsid w:val="00520C13"/>
    <w:rsid w:val="0052209E"/>
    <w:rsid w:val="00522D3F"/>
    <w:rsid w:val="00522EEE"/>
    <w:rsid w:val="005239CB"/>
    <w:rsid w:val="00523BF5"/>
    <w:rsid w:val="00524814"/>
    <w:rsid w:val="005248E8"/>
    <w:rsid w:val="0052549A"/>
    <w:rsid w:val="00525A5A"/>
    <w:rsid w:val="0052655B"/>
    <w:rsid w:val="00527A2D"/>
    <w:rsid w:val="005308D7"/>
    <w:rsid w:val="00532039"/>
    <w:rsid w:val="005336C2"/>
    <w:rsid w:val="005342C0"/>
    <w:rsid w:val="00534D16"/>
    <w:rsid w:val="00534F49"/>
    <w:rsid w:val="00535123"/>
    <w:rsid w:val="005354F6"/>
    <w:rsid w:val="005372ED"/>
    <w:rsid w:val="005374BB"/>
    <w:rsid w:val="005375BB"/>
    <w:rsid w:val="00537A26"/>
    <w:rsid w:val="0054058E"/>
    <w:rsid w:val="00541DBC"/>
    <w:rsid w:val="00542692"/>
    <w:rsid w:val="00542EE2"/>
    <w:rsid w:val="00545999"/>
    <w:rsid w:val="00545CB9"/>
    <w:rsid w:val="00546F18"/>
    <w:rsid w:val="0055100F"/>
    <w:rsid w:val="005526DE"/>
    <w:rsid w:val="005544D7"/>
    <w:rsid w:val="0055543F"/>
    <w:rsid w:val="00555FAD"/>
    <w:rsid w:val="00556533"/>
    <w:rsid w:val="00561151"/>
    <w:rsid w:val="005612D4"/>
    <w:rsid w:val="0056218B"/>
    <w:rsid w:val="00562CFD"/>
    <w:rsid w:val="00570152"/>
    <w:rsid w:val="00572098"/>
    <w:rsid w:val="00573DC9"/>
    <w:rsid w:val="00575ABC"/>
    <w:rsid w:val="00576FC6"/>
    <w:rsid w:val="00581B5F"/>
    <w:rsid w:val="0058282F"/>
    <w:rsid w:val="0058437C"/>
    <w:rsid w:val="00586A2C"/>
    <w:rsid w:val="0058702E"/>
    <w:rsid w:val="00591426"/>
    <w:rsid w:val="00592563"/>
    <w:rsid w:val="00592C88"/>
    <w:rsid w:val="00594597"/>
    <w:rsid w:val="0059475E"/>
    <w:rsid w:val="00594CDA"/>
    <w:rsid w:val="00595B44"/>
    <w:rsid w:val="00595BD4"/>
    <w:rsid w:val="00596258"/>
    <w:rsid w:val="005970F0"/>
    <w:rsid w:val="005A04A8"/>
    <w:rsid w:val="005A21B2"/>
    <w:rsid w:val="005A35EE"/>
    <w:rsid w:val="005B3B25"/>
    <w:rsid w:val="005B3F30"/>
    <w:rsid w:val="005B7E70"/>
    <w:rsid w:val="005C0999"/>
    <w:rsid w:val="005C0CCB"/>
    <w:rsid w:val="005C51E1"/>
    <w:rsid w:val="005C52A0"/>
    <w:rsid w:val="005C5909"/>
    <w:rsid w:val="005C6D08"/>
    <w:rsid w:val="005C751E"/>
    <w:rsid w:val="005D0DD7"/>
    <w:rsid w:val="005D1C0E"/>
    <w:rsid w:val="005D3FF9"/>
    <w:rsid w:val="005D4733"/>
    <w:rsid w:val="005D5588"/>
    <w:rsid w:val="005D55C8"/>
    <w:rsid w:val="005D5AF2"/>
    <w:rsid w:val="005E0559"/>
    <w:rsid w:val="005E1ED8"/>
    <w:rsid w:val="005E211C"/>
    <w:rsid w:val="005E303F"/>
    <w:rsid w:val="005E3A22"/>
    <w:rsid w:val="005E3E56"/>
    <w:rsid w:val="005E4BB2"/>
    <w:rsid w:val="005E6015"/>
    <w:rsid w:val="005E6B59"/>
    <w:rsid w:val="005F04C5"/>
    <w:rsid w:val="005F08CF"/>
    <w:rsid w:val="005F3266"/>
    <w:rsid w:val="005F3A78"/>
    <w:rsid w:val="005F5064"/>
    <w:rsid w:val="005F55B2"/>
    <w:rsid w:val="005F5C5F"/>
    <w:rsid w:val="00601099"/>
    <w:rsid w:val="00602901"/>
    <w:rsid w:val="00603229"/>
    <w:rsid w:val="00605C6D"/>
    <w:rsid w:val="00605EB0"/>
    <w:rsid w:val="006061A8"/>
    <w:rsid w:val="006065B7"/>
    <w:rsid w:val="006127FE"/>
    <w:rsid w:val="00617F6D"/>
    <w:rsid w:val="006201DD"/>
    <w:rsid w:val="00620DD4"/>
    <w:rsid w:val="00623535"/>
    <w:rsid w:val="006245D2"/>
    <w:rsid w:val="00624B22"/>
    <w:rsid w:val="00625188"/>
    <w:rsid w:val="00625F31"/>
    <w:rsid w:val="0062708E"/>
    <w:rsid w:val="006309E9"/>
    <w:rsid w:val="00630ABF"/>
    <w:rsid w:val="00630C3B"/>
    <w:rsid w:val="0063194F"/>
    <w:rsid w:val="00632949"/>
    <w:rsid w:val="00634532"/>
    <w:rsid w:val="0063609F"/>
    <w:rsid w:val="00637698"/>
    <w:rsid w:val="006404A9"/>
    <w:rsid w:val="00640568"/>
    <w:rsid w:val="00641924"/>
    <w:rsid w:val="00641F01"/>
    <w:rsid w:val="00642FFC"/>
    <w:rsid w:val="00643BF9"/>
    <w:rsid w:val="00644128"/>
    <w:rsid w:val="00645E7A"/>
    <w:rsid w:val="0064602C"/>
    <w:rsid w:val="00646BBF"/>
    <w:rsid w:val="00647B26"/>
    <w:rsid w:val="006527BB"/>
    <w:rsid w:val="006529F5"/>
    <w:rsid w:val="00652D12"/>
    <w:rsid w:val="00653F0C"/>
    <w:rsid w:val="006542C2"/>
    <w:rsid w:val="00654DC2"/>
    <w:rsid w:val="00656C7C"/>
    <w:rsid w:val="00656D6F"/>
    <w:rsid w:val="00660C9A"/>
    <w:rsid w:val="00661517"/>
    <w:rsid w:val="0066421A"/>
    <w:rsid w:val="00664913"/>
    <w:rsid w:val="0066612F"/>
    <w:rsid w:val="006673F7"/>
    <w:rsid w:val="00667AFB"/>
    <w:rsid w:val="00670098"/>
    <w:rsid w:val="00670715"/>
    <w:rsid w:val="006709C0"/>
    <w:rsid w:val="006713FC"/>
    <w:rsid w:val="0067147A"/>
    <w:rsid w:val="006716C4"/>
    <w:rsid w:val="00672DBA"/>
    <w:rsid w:val="00674C28"/>
    <w:rsid w:val="00674F37"/>
    <w:rsid w:val="00675AD8"/>
    <w:rsid w:val="00676003"/>
    <w:rsid w:val="006773D1"/>
    <w:rsid w:val="0067743B"/>
    <w:rsid w:val="006779B4"/>
    <w:rsid w:val="006805E7"/>
    <w:rsid w:val="00680BFF"/>
    <w:rsid w:val="00681244"/>
    <w:rsid w:val="00682417"/>
    <w:rsid w:val="00684C3F"/>
    <w:rsid w:val="0068634C"/>
    <w:rsid w:val="0068744D"/>
    <w:rsid w:val="00690B0F"/>
    <w:rsid w:val="00690D28"/>
    <w:rsid w:val="00692308"/>
    <w:rsid w:val="00692C0D"/>
    <w:rsid w:val="00693470"/>
    <w:rsid w:val="006943A1"/>
    <w:rsid w:val="006946D4"/>
    <w:rsid w:val="00694A19"/>
    <w:rsid w:val="00694D2F"/>
    <w:rsid w:val="00695068"/>
    <w:rsid w:val="00695869"/>
    <w:rsid w:val="00695B3F"/>
    <w:rsid w:val="00696BE5"/>
    <w:rsid w:val="0069757C"/>
    <w:rsid w:val="006A2044"/>
    <w:rsid w:val="006A2CC6"/>
    <w:rsid w:val="006A2D32"/>
    <w:rsid w:val="006A365D"/>
    <w:rsid w:val="006A566C"/>
    <w:rsid w:val="006A60E5"/>
    <w:rsid w:val="006B1B4B"/>
    <w:rsid w:val="006B288C"/>
    <w:rsid w:val="006B28C6"/>
    <w:rsid w:val="006B2E66"/>
    <w:rsid w:val="006B320E"/>
    <w:rsid w:val="006B5737"/>
    <w:rsid w:val="006B5D46"/>
    <w:rsid w:val="006B5D6D"/>
    <w:rsid w:val="006B6459"/>
    <w:rsid w:val="006C2080"/>
    <w:rsid w:val="006C2457"/>
    <w:rsid w:val="006C3867"/>
    <w:rsid w:val="006C4DA3"/>
    <w:rsid w:val="006C4EF4"/>
    <w:rsid w:val="006C5301"/>
    <w:rsid w:val="006C5E4C"/>
    <w:rsid w:val="006C6F5C"/>
    <w:rsid w:val="006C7790"/>
    <w:rsid w:val="006C7DDF"/>
    <w:rsid w:val="006D0D08"/>
    <w:rsid w:val="006D1D4B"/>
    <w:rsid w:val="006D31E2"/>
    <w:rsid w:val="006D3C35"/>
    <w:rsid w:val="006D3FB9"/>
    <w:rsid w:val="006D6E49"/>
    <w:rsid w:val="006D770C"/>
    <w:rsid w:val="006D79A4"/>
    <w:rsid w:val="006D7DED"/>
    <w:rsid w:val="006E0813"/>
    <w:rsid w:val="006E23BE"/>
    <w:rsid w:val="006E29F5"/>
    <w:rsid w:val="006E2AC2"/>
    <w:rsid w:val="006E44EE"/>
    <w:rsid w:val="006E4EBA"/>
    <w:rsid w:val="006E5D2C"/>
    <w:rsid w:val="006E6DEA"/>
    <w:rsid w:val="006E7A11"/>
    <w:rsid w:val="006E7D42"/>
    <w:rsid w:val="006F0F56"/>
    <w:rsid w:val="006F1081"/>
    <w:rsid w:val="006F1401"/>
    <w:rsid w:val="006F1768"/>
    <w:rsid w:val="006F3988"/>
    <w:rsid w:val="006F47F8"/>
    <w:rsid w:val="006F48A7"/>
    <w:rsid w:val="006F4AB4"/>
    <w:rsid w:val="006F5062"/>
    <w:rsid w:val="006F653B"/>
    <w:rsid w:val="006F7914"/>
    <w:rsid w:val="00702A5B"/>
    <w:rsid w:val="0070319F"/>
    <w:rsid w:val="00703E1C"/>
    <w:rsid w:val="00707978"/>
    <w:rsid w:val="00710677"/>
    <w:rsid w:val="00713110"/>
    <w:rsid w:val="007136A3"/>
    <w:rsid w:val="00714818"/>
    <w:rsid w:val="007148A2"/>
    <w:rsid w:val="00715C0D"/>
    <w:rsid w:val="007160C1"/>
    <w:rsid w:val="0071619F"/>
    <w:rsid w:val="007173B0"/>
    <w:rsid w:val="00720C5A"/>
    <w:rsid w:val="00721050"/>
    <w:rsid w:val="007227A7"/>
    <w:rsid w:val="00723707"/>
    <w:rsid w:val="00724E8D"/>
    <w:rsid w:val="0072550E"/>
    <w:rsid w:val="00726320"/>
    <w:rsid w:val="007308E4"/>
    <w:rsid w:val="007311E8"/>
    <w:rsid w:val="00731579"/>
    <w:rsid w:val="00733510"/>
    <w:rsid w:val="00734171"/>
    <w:rsid w:val="00735EB5"/>
    <w:rsid w:val="00737262"/>
    <w:rsid w:val="00737C29"/>
    <w:rsid w:val="007400D3"/>
    <w:rsid w:val="0074029C"/>
    <w:rsid w:val="0074070F"/>
    <w:rsid w:val="00741FFB"/>
    <w:rsid w:val="007422B3"/>
    <w:rsid w:val="00742E52"/>
    <w:rsid w:val="0074405E"/>
    <w:rsid w:val="007440B4"/>
    <w:rsid w:val="00744B94"/>
    <w:rsid w:val="00744EEA"/>
    <w:rsid w:val="007461FD"/>
    <w:rsid w:val="0074636F"/>
    <w:rsid w:val="00747066"/>
    <w:rsid w:val="00747255"/>
    <w:rsid w:val="00747B33"/>
    <w:rsid w:val="00750399"/>
    <w:rsid w:val="00751378"/>
    <w:rsid w:val="0075180A"/>
    <w:rsid w:val="00751FF3"/>
    <w:rsid w:val="0075350D"/>
    <w:rsid w:val="0075447D"/>
    <w:rsid w:val="0075592D"/>
    <w:rsid w:val="007571A7"/>
    <w:rsid w:val="0075768F"/>
    <w:rsid w:val="0076020C"/>
    <w:rsid w:val="00761520"/>
    <w:rsid w:val="0076162F"/>
    <w:rsid w:val="00761F1E"/>
    <w:rsid w:val="00762817"/>
    <w:rsid w:val="00763B03"/>
    <w:rsid w:val="007667AD"/>
    <w:rsid w:val="00767CA4"/>
    <w:rsid w:val="00770303"/>
    <w:rsid w:val="00771047"/>
    <w:rsid w:val="00771835"/>
    <w:rsid w:val="00771922"/>
    <w:rsid w:val="007755C4"/>
    <w:rsid w:val="0077567C"/>
    <w:rsid w:val="00777560"/>
    <w:rsid w:val="007779D4"/>
    <w:rsid w:val="007835BD"/>
    <w:rsid w:val="00784239"/>
    <w:rsid w:val="00784ED0"/>
    <w:rsid w:val="00785167"/>
    <w:rsid w:val="007866A4"/>
    <w:rsid w:val="00786C0C"/>
    <w:rsid w:val="0078770B"/>
    <w:rsid w:val="007877E5"/>
    <w:rsid w:val="00787D65"/>
    <w:rsid w:val="00792827"/>
    <w:rsid w:val="00793AFC"/>
    <w:rsid w:val="00794622"/>
    <w:rsid w:val="007A1DB0"/>
    <w:rsid w:val="007A53BA"/>
    <w:rsid w:val="007A62DB"/>
    <w:rsid w:val="007A66B7"/>
    <w:rsid w:val="007A6DE4"/>
    <w:rsid w:val="007A7AFF"/>
    <w:rsid w:val="007A7BA7"/>
    <w:rsid w:val="007B0757"/>
    <w:rsid w:val="007B218C"/>
    <w:rsid w:val="007B2AAC"/>
    <w:rsid w:val="007B3B4F"/>
    <w:rsid w:val="007B3C3C"/>
    <w:rsid w:val="007B4811"/>
    <w:rsid w:val="007B701E"/>
    <w:rsid w:val="007C022E"/>
    <w:rsid w:val="007C0AB0"/>
    <w:rsid w:val="007C1B72"/>
    <w:rsid w:val="007C1D49"/>
    <w:rsid w:val="007C328C"/>
    <w:rsid w:val="007C3957"/>
    <w:rsid w:val="007C40F4"/>
    <w:rsid w:val="007C4BC4"/>
    <w:rsid w:val="007D09B8"/>
    <w:rsid w:val="007D1CB1"/>
    <w:rsid w:val="007D29E2"/>
    <w:rsid w:val="007D432C"/>
    <w:rsid w:val="007D4C99"/>
    <w:rsid w:val="007E0696"/>
    <w:rsid w:val="007E1E1D"/>
    <w:rsid w:val="007E2572"/>
    <w:rsid w:val="007E3B2A"/>
    <w:rsid w:val="007E52F1"/>
    <w:rsid w:val="007E6513"/>
    <w:rsid w:val="007F0262"/>
    <w:rsid w:val="007F0DC7"/>
    <w:rsid w:val="007F3842"/>
    <w:rsid w:val="007F428E"/>
    <w:rsid w:val="007F79CD"/>
    <w:rsid w:val="007F7C16"/>
    <w:rsid w:val="00801784"/>
    <w:rsid w:val="00801BD2"/>
    <w:rsid w:val="00801C95"/>
    <w:rsid w:val="00802004"/>
    <w:rsid w:val="00803722"/>
    <w:rsid w:val="00803D2C"/>
    <w:rsid w:val="008048ED"/>
    <w:rsid w:val="008056F4"/>
    <w:rsid w:val="00805971"/>
    <w:rsid w:val="0081092F"/>
    <w:rsid w:val="00812487"/>
    <w:rsid w:val="00812EB6"/>
    <w:rsid w:val="00813765"/>
    <w:rsid w:val="00813C86"/>
    <w:rsid w:val="00814068"/>
    <w:rsid w:val="008177E2"/>
    <w:rsid w:val="008221CC"/>
    <w:rsid w:val="00822D47"/>
    <w:rsid w:val="00823519"/>
    <w:rsid w:val="00826004"/>
    <w:rsid w:val="008262C4"/>
    <w:rsid w:val="00826407"/>
    <w:rsid w:val="00827A48"/>
    <w:rsid w:val="008304C0"/>
    <w:rsid w:val="008331A7"/>
    <w:rsid w:val="008339E9"/>
    <w:rsid w:val="00834287"/>
    <w:rsid w:val="00834FB6"/>
    <w:rsid w:val="008365AB"/>
    <w:rsid w:val="00836E8F"/>
    <w:rsid w:val="00837452"/>
    <w:rsid w:val="00840EEC"/>
    <w:rsid w:val="008411B3"/>
    <w:rsid w:val="008430C7"/>
    <w:rsid w:val="0084411A"/>
    <w:rsid w:val="0084593D"/>
    <w:rsid w:val="00845B99"/>
    <w:rsid w:val="00850660"/>
    <w:rsid w:val="00850970"/>
    <w:rsid w:val="00850B46"/>
    <w:rsid w:val="00851648"/>
    <w:rsid w:val="00851AEA"/>
    <w:rsid w:val="00851E8A"/>
    <w:rsid w:val="008520A8"/>
    <w:rsid w:val="00852A5C"/>
    <w:rsid w:val="00852CA7"/>
    <w:rsid w:val="0085373D"/>
    <w:rsid w:val="0085397C"/>
    <w:rsid w:val="00854657"/>
    <w:rsid w:val="008548EC"/>
    <w:rsid w:val="00854905"/>
    <w:rsid w:val="00854B6A"/>
    <w:rsid w:val="00856906"/>
    <w:rsid w:val="00857F35"/>
    <w:rsid w:val="00860A28"/>
    <w:rsid w:val="00861D86"/>
    <w:rsid w:val="00863972"/>
    <w:rsid w:val="008644EE"/>
    <w:rsid w:val="00864670"/>
    <w:rsid w:val="0086769D"/>
    <w:rsid w:val="00870AFE"/>
    <w:rsid w:val="00872CA8"/>
    <w:rsid w:val="00872CBE"/>
    <w:rsid w:val="00873D24"/>
    <w:rsid w:val="00874981"/>
    <w:rsid w:val="008749B3"/>
    <w:rsid w:val="00874CC1"/>
    <w:rsid w:val="00875BAC"/>
    <w:rsid w:val="00876712"/>
    <w:rsid w:val="00880758"/>
    <w:rsid w:val="00883667"/>
    <w:rsid w:val="00886B73"/>
    <w:rsid w:val="0089030F"/>
    <w:rsid w:val="00890762"/>
    <w:rsid w:val="0089273B"/>
    <w:rsid w:val="008937BE"/>
    <w:rsid w:val="0089441D"/>
    <w:rsid w:val="00895B97"/>
    <w:rsid w:val="008A0AFA"/>
    <w:rsid w:val="008A2E52"/>
    <w:rsid w:val="008A64C3"/>
    <w:rsid w:val="008A6D0C"/>
    <w:rsid w:val="008B1B98"/>
    <w:rsid w:val="008B1BCF"/>
    <w:rsid w:val="008B2191"/>
    <w:rsid w:val="008B2652"/>
    <w:rsid w:val="008B3C01"/>
    <w:rsid w:val="008B4053"/>
    <w:rsid w:val="008B5FB0"/>
    <w:rsid w:val="008B6527"/>
    <w:rsid w:val="008B6AC3"/>
    <w:rsid w:val="008B6D3D"/>
    <w:rsid w:val="008B7269"/>
    <w:rsid w:val="008B73D7"/>
    <w:rsid w:val="008B759C"/>
    <w:rsid w:val="008C1399"/>
    <w:rsid w:val="008C288C"/>
    <w:rsid w:val="008C30B5"/>
    <w:rsid w:val="008C4446"/>
    <w:rsid w:val="008C4C8F"/>
    <w:rsid w:val="008C523D"/>
    <w:rsid w:val="008C6E06"/>
    <w:rsid w:val="008C737E"/>
    <w:rsid w:val="008C7799"/>
    <w:rsid w:val="008D1B27"/>
    <w:rsid w:val="008D3859"/>
    <w:rsid w:val="008D3E70"/>
    <w:rsid w:val="008D452A"/>
    <w:rsid w:val="008D47BA"/>
    <w:rsid w:val="008D5FEF"/>
    <w:rsid w:val="008D6361"/>
    <w:rsid w:val="008D7A00"/>
    <w:rsid w:val="008E0D93"/>
    <w:rsid w:val="008E2051"/>
    <w:rsid w:val="008E2660"/>
    <w:rsid w:val="008E5153"/>
    <w:rsid w:val="008E662E"/>
    <w:rsid w:val="008E6836"/>
    <w:rsid w:val="008E75C7"/>
    <w:rsid w:val="008F01B9"/>
    <w:rsid w:val="008F0D0F"/>
    <w:rsid w:val="008F0ED7"/>
    <w:rsid w:val="008F1661"/>
    <w:rsid w:val="008F6199"/>
    <w:rsid w:val="008F6507"/>
    <w:rsid w:val="008F7708"/>
    <w:rsid w:val="00900CBA"/>
    <w:rsid w:val="0090135D"/>
    <w:rsid w:val="009013B0"/>
    <w:rsid w:val="0090154A"/>
    <w:rsid w:val="00901A98"/>
    <w:rsid w:val="00901D2E"/>
    <w:rsid w:val="009050A7"/>
    <w:rsid w:val="009066E3"/>
    <w:rsid w:val="00907061"/>
    <w:rsid w:val="00912F5B"/>
    <w:rsid w:val="0091371F"/>
    <w:rsid w:val="0091489E"/>
    <w:rsid w:val="00914E91"/>
    <w:rsid w:val="009156C4"/>
    <w:rsid w:val="00922A03"/>
    <w:rsid w:val="00922DB8"/>
    <w:rsid w:val="00923C10"/>
    <w:rsid w:val="00924375"/>
    <w:rsid w:val="00925228"/>
    <w:rsid w:val="0092768D"/>
    <w:rsid w:val="00927915"/>
    <w:rsid w:val="00927EE4"/>
    <w:rsid w:val="009310A9"/>
    <w:rsid w:val="00933255"/>
    <w:rsid w:val="00934810"/>
    <w:rsid w:val="009372F2"/>
    <w:rsid w:val="00937789"/>
    <w:rsid w:val="009413DB"/>
    <w:rsid w:val="00943D9F"/>
    <w:rsid w:val="00946ECD"/>
    <w:rsid w:val="009472AD"/>
    <w:rsid w:val="00947CAC"/>
    <w:rsid w:val="00953C48"/>
    <w:rsid w:val="009548C5"/>
    <w:rsid w:val="00954A69"/>
    <w:rsid w:val="00956C0E"/>
    <w:rsid w:val="00962A1D"/>
    <w:rsid w:val="00965916"/>
    <w:rsid w:val="00965EE5"/>
    <w:rsid w:val="009667D7"/>
    <w:rsid w:val="00966892"/>
    <w:rsid w:val="009675DE"/>
    <w:rsid w:val="00967670"/>
    <w:rsid w:val="00970571"/>
    <w:rsid w:val="00972062"/>
    <w:rsid w:val="0097238C"/>
    <w:rsid w:val="00973406"/>
    <w:rsid w:val="00974522"/>
    <w:rsid w:val="00976359"/>
    <w:rsid w:val="009800BD"/>
    <w:rsid w:val="0098063A"/>
    <w:rsid w:val="00981E1F"/>
    <w:rsid w:val="00982594"/>
    <w:rsid w:val="009827C7"/>
    <w:rsid w:val="00982D5C"/>
    <w:rsid w:val="00982EF2"/>
    <w:rsid w:val="00984707"/>
    <w:rsid w:val="00984732"/>
    <w:rsid w:val="0098478E"/>
    <w:rsid w:val="0098571C"/>
    <w:rsid w:val="00990C79"/>
    <w:rsid w:val="00993B1F"/>
    <w:rsid w:val="009941B5"/>
    <w:rsid w:val="00995BC3"/>
    <w:rsid w:val="009961AC"/>
    <w:rsid w:val="0099656F"/>
    <w:rsid w:val="00997E52"/>
    <w:rsid w:val="00997FD3"/>
    <w:rsid w:val="009A0FD5"/>
    <w:rsid w:val="009A13A4"/>
    <w:rsid w:val="009A1F3A"/>
    <w:rsid w:val="009A2104"/>
    <w:rsid w:val="009A501D"/>
    <w:rsid w:val="009A61E3"/>
    <w:rsid w:val="009A70BA"/>
    <w:rsid w:val="009A75BE"/>
    <w:rsid w:val="009B0922"/>
    <w:rsid w:val="009B3784"/>
    <w:rsid w:val="009C327F"/>
    <w:rsid w:val="009C33CC"/>
    <w:rsid w:val="009C41B5"/>
    <w:rsid w:val="009C4A1B"/>
    <w:rsid w:val="009C7C88"/>
    <w:rsid w:val="009D2B57"/>
    <w:rsid w:val="009D38B8"/>
    <w:rsid w:val="009D4789"/>
    <w:rsid w:val="009D5104"/>
    <w:rsid w:val="009D61FA"/>
    <w:rsid w:val="009D6DB3"/>
    <w:rsid w:val="009D7E71"/>
    <w:rsid w:val="009E13BE"/>
    <w:rsid w:val="009E21EA"/>
    <w:rsid w:val="009E24F0"/>
    <w:rsid w:val="009E4139"/>
    <w:rsid w:val="009E5A7E"/>
    <w:rsid w:val="009E609F"/>
    <w:rsid w:val="009E6E09"/>
    <w:rsid w:val="009F1EFE"/>
    <w:rsid w:val="009F235C"/>
    <w:rsid w:val="009F3649"/>
    <w:rsid w:val="009F6441"/>
    <w:rsid w:val="009F79A2"/>
    <w:rsid w:val="00A024F5"/>
    <w:rsid w:val="00A026DF"/>
    <w:rsid w:val="00A03CAE"/>
    <w:rsid w:val="00A04081"/>
    <w:rsid w:val="00A04632"/>
    <w:rsid w:val="00A06DEF"/>
    <w:rsid w:val="00A07D9E"/>
    <w:rsid w:val="00A10E85"/>
    <w:rsid w:val="00A118CB"/>
    <w:rsid w:val="00A11F82"/>
    <w:rsid w:val="00A1547F"/>
    <w:rsid w:val="00A241EB"/>
    <w:rsid w:val="00A2426F"/>
    <w:rsid w:val="00A2444E"/>
    <w:rsid w:val="00A2695D"/>
    <w:rsid w:val="00A301E9"/>
    <w:rsid w:val="00A30CEC"/>
    <w:rsid w:val="00A317EF"/>
    <w:rsid w:val="00A31B85"/>
    <w:rsid w:val="00A32EC4"/>
    <w:rsid w:val="00A34361"/>
    <w:rsid w:val="00A351C0"/>
    <w:rsid w:val="00A356EF"/>
    <w:rsid w:val="00A4527C"/>
    <w:rsid w:val="00A47054"/>
    <w:rsid w:val="00A5048A"/>
    <w:rsid w:val="00A50A51"/>
    <w:rsid w:val="00A50FDD"/>
    <w:rsid w:val="00A52592"/>
    <w:rsid w:val="00A53E08"/>
    <w:rsid w:val="00A56373"/>
    <w:rsid w:val="00A56802"/>
    <w:rsid w:val="00A56B7F"/>
    <w:rsid w:val="00A571DB"/>
    <w:rsid w:val="00A576B1"/>
    <w:rsid w:val="00A62112"/>
    <w:rsid w:val="00A62213"/>
    <w:rsid w:val="00A64BF1"/>
    <w:rsid w:val="00A64CAC"/>
    <w:rsid w:val="00A65C92"/>
    <w:rsid w:val="00A65D16"/>
    <w:rsid w:val="00A661E8"/>
    <w:rsid w:val="00A66E35"/>
    <w:rsid w:val="00A707E7"/>
    <w:rsid w:val="00A71877"/>
    <w:rsid w:val="00A72FA7"/>
    <w:rsid w:val="00A73571"/>
    <w:rsid w:val="00A757AA"/>
    <w:rsid w:val="00A778C5"/>
    <w:rsid w:val="00A80883"/>
    <w:rsid w:val="00A80CDC"/>
    <w:rsid w:val="00A80D2A"/>
    <w:rsid w:val="00A8188D"/>
    <w:rsid w:val="00A81C11"/>
    <w:rsid w:val="00A83D91"/>
    <w:rsid w:val="00A84DB6"/>
    <w:rsid w:val="00A86244"/>
    <w:rsid w:val="00A86736"/>
    <w:rsid w:val="00A86C26"/>
    <w:rsid w:val="00A8781C"/>
    <w:rsid w:val="00A87D40"/>
    <w:rsid w:val="00A90213"/>
    <w:rsid w:val="00A9050B"/>
    <w:rsid w:val="00A910BF"/>
    <w:rsid w:val="00A920E0"/>
    <w:rsid w:val="00A923B2"/>
    <w:rsid w:val="00A92D98"/>
    <w:rsid w:val="00A938F8"/>
    <w:rsid w:val="00A96F15"/>
    <w:rsid w:val="00A96FD2"/>
    <w:rsid w:val="00A974BC"/>
    <w:rsid w:val="00A978CF"/>
    <w:rsid w:val="00AA0049"/>
    <w:rsid w:val="00AA0196"/>
    <w:rsid w:val="00AA168B"/>
    <w:rsid w:val="00AA217D"/>
    <w:rsid w:val="00AA3972"/>
    <w:rsid w:val="00AA3A64"/>
    <w:rsid w:val="00AA4041"/>
    <w:rsid w:val="00AA5B30"/>
    <w:rsid w:val="00AA5B32"/>
    <w:rsid w:val="00AB0D90"/>
    <w:rsid w:val="00AB154A"/>
    <w:rsid w:val="00AB17F8"/>
    <w:rsid w:val="00AB2945"/>
    <w:rsid w:val="00AB2C6A"/>
    <w:rsid w:val="00AB367D"/>
    <w:rsid w:val="00AB36DB"/>
    <w:rsid w:val="00AB4211"/>
    <w:rsid w:val="00AB445B"/>
    <w:rsid w:val="00AB768F"/>
    <w:rsid w:val="00AC097C"/>
    <w:rsid w:val="00AC122A"/>
    <w:rsid w:val="00AC19A7"/>
    <w:rsid w:val="00AC2FA3"/>
    <w:rsid w:val="00AC334E"/>
    <w:rsid w:val="00AC441E"/>
    <w:rsid w:val="00AC7687"/>
    <w:rsid w:val="00AD0059"/>
    <w:rsid w:val="00AD0FF5"/>
    <w:rsid w:val="00AD1959"/>
    <w:rsid w:val="00AD1E06"/>
    <w:rsid w:val="00AD39F0"/>
    <w:rsid w:val="00AD3CCD"/>
    <w:rsid w:val="00AD3E30"/>
    <w:rsid w:val="00AD72EA"/>
    <w:rsid w:val="00AE03F5"/>
    <w:rsid w:val="00AE10B3"/>
    <w:rsid w:val="00AE35FA"/>
    <w:rsid w:val="00AE3E19"/>
    <w:rsid w:val="00AE44D0"/>
    <w:rsid w:val="00AE79C9"/>
    <w:rsid w:val="00AF1726"/>
    <w:rsid w:val="00AF2711"/>
    <w:rsid w:val="00AF3420"/>
    <w:rsid w:val="00AF3D4B"/>
    <w:rsid w:val="00AF44F0"/>
    <w:rsid w:val="00AF515C"/>
    <w:rsid w:val="00AF5CEC"/>
    <w:rsid w:val="00AF662C"/>
    <w:rsid w:val="00AF7166"/>
    <w:rsid w:val="00B0124E"/>
    <w:rsid w:val="00B01871"/>
    <w:rsid w:val="00B02354"/>
    <w:rsid w:val="00B04C99"/>
    <w:rsid w:val="00B05F7A"/>
    <w:rsid w:val="00B061CC"/>
    <w:rsid w:val="00B110B5"/>
    <w:rsid w:val="00B11E40"/>
    <w:rsid w:val="00B1281F"/>
    <w:rsid w:val="00B1412B"/>
    <w:rsid w:val="00B148A7"/>
    <w:rsid w:val="00B15BE1"/>
    <w:rsid w:val="00B16232"/>
    <w:rsid w:val="00B17FEE"/>
    <w:rsid w:val="00B20AC7"/>
    <w:rsid w:val="00B20C58"/>
    <w:rsid w:val="00B214E9"/>
    <w:rsid w:val="00B22421"/>
    <w:rsid w:val="00B22E81"/>
    <w:rsid w:val="00B246C1"/>
    <w:rsid w:val="00B247B7"/>
    <w:rsid w:val="00B25697"/>
    <w:rsid w:val="00B269B7"/>
    <w:rsid w:val="00B30747"/>
    <w:rsid w:val="00B33001"/>
    <w:rsid w:val="00B359B2"/>
    <w:rsid w:val="00B37CF3"/>
    <w:rsid w:val="00B4029E"/>
    <w:rsid w:val="00B40D44"/>
    <w:rsid w:val="00B41250"/>
    <w:rsid w:val="00B41612"/>
    <w:rsid w:val="00B4398F"/>
    <w:rsid w:val="00B450FC"/>
    <w:rsid w:val="00B451A0"/>
    <w:rsid w:val="00B47D21"/>
    <w:rsid w:val="00B506BF"/>
    <w:rsid w:val="00B509E6"/>
    <w:rsid w:val="00B511B7"/>
    <w:rsid w:val="00B5245D"/>
    <w:rsid w:val="00B52BE6"/>
    <w:rsid w:val="00B52D8B"/>
    <w:rsid w:val="00B53A37"/>
    <w:rsid w:val="00B545E7"/>
    <w:rsid w:val="00B5605F"/>
    <w:rsid w:val="00B563B7"/>
    <w:rsid w:val="00B565A8"/>
    <w:rsid w:val="00B56B52"/>
    <w:rsid w:val="00B601BB"/>
    <w:rsid w:val="00B607BA"/>
    <w:rsid w:val="00B63780"/>
    <w:rsid w:val="00B6384F"/>
    <w:rsid w:val="00B640E9"/>
    <w:rsid w:val="00B6546D"/>
    <w:rsid w:val="00B654DF"/>
    <w:rsid w:val="00B66E20"/>
    <w:rsid w:val="00B67E6F"/>
    <w:rsid w:val="00B67F8C"/>
    <w:rsid w:val="00B72D7C"/>
    <w:rsid w:val="00B73B59"/>
    <w:rsid w:val="00B73E70"/>
    <w:rsid w:val="00B7514A"/>
    <w:rsid w:val="00B75A55"/>
    <w:rsid w:val="00B76A32"/>
    <w:rsid w:val="00B83368"/>
    <w:rsid w:val="00B849B6"/>
    <w:rsid w:val="00B87942"/>
    <w:rsid w:val="00B907BC"/>
    <w:rsid w:val="00B920B7"/>
    <w:rsid w:val="00B92984"/>
    <w:rsid w:val="00B93ACE"/>
    <w:rsid w:val="00B93D87"/>
    <w:rsid w:val="00B94182"/>
    <w:rsid w:val="00B9431E"/>
    <w:rsid w:val="00B96BC5"/>
    <w:rsid w:val="00B97124"/>
    <w:rsid w:val="00B97EE1"/>
    <w:rsid w:val="00BA3B54"/>
    <w:rsid w:val="00BA4274"/>
    <w:rsid w:val="00BA43CF"/>
    <w:rsid w:val="00BA4A8B"/>
    <w:rsid w:val="00BA64CF"/>
    <w:rsid w:val="00BA6647"/>
    <w:rsid w:val="00BA6F3D"/>
    <w:rsid w:val="00BA774C"/>
    <w:rsid w:val="00BB2083"/>
    <w:rsid w:val="00BB2CAD"/>
    <w:rsid w:val="00BB3432"/>
    <w:rsid w:val="00BB42DA"/>
    <w:rsid w:val="00BB7B92"/>
    <w:rsid w:val="00BC108E"/>
    <w:rsid w:val="00BC1F00"/>
    <w:rsid w:val="00BC2D99"/>
    <w:rsid w:val="00BC3007"/>
    <w:rsid w:val="00BC3554"/>
    <w:rsid w:val="00BC5284"/>
    <w:rsid w:val="00BD040C"/>
    <w:rsid w:val="00BD0E41"/>
    <w:rsid w:val="00BD1FC5"/>
    <w:rsid w:val="00BD22BC"/>
    <w:rsid w:val="00BD38FC"/>
    <w:rsid w:val="00BD4380"/>
    <w:rsid w:val="00BD5646"/>
    <w:rsid w:val="00BD5F68"/>
    <w:rsid w:val="00BD61EA"/>
    <w:rsid w:val="00BD7C28"/>
    <w:rsid w:val="00BD7C68"/>
    <w:rsid w:val="00BE01BF"/>
    <w:rsid w:val="00BE0493"/>
    <w:rsid w:val="00BE0C19"/>
    <w:rsid w:val="00BE124E"/>
    <w:rsid w:val="00BE2050"/>
    <w:rsid w:val="00BE348D"/>
    <w:rsid w:val="00BE3BA1"/>
    <w:rsid w:val="00BE3D21"/>
    <w:rsid w:val="00BE3ED9"/>
    <w:rsid w:val="00BE5C7B"/>
    <w:rsid w:val="00BE5D4C"/>
    <w:rsid w:val="00BE5F31"/>
    <w:rsid w:val="00BE6B36"/>
    <w:rsid w:val="00BE74FC"/>
    <w:rsid w:val="00BE7C36"/>
    <w:rsid w:val="00BF1544"/>
    <w:rsid w:val="00BF1B25"/>
    <w:rsid w:val="00BF1FEC"/>
    <w:rsid w:val="00BF237C"/>
    <w:rsid w:val="00BF2E21"/>
    <w:rsid w:val="00BF3164"/>
    <w:rsid w:val="00BF42DE"/>
    <w:rsid w:val="00BF4315"/>
    <w:rsid w:val="00BF43BC"/>
    <w:rsid w:val="00BF5606"/>
    <w:rsid w:val="00BF717E"/>
    <w:rsid w:val="00BF7B53"/>
    <w:rsid w:val="00C038E5"/>
    <w:rsid w:val="00C03EC7"/>
    <w:rsid w:val="00C0443C"/>
    <w:rsid w:val="00C05A01"/>
    <w:rsid w:val="00C06F02"/>
    <w:rsid w:val="00C111E6"/>
    <w:rsid w:val="00C11741"/>
    <w:rsid w:val="00C11A3B"/>
    <w:rsid w:val="00C12705"/>
    <w:rsid w:val="00C1341B"/>
    <w:rsid w:val="00C13767"/>
    <w:rsid w:val="00C14809"/>
    <w:rsid w:val="00C15001"/>
    <w:rsid w:val="00C16899"/>
    <w:rsid w:val="00C20311"/>
    <w:rsid w:val="00C20F83"/>
    <w:rsid w:val="00C21DDC"/>
    <w:rsid w:val="00C220BE"/>
    <w:rsid w:val="00C22A99"/>
    <w:rsid w:val="00C22BB5"/>
    <w:rsid w:val="00C24311"/>
    <w:rsid w:val="00C24F77"/>
    <w:rsid w:val="00C25F51"/>
    <w:rsid w:val="00C25F53"/>
    <w:rsid w:val="00C269E7"/>
    <w:rsid w:val="00C325D8"/>
    <w:rsid w:val="00C35B60"/>
    <w:rsid w:val="00C35ED8"/>
    <w:rsid w:val="00C37F27"/>
    <w:rsid w:val="00C4048B"/>
    <w:rsid w:val="00C40FDA"/>
    <w:rsid w:val="00C43BAC"/>
    <w:rsid w:val="00C44AEE"/>
    <w:rsid w:val="00C45DE7"/>
    <w:rsid w:val="00C46D49"/>
    <w:rsid w:val="00C4721E"/>
    <w:rsid w:val="00C4758D"/>
    <w:rsid w:val="00C47B0E"/>
    <w:rsid w:val="00C47F4C"/>
    <w:rsid w:val="00C502D1"/>
    <w:rsid w:val="00C51B89"/>
    <w:rsid w:val="00C51C61"/>
    <w:rsid w:val="00C53A9F"/>
    <w:rsid w:val="00C541F2"/>
    <w:rsid w:val="00C56110"/>
    <w:rsid w:val="00C56774"/>
    <w:rsid w:val="00C569B6"/>
    <w:rsid w:val="00C577A2"/>
    <w:rsid w:val="00C61F82"/>
    <w:rsid w:val="00C624C1"/>
    <w:rsid w:val="00C63875"/>
    <w:rsid w:val="00C63D28"/>
    <w:rsid w:val="00C6466E"/>
    <w:rsid w:val="00C65006"/>
    <w:rsid w:val="00C65F86"/>
    <w:rsid w:val="00C67549"/>
    <w:rsid w:val="00C7053C"/>
    <w:rsid w:val="00C705FF"/>
    <w:rsid w:val="00C72193"/>
    <w:rsid w:val="00C72E9D"/>
    <w:rsid w:val="00C75540"/>
    <w:rsid w:val="00C77D31"/>
    <w:rsid w:val="00C77FEC"/>
    <w:rsid w:val="00C804D8"/>
    <w:rsid w:val="00C80578"/>
    <w:rsid w:val="00C81AEF"/>
    <w:rsid w:val="00C8306C"/>
    <w:rsid w:val="00C84FA2"/>
    <w:rsid w:val="00C855A6"/>
    <w:rsid w:val="00C85D31"/>
    <w:rsid w:val="00C85F42"/>
    <w:rsid w:val="00C85F67"/>
    <w:rsid w:val="00C86645"/>
    <w:rsid w:val="00C86A05"/>
    <w:rsid w:val="00C87E72"/>
    <w:rsid w:val="00C903DE"/>
    <w:rsid w:val="00C91CEC"/>
    <w:rsid w:val="00C92254"/>
    <w:rsid w:val="00C929AA"/>
    <w:rsid w:val="00C92DB9"/>
    <w:rsid w:val="00C94844"/>
    <w:rsid w:val="00C9560E"/>
    <w:rsid w:val="00C956A5"/>
    <w:rsid w:val="00C95977"/>
    <w:rsid w:val="00C96F13"/>
    <w:rsid w:val="00C971AB"/>
    <w:rsid w:val="00C97899"/>
    <w:rsid w:val="00CA0A63"/>
    <w:rsid w:val="00CA1046"/>
    <w:rsid w:val="00CA3032"/>
    <w:rsid w:val="00CA3B8A"/>
    <w:rsid w:val="00CA4B5A"/>
    <w:rsid w:val="00CA50D8"/>
    <w:rsid w:val="00CA582F"/>
    <w:rsid w:val="00CA58EA"/>
    <w:rsid w:val="00CA5DD4"/>
    <w:rsid w:val="00CA6B8A"/>
    <w:rsid w:val="00CB02B7"/>
    <w:rsid w:val="00CB0372"/>
    <w:rsid w:val="00CB16AD"/>
    <w:rsid w:val="00CB2ED0"/>
    <w:rsid w:val="00CB4AF2"/>
    <w:rsid w:val="00CB544B"/>
    <w:rsid w:val="00CB554B"/>
    <w:rsid w:val="00CC1E54"/>
    <w:rsid w:val="00CC2AA9"/>
    <w:rsid w:val="00CC5D34"/>
    <w:rsid w:val="00CC5F8C"/>
    <w:rsid w:val="00CC755F"/>
    <w:rsid w:val="00CC7F06"/>
    <w:rsid w:val="00CC7FBC"/>
    <w:rsid w:val="00CD1691"/>
    <w:rsid w:val="00CD198F"/>
    <w:rsid w:val="00CD1D29"/>
    <w:rsid w:val="00CD1D45"/>
    <w:rsid w:val="00CD2EA7"/>
    <w:rsid w:val="00CD7CDA"/>
    <w:rsid w:val="00CE0A81"/>
    <w:rsid w:val="00CE1BC3"/>
    <w:rsid w:val="00CE4632"/>
    <w:rsid w:val="00CF1370"/>
    <w:rsid w:val="00CF5756"/>
    <w:rsid w:val="00CF6AB7"/>
    <w:rsid w:val="00CF6EA0"/>
    <w:rsid w:val="00D003ED"/>
    <w:rsid w:val="00D0085E"/>
    <w:rsid w:val="00D016FE"/>
    <w:rsid w:val="00D01C35"/>
    <w:rsid w:val="00D02158"/>
    <w:rsid w:val="00D039E9"/>
    <w:rsid w:val="00D0402F"/>
    <w:rsid w:val="00D04DA9"/>
    <w:rsid w:val="00D05D69"/>
    <w:rsid w:val="00D060C1"/>
    <w:rsid w:val="00D0723B"/>
    <w:rsid w:val="00D07620"/>
    <w:rsid w:val="00D10608"/>
    <w:rsid w:val="00D111C7"/>
    <w:rsid w:val="00D1154B"/>
    <w:rsid w:val="00D12377"/>
    <w:rsid w:val="00D132B8"/>
    <w:rsid w:val="00D13DF2"/>
    <w:rsid w:val="00D14977"/>
    <w:rsid w:val="00D17600"/>
    <w:rsid w:val="00D22179"/>
    <w:rsid w:val="00D23442"/>
    <w:rsid w:val="00D2417F"/>
    <w:rsid w:val="00D245E3"/>
    <w:rsid w:val="00D26369"/>
    <w:rsid w:val="00D274C7"/>
    <w:rsid w:val="00D302B3"/>
    <w:rsid w:val="00D3030E"/>
    <w:rsid w:val="00D33462"/>
    <w:rsid w:val="00D34676"/>
    <w:rsid w:val="00D34BED"/>
    <w:rsid w:val="00D34F1C"/>
    <w:rsid w:val="00D35B12"/>
    <w:rsid w:val="00D35DF7"/>
    <w:rsid w:val="00D36D70"/>
    <w:rsid w:val="00D37803"/>
    <w:rsid w:val="00D37B74"/>
    <w:rsid w:val="00D40487"/>
    <w:rsid w:val="00D41A57"/>
    <w:rsid w:val="00D43907"/>
    <w:rsid w:val="00D43EB1"/>
    <w:rsid w:val="00D456F8"/>
    <w:rsid w:val="00D46B8E"/>
    <w:rsid w:val="00D47CAF"/>
    <w:rsid w:val="00D50921"/>
    <w:rsid w:val="00D50DC3"/>
    <w:rsid w:val="00D52F1F"/>
    <w:rsid w:val="00D53B60"/>
    <w:rsid w:val="00D54937"/>
    <w:rsid w:val="00D62B8C"/>
    <w:rsid w:val="00D62C21"/>
    <w:rsid w:val="00D676F9"/>
    <w:rsid w:val="00D7155B"/>
    <w:rsid w:val="00D73CE5"/>
    <w:rsid w:val="00D7411C"/>
    <w:rsid w:val="00D74276"/>
    <w:rsid w:val="00D7725D"/>
    <w:rsid w:val="00D77AD7"/>
    <w:rsid w:val="00D800BF"/>
    <w:rsid w:val="00D812E4"/>
    <w:rsid w:val="00D81392"/>
    <w:rsid w:val="00D846DB"/>
    <w:rsid w:val="00D84AF2"/>
    <w:rsid w:val="00D853D0"/>
    <w:rsid w:val="00D85525"/>
    <w:rsid w:val="00D86AF6"/>
    <w:rsid w:val="00D86F5A"/>
    <w:rsid w:val="00D87D7A"/>
    <w:rsid w:val="00D87FBD"/>
    <w:rsid w:val="00D90E9F"/>
    <w:rsid w:val="00D90FD6"/>
    <w:rsid w:val="00D9583C"/>
    <w:rsid w:val="00D97BD1"/>
    <w:rsid w:val="00DA0C6D"/>
    <w:rsid w:val="00DA0D88"/>
    <w:rsid w:val="00DA16AB"/>
    <w:rsid w:val="00DA1BF3"/>
    <w:rsid w:val="00DA4EC8"/>
    <w:rsid w:val="00DA5671"/>
    <w:rsid w:val="00DA5DCA"/>
    <w:rsid w:val="00DB0ECB"/>
    <w:rsid w:val="00DB0F90"/>
    <w:rsid w:val="00DB1913"/>
    <w:rsid w:val="00DB2711"/>
    <w:rsid w:val="00DB3719"/>
    <w:rsid w:val="00DB5507"/>
    <w:rsid w:val="00DB6401"/>
    <w:rsid w:val="00DB6986"/>
    <w:rsid w:val="00DC136F"/>
    <w:rsid w:val="00DC213C"/>
    <w:rsid w:val="00DC2757"/>
    <w:rsid w:val="00DC2869"/>
    <w:rsid w:val="00DC3324"/>
    <w:rsid w:val="00DC3A85"/>
    <w:rsid w:val="00DC3D42"/>
    <w:rsid w:val="00DC4917"/>
    <w:rsid w:val="00DC4B6C"/>
    <w:rsid w:val="00DC51C9"/>
    <w:rsid w:val="00DC5ED7"/>
    <w:rsid w:val="00DC61CB"/>
    <w:rsid w:val="00DC7246"/>
    <w:rsid w:val="00DC7C40"/>
    <w:rsid w:val="00DD1D64"/>
    <w:rsid w:val="00DD2A21"/>
    <w:rsid w:val="00DD5CA6"/>
    <w:rsid w:val="00DD740F"/>
    <w:rsid w:val="00DE1459"/>
    <w:rsid w:val="00DE28BA"/>
    <w:rsid w:val="00DE2B8D"/>
    <w:rsid w:val="00DE2CC5"/>
    <w:rsid w:val="00DE41CD"/>
    <w:rsid w:val="00DE457A"/>
    <w:rsid w:val="00DE4815"/>
    <w:rsid w:val="00DE6A59"/>
    <w:rsid w:val="00DE6B51"/>
    <w:rsid w:val="00DE6C05"/>
    <w:rsid w:val="00DE6C70"/>
    <w:rsid w:val="00DE7126"/>
    <w:rsid w:val="00DE770F"/>
    <w:rsid w:val="00DF1A18"/>
    <w:rsid w:val="00DF1C9A"/>
    <w:rsid w:val="00DF33D6"/>
    <w:rsid w:val="00E006C4"/>
    <w:rsid w:val="00E02758"/>
    <w:rsid w:val="00E0314B"/>
    <w:rsid w:val="00E04367"/>
    <w:rsid w:val="00E04921"/>
    <w:rsid w:val="00E05CE8"/>
    <w:rsid w:val="00E05DCE"/>
    <w:rsid w:val="00E0650A"/>
    <w:rsid w:val="00E06AB9"/>
    <w:rsid w:val="00E1130D"/>
    <w:rsid w:val="00E14093"/>
    <w:rsid w:val="00E14539"/>
    <w:rsid w:val="00E1560C"/>
    <w:rsid w:val="00E15DC6"/>
    <w:rsid w:val="00E1754E"/>
    <w:rsid w:val="00E1759E"/>
    <w:rsid w:val="00E177B3"/>
    <w:rsid w:val="00E17ACA"/>
    <w:rsid w:val="00E20B2A"/>
    <w:rsid w:val="00E213EF"/>
    <w:rsid w:val="00E227C8"/>
    <w:rsid w:val="00E23A2C"/>
    <w:rsid w:val="00E23D58"/>
    <w:rsid w:val="00E24372"/>
    <w:rsid w:val="00E24669"/>
    <w:rsid w:val="00E24D46"/>
    <w:rsid w:val="00E3042F"/>
    <w:rsid w:val="00E32E92"/>
    <w:rsid w:val="00E33D94"/>
    <w:rsid w:val="00E345FC"/>
    <w:rsid w:val="00E34FEC"/>
    <w:rsid w:val="00E409C0"/>
    <w:rsid w:val="00E41FD7"/>
    <w:rsid w:val="00E43846"/>
    <w:rsid w:val="00E45304"/>
    <w:rsid w:val="00E4552F"/>
    <w:rsid w:val="00E5011C"/>
    <w:rsid w:val="00E50CE8"/>
    <w:rsid w:val="00E5122F"/>
    <w:rsid w:val="00E5160B"/>
    <w:rsid w:val="00E53F65"/>
    <w:rsid w:val="00E54EE2"/>
    <w:rsid w:val="00E567DF"/>
    <w:rsid w:val="00E57E87"/>
    <w:rsid w:val="00E60556"/>
    <w:rsid w:val="00E61191"/>
    <w:rsid w:val="00E62DD7"/>
    <w:rsid w:val="00E62E78"/>
    <w:rsid w:val="00E64589"/>
    <w:rsid w:val="00E646C6"/>
    <w:rsid w:val="00E6475D"/>
    <w:rsid w:val="00E65C32"/>
    <w:rsid w:val="00E665BC"/>
    <w:rsid w:val="00E67E4B"/>
    <w:rsid w:val="00E70D35"/>
    <w:rsid w:val="00E7206A"/>
    <w:rsid w:val="00E73BAD"/>
    <w:rsid w:val="00E75B86"/>
    <w:rsid w:val="00E768E9"/>
    <w:rsid w:val="00E80984"/>
    <w:rsid w:val="00E80991"/>
    <w:rsid w:val="00E821C7"/>
    <w:rsid w:val="00E82E22"/>
    <w:rsid w:val="00E845C6"/>
    <w:rsid w:val="00E84D83"/>
    <w:rsid w:val="00E85117"/>
    <w:rsid w:val="00E86691"/>
    <w:rsid w:val="00E878E2"/>
    <w:rsid w:val="00E87FF6"/>
    <w:rsid w:val="00E92175"/>
    <w:rsid w:val="00E921CA"/>
    <w:rsid w:val="00E93BBD"/>
    <w:rsid w:val="00E9497F"/>
    <w:rsid w:val="00E957F7"/>
    <w:rsid w:val="00E961D0"/>
    <w:rsid w:val="00EA13F5"/>
    <w:rsid w:val="00EA16D7"/>
    <w:rsid w:val="00EA2A5E"/>
    <w:rsid w:val="00EA2C71"/>
    <w:rsid w:val="00EA2E09"/>
    <w:rsid w:val="00EA36E7"/>
    <w:rsid w:val="00EA4E51"/>
    <w:rsid w:val="00EA5BE8"/>
    <w:rsid w:val="00EA63AD"/>
    <w:rsid w:val="00EB0037"/>
    <w:rsid w:val="00EB2618"/>
    <w:rsid w:val="00EB48A2"/>
    <w:rsid w:val="00EB62CD"/>
    <w:rsid w:val="00EC0203"/>
    <w:rsid w:val="00EC1A3D"/>
    <w:rsid w:val="00EC39A9"/>
    <w:rsid w:val="00EC46CB"/>
    <w:rsid w:val="00EC60DC"/>
    <w:rsid w:val="00ED2CAF"/>
    <w:rsid w:val="00ED4301"/>
    <w:rsid w:val="00ED51A8"/>
    <w:rsid w:val="00ED6198"/>
    <w:rsid w:val="00ED67D8"/>
    <w:rsid w:val="00ED68BD"/>
    <w:rsid w:val="00ED6D0E"/>
    <w:rsid w:val="00EE0DCB"/>
    <w:rsid w:val="00EE2309"/>
    <w:rsid w:val="00EE27A8"/>
    <w:rsid w:val="00EE2EB7"/>
    <w:rsid w:val="00EE3622"/>
    <w:rsid w:val="00EE51FD"/>
    <w:rsid w:val="00EE6675"/>
    <w:rsid w:val="00EE69CE"/>
    <w:rsid w:val="00EE7674"/>
    <w:rsid w:val="00EF2F5C"/>
    <w:rsid w:val="00EF531C"/>
    <w:rsid w:val="00EF6C15"/>
    <w:rsid w:val="00F00808"/>
    <w:rsid w:val="00F00AFF"/>
    <w:rsid w:val="00F029F2"/>
    <w:rsid w:val="00F03109"/>
    <w:rsid w:val="00F03373"/>
    <w:rsid w:val="00F040D8"/>
    <w:rsid w:val="00F06062"/>
    <w:rsid w:val="00F06671"/>
    <w:rsid w:val="00F06861"/>
    <w:rsid w:val="00F0687D"/>
    <w:rsid w:val="00F06A59"/>
    <w:rsid w:val="00F104C0"/>
    <w:rsid w:val="00F1079F"/>
    <w:rsid w:val="00F107DA"/>
    <w:rsid w:val="00F125A0"/>
    <w:rsid w:val="00F12991"/>
    <w:rsid w:val="00F12E1E"/>
    <w:rsid w:val="00F16D9E"/>
    <w:rsid w:val="00F21922"/>
    <w:rsid w:val="00F24406"/>
    <w:rsid w:val="00F300BC"/>
    <w:rsid w:val="00F304FB"/>
    <w:rsid w:val="00F32197"/>
    <w:rsid w:val="00F32623"/>
    <w:rsid w:val="00F32CB0"/>
    <w:rsid w:val="00F32FB4"/>
    <w:rsid w:val="00F34FA1"/>
    <w:rsid w:val="00F36ABD"/>
    <w:rsid w:val="00F402D9"/>
    <w:rsid w:val="00F40447"/>
    <w:rsid w:val="00F43E12"/>
    <w:rsid w:val="00F44302"/>
    <w:rsid w:val="00F46847"/>
    <w:rsid w:val="00F47560"/>
    <w:rsid w:val="00F477FC"/>
    <w:rsid w:val="00F51006"/>
    <w:rsid w:val="00F512ED"/>
    <w:rsid w:val="00F51301"/>
    <w:rsid w:val="00F51AFF"/>
    <w:rsid w:val="00F52847"/>
    <w:rsid w:val="00F54398"/>
    <w:rsid w:val="00F548FB"/>
    <w:rsid w:val="00F54A97"/>
    <w:rsid w:val="00F5587A"/>
    <w:rsid w:val="00F56F53"/>
    <w:rsid w:val="00F60BC4"/>
    <w:rsid w:val="00F613DF"/>
    <w:rsid w:val="00F633CB"/>
    <w:rsid w:val="00F63AD5"/>
    <w:rsid w:val="00F64540"/>
    <w:rsid w:val="00F678B1"/>
    <w:rsid w:val="00F67D17"/>
    <w:rsid w:val="00F7086A"/>
    <w:rsid w:val="00F70DF0"/>
    <w:rsid w:val="00F72CE8"/>
    <w:rsid w:val="00F735BF"/>
    <w:rsid w:val="00F74AE7"/>
    <w:rsid w:val="00F755E0"/>
    <w:rsid w:val="00F75A08"/>
    <w:rsid w:val="00F75BEA"/>
    <w:rsid w:val="00F806B8"/>
    <w:rsid w:val="00F80766"/>
    <w:rsid w:val="00F842D5"/>
    <w:rsid w:val="00F850A6"/>
    <w:rsid w:val="00F902CC"/>
    <w:rsid w:val="00F9045C"/>
    <w:rsid w:val="00F90712"/>
    <w:rsid w:val="00F90E8D"/>
    <w:rsid w:val="00F9150D"/>
    <w:rsid w:val="00F9533A"/>
    <w:rsid w:val="00F9579B"/>
    <w:rsid w:val="00F95E71"/>
    <w:rsid w:val="00F961E5"/>
    <w:rsid w:val="00F9731D"/>
    <w:rsid w:val="00FA091B"/>
    <w:rsid w:val="00FA0C14"/>
    <w:rsid w:val="00FA328E"/>
    <w:rsid w:val="00FA45A2"/>
    <w:rsid w:val="00FA5478"/>
    <w:rsid w:val="00FB0410"/>
    <w:rsid w:val="00FB0D7E"/>
    <w:rsid w:val="00FB26AB"/>
    <w:rsid w:val="00FB296E"/>
    <w:rsid w:val="00FB5D6F"/>
    <w:rsid w:val="00FB637F"/>
    <w:rsid w:val="00FB7997"/>
    <w:rsid w:val="00FC0343"/>
    <w:rsid w:val="00FC1F52"/>
    <w:rsid w:val="00FC20E2"/>
    <w:rsid w:val="00FC31E4"/>
    <w:rsid w:val="00FC32DF"/>
    <w:rsid w:val="00FC3875"/>
    <w:rsid w:val="00FC5DBB"/>
    <w:rsid w:val="00FD03FA"/>
    <w:rsid w:val="00FD1BD3"/>
    <w:rsid w:val="00FD2B16"/>
    <w:rsid w:val="00FD2EAB"/>
    <w:rsid w:val="00FD3AA0"/>
    <w:rsid w:val="00FD3C9A"/>
    <w:rsid w:val="00FD556E"/>
    <w:rsid w:val="00FD71EA"/>
    <w:rsid w:val="00FD799B"/>
    <w:rsid w:val="00FE2639"/>
    <w:rsid w:val="00FE4783"/>
    <w:rsid w:val="00FE4F14"/>
    <w:rsid w:val="00FE543B"/>
    <w:rsid w:val="00FE62CE"/>
    <w:rsid w:val="00FE6C7B"/>
    <w:rsid w:val="00FF02D7"/>
    <w:rsid w:val="00FF15C3"/>
    <w:rsid w:val="00FF1701"/>
    <w:rsid w:val="00FF56FE"/>
    <w:rsid w:val="00FF6093"/>
    <w:rsid w:val="00FF6405"/>
    <w:rsid w:val="00FF6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2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1E5"/>
    <w:rPr>
      <w:lang w:eastAsia="en-US"/>
    </w:rPr>
  </w:style>
  <w:style w:type="paragraph" w:styleId="Nadpis1">
    <w:name w:val="heading 1"/>
    <w:basedOn w:val="Normln"/>
    <w:next w:val="Normln"/>
    <w:link w:val="Nadpis1Char"/>
    <w:qFormat/>
    <w:rsid w:val="00420DE2"/>
    <w:pPr>
      <w:keepNext/>
      <w:numPr>
        <w:numId w:val="1"/>
      </w:numPr>
      <w:spacing w:before="120" w:after="60"/>
      <w:outlineLvl w:val="0"/>
    </w:pPr>
    <w:rPr>
      <w:b/>
      <w:caps/>
      <w:sz w:val="18"/>
    </w:rPr>
  </w:style>
  <w:style w:type="paragraph" w:styleId="Nadpis2">
    <w:name w:val="heading 2"/>
    <w:basedOn w:val="Normln"/>
    <w:next w:val="Normln"/>
    <w:link w:val="Nadpis2Char"/>
    <w:qFormat/>
    <w:rsid w:val="00F961E5"/>
    <w:pPr>
      <w:keepNext/>
      <w:numPr>
        <w:numId w:val="3"/>
      </w:numPr>
      <w:outlineLvl w:val="1"/>
    </w:pPr>
    <w:rPr>
      <w:b/>
      <w:sz w:val="18"/>
    </w:rPr>
  </w:style>
  <w:style w:type="paragraph" w:styleId="Nadpis3">
    <w:name w:val="heading 3"/>
    <w:basedOn w:val="Normln"/>
    <w:next w:val="Normln"/>
    <w:link w:val="Nadpis3Char"/>
    <w:qFormat/>
    <w:rsid w:val="00F961E5"/>
    <w:pPr>
      <w:keepNext/>
      <w:outlineLvl w:val="2"/>
    </w:pPr>
    <w:rPr>
      <w:rFonts w:ascii="Geneva" w:hAnsi="Geneva"/>
      <w:b/>
      <w:i/>
      <w:color w:val="000000"/>
      <w:sz w:val="16"/>
      <w:lang w:val="en-GB"/>
    </w:rPr>
  </w:style>
  <w:style w:type="paragraph" w:styleId="Nadpis4">
    <w:name w:val="heading 4"/>
    <w:basedOn w:val="Normln"/>
    <w:next w:val="Normln"/>
    <w:link w:val="Nadpis4Char"/>
    <w:qFormat/>
    <w:rsid w:val="00F961E5"/>
    <w:pPr>
      <w:keepNext/>
      <w:outlineLvl w:val="3"/>
    </w:pPr>
    <w:rPr>
      <w:b/>
    </w:rPr>
  </w:style>
  <w:style w:type="paragraph" w:styleId="Nadpis5">
    <w:name w:val="heading 5"/>
    <w:basedOn w:val="Normln"/>
    <w:next w:val="Normln"/>
    <w:link w:val="Nadpis5Char"/>
    <w:qFormat/>
    <w:rsid w:val="00F961E5"/>
    <w:pPr>
      <w:keepNext/>
      <w:outlineLvl w:val="4"/>
    </w:pPr>
    <w:rPr>
      <w:b/>
      <w:sz w:val="28"/>
    </w:rPr>
  </w:style>
  <w:style w:type="paragraph" w:styleId="Nadpis6">
    <w:name w:val="heading 6"/>
    <w:basedOn w:val="Normln"/>
    <w:next w:val="Normln"/>
    <w:link w:val="Nadpis6Char"/>
    <w:qFormat/>
    <w:rsid w:val="00F961E5"/>
    <w:pPr>
      <w:keepNext/>
      <w:outlineLvl w:val="5"/>
    </w:pPr>
    <w:rPr>
      <w:b/>
      <w:caps/>
      <w:sz w:val="32"/>
    </w:rPr>
  </w:style>
  <w:style w:type="paragraph" w:styleId="Nadpis7">
    <w:name w:val="heading 7"/>
    <w:basedOn w:val="Normln"/>
    <w:next w:val="Normln"/>
    <w:link w:val="Nadpis7Char"/>
    <w:qFormat/>
    <w:rsid w:val="00F961E5"/>
    <w:pPr>
      <w:keepNext/>
      <w:jc w:val="center"/>
      <w:outlineLvl w:val="6"/>
    </w:pPr>
    <w:rPr>
      <w:b/>
      <w:sz w:val="52"/>
    </w:rPr>
  </w:style>
  <w:style w:type="paragraph" w:styleId="Nadpis8">
    <w:name w:val="heading 8"/>
    <w:basedOn w:val="Normln"/>
    <w:next w:val="Normln"/>
    <w:link w:val="Nadpis8Char"/>
    <w:qFormat/>
    <w:rsid w:val="00F961E5"/>
    <w:pPr>
      <w:keepNext/>
      <w:jc w:val="center"/>
      <w:outlineLvl w:val="7"/>
    </w:pPr>
    <w:rPr>
      <w:rFonts w:ascii="Geneva" w:hAnsi="Geneva"/>
      <w:color w:val="000000"/>
      <w:sz w:val="14"/>
      <w:u w:val="single"/>
    </w:rPr>
  </w:style>
  <w:style w:type="paragraph" w:styleId="Nadpis9">
    <w:name w:val="heading 9"/>
    <w:basedOn w:val="Normln"/>
    <w:next w:val="Normln"/>
    <w:link w:val="Nadpis9Char"/>
    <w:qFormat/>
    <w:rsid w:val="00F961E5"/>
    <w:pPr>
      <w:keepNext/>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601BB"/>
    <w:rPr>
      <w:b/>
      <w:caps/>
      <w:sz w:val="18"/>
      <w:lang w:eastAsia="en-US"/>
    </w:rPr>
  </w:style>
  <w:style w:type="character" w:customStyle="1" w:styleId="Nadpis2Char">
    <w:name w:val="Nadpis 2 Char"/>
    <w:basedOn w:val="Standardnpsmoodstavce"/>
    <w:link w:val="Nadpis2"/>
    <w:locked/>
    <w:rsid w:val="00B601BB"/>
    <w:rPr>
      <w:b/>
      <w:sz w:val="18"/>
      <w:lang w:eastAsia="en-US"/>
    </w:rPr>
  </w:style>
  <w:style w:type="character" w:customStyle="1" w:styleId="Nadpis3Char">
    <w:name w:val="Nadpis 3 Char"/>
    <w:basedOn w:val="Standardnpsmoodstavce"/>
    <w:link w:val="Nadpis3"/>
    <w:semiHidden/>
    <w:locked/>
    <w:rsid w:val="00B601BB"/>
    <w:rPr>
      <w:rFonts w:ascii="Cambria" w:hAnsi="Cambria" w:cs="Times New Roman"/>
      <w:b/>
      <w:bCs/>
      <w:sz w:val="26"/>
      <w:szCs w:val="26"/>
      <w:lang w:eastAsia="en-US"/>
    </w:rPr>
  </w:style>
  <w:style w:type="character" w:customStyle="1" w:styleId="Nadpis4Char">
    <w:name w:val="Nadpis 4 Char"/>
    <w:basedOn w:val="Standardnpsmoodstavce"/>
    <w:link w:val="Nadpis4"/>
    <w:semiHidden/>
    <w:locked/>
    <w:rsid w:val="00B601BB"/>
    <w:rPr>
      <w:rFonts w:ascii="Calibri" w:hAnsi="Calibri" w:cs="Times New Roman"/>
      <w:b/>
      <w:bCs/>
      <w:sz w:val="28"/>
      <w:szCs w:val="28"/>
      <w:lang w:eastAsia="en-US"/>
    </w:rPr>
  </w:style>
  <w:style w:type="character" w:customStyle="1" w:styleId="Nadpis5Char">
    <w:name w:val="Nadpis 5 Char"/>
    <w:basedOn w:val="Standardnpsmoodstavce"/>
    <w:link w:val="Nadpis5"/>
    <w:semiHidden/>
    <w:locked/>
    <w:rsid w:val="00B601BB"/>
    <w:rPr>
      <w:rFonts w:ascii="Calibri" w:hAnsi="Calibri" w:cs="Times New Roman"/>
      <w:b/>
      <w:bCs/>
      <w:i/>
      <w:iCs/>
      <w:sz w:val="26"/>
      <w:szCs w:val="26"/>
      <w:lang w:eastAsia="en-US"/>
    </w:rPr>
  </w:style>
  <w:style w:type="character" w:customStyle="1" w:styleId="Nadpis6Char">
    <w:name w:val="Nadpis 6 Char"/>
    <w:basedOn w:val="Standardnpsmoodstavce"/>
    <w:link w:val="Nadpis6"/>
    <w:semiHidden/>
    <w:locked/>
    <w:rsid w:val="00B601BB"/>
    <w:rPr>
      <w:rFonts w:ascii="Calibri" w:hAnsi="Calibri" w:cs="Times New Roman"/>
      <w:b/>
      <w:bCs/>
      <w:lang w:eastAsia="en-US"/>
    </w:rPr>
  </w:style>
  <w:style w:type="character" w:customStyle="1" w:styleId="Nadpis7Char">
    <w:name w:val="Nadpis 7 Char"/>
    <w:basedOn w:val="Standardnpsmoodstavce"/>
    <w:link w:val="Nadpis7"/>
    <w:semiHidden/>
    <w:locked/>
    <w:rsid w:val="00B601BB"/>
    <w:rPr>
      <w:rFonts w:ascii="Calibri" w:hAnsi="Calibri" w:cs="Times New Roman"/>
      <w:sz w:val="24"/>
      <w:szCs w:val="24"/>
      <w:lang w:eastAsia="en-US"/>
    </w:rPr>
  </w:style>
  <w:style w:type="character" w:customStyle="1" w:styleId="Nadpis8Char">
    <w:name w:val="Nadpis 8 Char"/>
    <w:basedOn w:val="Standardnpsmoodstavce"/>
    <w:link w:val="Nadpis8"/>
    <w:semiHidden/>
    <w:locked/>
    <w:rsid w:val="00B601BB"/>
    <w:rPr>
      <w:rFonts w:ascii="Calibri" w:hAnsi="Calibri" w:cs="Times New Roman"/>
      <w:i/>
      <w:iCs/>
      <w:sz w:val="24"/>
      <w:szCs w:val="24"/>
      <w:lang w:eastAsia="en-US"/>
    </w:rPr>
  </w:style>
  <w:style w:type="character" w:customStyle="1" w:styleId="Nadpis9Char">
    <w:name w:val="Nadpis 9 Char"/>
    <w:basedOn w:val="Standardnpsmoodstavce"/>
    <w:link w:val="Nadpis9"/>
    <w:semiHidden/>
    <w:locked/>
    <w:rsid w:val="00B601BB"/>
    <w:rPr>
      <w:rFonts w:ascii="Cambria" w:hAnsi="Cambria" w:cs="Times New Roman"/>
      <w:lang w:eastAsia="en-US"/>
    </w:rPr>
  </w:style>
  <w:style w:type="paragraph" w:styleId="Textbubliny">
    <w:name w:val="Balloon Text"/>
    <w:basedOn w:val="Normln"/>
    <w:link w:val="TextbublinyChar"/>
    <w:semiHidden/>
    <w:rsid w:val="00246F66"/>
    <w:rPr>
      <w:rFonts w:ascii="Tahoma" w:hAnsi="Tahoma" w:cs="Tahoma"/>
      <w:sz w:val="16"/>
      <w:szCs w:val="16"/>
    </w:rPr>
  </w:style>
  <w:style w:type="character" w:customStyle="1" w:styleId="TextbublinyChar">
    <w:name w:val="Text bubliny Char"/>
    <w:basedOn w:val="Standardnpsmoodstavce"/>
    <w:link w:val="Textbubliny"/>
    <w:semiHidden/>
    <w:locked/>
    <w:rsid w:val="00B601BB"/>
    <w:rPr>
      <w:rFonts w:cs="Times New Roman"/>
      <w:sz w:val="2"/>
      <w:lang w:eastAsia="en-US"/>
    </w:rPr>
  </w:style>
  <w:style w:type="paragraph" w:styleId="Zhlav">
    <w:name w:val="header"/>
    <w:basedOn w:val="Normln"/>
    <w:link w:val="ZhlavChar"/>
    <w:uiPriority w:val="99"/>
    <w:rsid w:val="00F961E5"/>
    <w:pPr>
      <w:tabs>
        <w:tab w:val="center" w:pos="4153"/>
        <w:tab w:val="right" w:pos="8306"/>
      </w:tabs>
    </w:pPr>
  </w:style>
  <w:style w:type="character" w:customStyle="1" w:styleId="ZhlavChar">
    <w:name w:val="Záhlaví Char"/>
    <w:basedOn w:val="Standardnpsmoodstavce"/>
    <w:link w:val="Zhlav"/>
    <w:uiPriority w:val="99"/>
    <w:locked/>
    <w:rsid w:val="00B601BB"/>
    <w:rPr>
      <w:rFonts w:cs="Times New Roman"/>
      <w:sz w:val="20"/>
      <w:szCs w:val="20"/>
      <w:lang w:eastAsia="en-US"/>
    </w:rPr>
  </w:style>
  <w:style w:type="paragraph" w:styleId="Zpat">
    <w:name w:val="footer"/>
    <w:basedOn w:val="Normln"/>
    <w:link w:val="ZpatChar"/>
    <w:uiPriority w:val="99"/>
    <w:rsid w:val="00F961E5"/>
    <w:pPr>
      <w:tabs>
        <w:tab w:val="center" w:pos="4153"/>
        <w:tab w:val="right" w:pos="8306"/>
      </w:tabs>
    </w:pPr>
  </w:style>
  <w:style w:type="character" w:customStyle="1" w:styleId="ZpatChar">
    <w:name w:val="Zápatí Char"/>
    <w:basedOn w:val="Standardnpsmoodstavce"/>
    <w:link w:val="Zpat"/>
    <w:uiPriority w:val="99"/>
    <w:locked/>
    <w:rsid w:val="00B601BB"/>
    <w:rPr>
      <w:rFonts w:cs="Times New Roman"/>
      <w:sz w:val="20"/>
      <w:szCs w:val="20"/>
      <w:lang w:eastAsia="en-US"/>
    </w:rPr>
  </w:style>
  <w:style w:type="character" w:styleId="slostrnky">
    <w:name w:val="page number"/>
    <w:basedOn w:val="Standardnpsmoodstavce"/>
    <w:rsid w:val="00F961E5"/>
    <w:rPr>
      <w:rFonts w:cs="Times New Roman"/>
    </w:rPr>
  </w:style>
  <w:style w:type="paragraph" w:styleId="Zkladntext">
    <w:name w:val="Body Text"/>
    <w:basedOn w:val="Normln"/>
    <w:link w:val="ZkladntextChar"/>
    <w:rsid w:val="00F961E5"/>
    <w:pPr>
      <w:ind w:left="426"/>
      <w:jc w:val="both"/>
    </w:pPr>
    <w:rPr>
      <w:sz w:val="18"/>
    </w:rPr>
  </w:style>
  <w:style w:type="character" w:customStyle="1" w:styleId="ZkladntextChar">
    <w:name w:val="Základní text Char"/>
    <w:basedOn w:val="Standardnpsmoodstavce"/>
    <w:link w:val="Zkladntext"/>
    <w:locked/>
    <w:rsid w:val="00B601BB"/>
    <w:rPr>
      <w:rFonts w:cs="Times New Roman"/>
      <w:sz w:val="20"/>
      <w:szCs w:val="20"/>
      <w:lang w:eastAsia="en-US"/>
    </w:rPr>
  </w:style>
  <w:style w:type="paragraph" w:customStyle="1" w:styleId="Uvod">
    <w:name w:val="Uvod"/>
    <w:basedOn w:val="Normln"/>
    <w:rsid w:val="00F961E5"/>
    <w:pPr>
      <w:ind w:left="284" w:hanging="284"/>
      <w:jc w:val="both"/>
    </w:pPr>
    <w:rPr>
      <w:sz w:val="22"/>
    </w:rPr>
  </w:style>
  <w:style w:type="paragraph" w:customStyle="1" w:styleId="Tabulka">
    <w:name w:val="Tabulka"/>
    <w:basedOn w:val="Normln"/>
    <w:rsid w:val="00F961E5"/>
    <w:rPr>
      <w:color w:val="000000"/>
      <w:sz w:val="18"/>
    </w:rPr>
  </w:style>
  <w:style w:type="paragraph" w:customStyle="1" w:styleId="Pismenka">
    <w:name w:val="Pismenka"/>
    <w:basedOn w:val="Zkladntext"/>
    <w:rsid w:val="00350046"/>
    <w:pPr>
      <w:keepNext/>
      <w:tabs>
        <w:tab w:val="num" w:pos="426"/>
      </w:tabs>
      <w:ind w:left="425" w:hanging="425"/>
    </w:pPr>
    <w:rPr>
      <w:b/>
    </w:rPr>
  </w:style>
  <w:style w:type="paragraph" w:styleId="Obsah1">
    <w:name w:val="toc 1"/>
    <w:basedOn w:val="Normln"/>
    <w:next w:val="Normln"/>
    <w:autoRedefine/>
    <w:semiHidden/>
    <w:rsid w:val="00F961E5"/>
    <w:pPr>
      <w:tabs>
        <w:tab w:val="left" w:pos="426"/>
        <w:tab w:val="right" w:pos="9203"/>
      </w:tabs>
      <w:spacing w:before="360"/>
    </w:pPr>
    <w:rPr>
      <w:b/>
      <w:bCs/>
      <w:caps/>
      <w:noProof/>
      <w:szCs w:val="18"/>
    </w:rPr>
  </w:style>
  <w:style w:type="paragraph" w:styleId="Obsah2">
    <w:name w:val="toc 2"/>
    <w:basedOn w:val="Normln"/>
    <w:next w:val="Normln"/>
    <w:autoRedefine/>
    <w:semiHidden/>
    <w:rsid w:val="00F961E5"/>
    <w:pPr>
      <w:tabs>
        <w:tab w:val="left" w:pos="993"/>
        <w:tab w:val="right" w:pos="9203"/>
      </w:tabs>
      <w:ind w:firstLine="567"/>
    </w:pPr>
    <w:rPr>
      <w:b/>
      <w:bCs/>
      <w:noProof/>
      <w:szCs w:val="18"/>
    </w:rPr>
  </w:style>
  <w:style w:type="paragraph" w:styleId="Obsah3">
    <w:name w:val="toc 3"/>
    <w:basedOn w:val="Normln"/>
    <w:next w:val="Normln"/>
    <w:autoRedefine/>
    <w:semiHidden/>
    <w:rsid w:val="00F961E5"/>
    <w:pPr>
      <w:ind w:left="200"/>
    </w:pPr>
    <w:rPr>
      <w:szCs w:val="24"/>
    </w:rPr>
  </w:style>
  <w:style w:type="paragraph" w:styleId="Obsah4">
    <w:name w:val="toc 4"/>
    <w:basedOn w:val="Normln"/>
    <w:next w:val="Normln"/>
    <w:autoRedefine/>
    <w:semiHidden/>
    <w:rsid w:val="00F961E5"/>
    <w:pPr>
      <w:ind w:left="400"/>
    </w:pPr>
    <w:rPr>
      <w:szCs w:val="24"/>
    </w:rPr>
  </w:style>
  <w:style w:type="paragraph" w:styleId="Obsah5">
    <w:name w:val="toc 5"/>
    <w:basedOn w:val="Normln"/>
    <w:next w:val="Normln"/>
    <w:autoRedefine/>
    <w:semiHidden/>
    <w:rsid w:val="00F961E5"/>
    <w:pPr>
      <w:ind w:left="600"/>
    </w:pPr>
    <w:rPr>
      <w:szCs w:val="24"/>
    </w:rPr>
  </w:style>
  <w:style w:type="paragraph" w:styleId="Obsah6">
    <w:name w:val="toc 6"/>
    <w:basedOn w:val="Normln"/>
    <w:next w:val="Normln"/>
    <w:autoRedefine/>
    <w:semiHidden/>
    <w:rsid w:val="00F961E5"/>
    <w:pPr>
      <w:ind w:left="800"/>
    </w:pPr>
    <w:rPr>
      <w:szCs w:val="24"/>
    </w:rPr>
  </w:style>
  <w:style w:type="paragraph" w:styleId="Obsah7">
    <w:name w:val="toc 7"/>
    <w:basedOn w:val="Normln"/>
    <w:next w:val="Normln"/>
    <w:autoRedefine/>
    <w:semiHidden/>
    <w:rsid w:val="00F961E5"/>
    <w:pPr>
      <w:ind w:left="1000"/>
    </w:pPr>
    <w:rPr>
      <w:szCs w:val="24"/>
    </w:rPr>
  </w:style>
  <w:style w:type="paragraph" w:styleId="Obsah8">
    <w:name w:val="toc 8"/>
    <w:basedOn w:val="Normln"/>
    <w:next w:val="Normln"/>
    <w:autoRedefine/>
    <w:semiHidden/>
    <w:rsid w:val="00F961E5"/>
    <w:pPr>
      <w:ind w:left="1200"/>
    </w:pPr>
    <w:rPr>
      <w:szCs w:val="24"/>
    </w:rPr>
  </w:style>
  <w:style w:type="paragraph" w:styleId="Obsah9">
    <w:name w:val="toc 9"/>
    <w:basedOn w:val="Normln"/>
    <w:next w:val="Normln"/>
    <w:autoRedefine/>
    <w:semiHidden/>
    <w:rsid w:val="00F961E5"/>
    <w:pPr>
      <w:ind w:left="1400"/>
    </w:pPr>
    <w:rPr>
      <w:szCs w:val="24"/>
    </w:rPr>
  </w:style>
  <w:style w:type="character" w:styleId="Hypertextovodkaz">
    <w:name w:val="Hyperlink"/>
    <w:basedOn w:val="Standardnpsmoodstavce"/>
    <w:rsid w:val="00F961E5"/>
    <w:rPr>
      <w:rFonts w:cs="Times New Roman"/>
      <w:color w:val="0000FF"/>
      <w:u w:val="single"/>
    </w:rPr>
  </w:style>
  <w:style w:type="character" w:styleId="Sledovanodkaz">
    <w:name w:val="FollowedHyperlink"/>
    <w:basedOn w:val="Standardnpsmoodstavce"/>
    <w:rsid w:val="00F961E5"/>
    <w:rPr>
      <w:rFonts w:cs="Times New Roman"/>
      <w:color w:val="800080"/>
      <w:u w:val="single"/>
    </w:rPr>
  </w:style>
  <w:style w:type="paragraph" w:styleId="Zkladntextodsazen">
    <w:name w:val="Body Text Indent"/>
    <w:basedOn w:val="Normln"/>
    <w:link w:val="ZkladntextodsazenChar"/>
    <w:rsid w:val="00D97BD1"/>
    <w:pPr>
      <w:spacing w:after="120"/>
      <w:ind w:left="283"/>
    </w:pPr>
  </w:style>
  <w:style w:type="character" w:customStyle="1" w:styleId="ZkladntextodsazenChar">
    <w:name w:val="Základní text odsazený Char"/>
    <w:basedOn w:val="Standardnpsmoodstavce"/>
    <w:link w:val="Zkladntextodsazen"/>
    <w:semiHidden/>
    <w:locked/>
    <w:rsid w:val="00B601BB"/>
    <w:rPr>
      <w:rFonts w:cs="Times New Roman"/>
      <w:sz w:val="20"/>
      <w:szCs w:val="20"/>
      <w:lang w:eastAsia="en-US"/>
    </w:rPr>
  </w:style>
  <w:style w:type="paragraph" w:styleId="Prosttext">
    <w:name w:val="Plain Text"/>
    <w:basedOn w:val="Normln"/>
    <w:link w:val="ProsttextChar"/>
    <w:rsid w:val="005206A2"/>
    <w:pPr>
      <w:spacing w:line="260" w:lineRule="atLeast"/>
    </w:pPr>
    <w:rPr>
      <w:rFonts w:ascii="Courier New" w:hAnsi="Courier New" w:cs="Courier New"/>
      <w:lang w:val="en-US"/>
    </w:rPr>
  </w:style>
  <w:style w:type="character" w:customStyle="1" w:styleId="ProsttextChar">
    <w:name w:val="Prostý text Char"/>
    <w:basedOn w:val="Standardnpsmoodstavce"/>
    <w:link w:val="Prosttext"/>
    <w:semiHidden/>
    <w:locked/>
    <w:rsid w:val="00B601BB"/>
    <w:rPr>
      <w:rFonts w:ascii="Courier New" w:hAnsi="Courier New" w:cs="Courier New"/>
      <w:sz w:val="20"/>
      <w:szCs w:val="20"/>
      <w:lang w:eastAsia="en-US"/>
    </w:rPr>
  </w:style>
  <w:style w:type="character" w:styleId="Odkaznakoment">
    <w:name w:val="annotation reference"/>
    <w:basedOn w:val="Standardnpsmoodstavce"/>
    <w:semiHidden/>
    <w:rsid w:val="00785167"/>
    <w:rPr>
      <w:rFonts w:cs="Times New Roman"/>
      <w:sz w:val="16"/>
      <w:szCs w:val="16"/>
    </w:rPr>
  </w:style>
  <w:style w:type="paragraph" w:styleId="Textkomente">
    <w:name w:val="annotation text"/>
    <w:basedOn w:val="Normln"/>
    <w:link w:val="TextkomenteChar"/>
    <w:semiHidden/>
    <w:rsid w:val="00785167"/>
  </w:style>
  <w:style w:type="character" w:customStyle="1" w:styleId="TextkomenteChar">
    <w:name w:val="Text komentáře Char"/>
    <w:basedOn w:val="Standardnpsmoodstavce"/>
    <w:link w:val="Textkomente"/>
    <w:semiHidden/>
    <w:locked/>
    <w:rsid w:val="00B601BB"/>
    <w:rPr>
      <w:rFonts w:cs="Times New Roman"/>
      <w:sz w:val="20"/>
      <w:szCs w:val="20"/>
      <w:lang w:eastAsia="en-US"/>
    </w:rPr>
  </w:style>
  <w:style w:type="paragraph" w:styleId="Pedmtkomente">
    <w:name w:val="annotation subject"/>
    <w:basedOn w:val="Textkomente"/>
    <w:next w:val="Textkomente"/>
    <w:link w:val="PedmtkomenteChar"/>
    <w:semiHidden/>
    <w:rsid w:val="00785167"/>
    <w:rPr>
      <w:b/>
      <w:bCs/>
    </w:rPr>
  </w:style>
  <w:style w:type="character" w:customStyle="1" w:styleId="PedmtkomenteChar">
    <w:name w:val="Předmět komentáře Char"/>
    <w:basedOn w:val="TextkomenteChar"/>
    <w:link w:val="Pedmtkomente"/>
    <w:semiHidden/>
    <w:locked/>
    <w:rsid w:val="00B601BB"/>
    <w:rPr>
      <w:rFonts w:cs="Times New Roman"/>
      <w:b/>
      <w:bCs/>
      <w:sz w:val="20"/>
      <w:szCs w:val="20"/>
      <w:lang w:eastAsia="en-US"/>
    </w:rPr>
  </w:style>
  <w:style w:type="paragraph" w:customStyle="1" w:styleId="ListParagraph1">
    <w:name w:val="List Paragraph1"/>
    <w:basedOn w:val="Normln"/>
    <w:rsid w:val="0011292F"/>
    <w:pPr>
      <w:ind w:left="720"/>
      <w:contextualSpacing/>
    </w:pPr>
  </w:style>
  <w:style w:type="character" w:customStyle="1" w:styleId="ra">
    <w:name w:val="ra"/>
    <w:basedOn w:val="Standardnpsmoodstavce"/>
    <w:rsid w:val="001F371D"/>
  </w:style>
  <w:style w:type="paragraph" w:styleId="Revize">
    <w:name w:val="Revision"/>
    <w:hidden/>
    <w:uiPriority w:val="99"/>
    <w:semiHidden/>
    <w:rsid w:val="00D84AF2"/>
    <w:rPr>
      <w:lang w:eastAsia="en-US"/>
    </w:rPr>
  </w:style>
  <w:style w:type="table" w:styleId="Mkatabulky">
    <w:name w:val="Table Grid"/>
    <w:basedOn w:val="Normlntabulka"/>
    <w:rsid w:val="005C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EC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F477FC"/>
    <w:pPr>
      <w:ind w:left="708"/>
    </w:pPr>
  </w:style>
  <w:style w:type="paragraph" w:styleId="Bezmezer">
    <w:name w:val="No Spacing"/>
    <w:link w:val="BezmezerChar"/>
    <w:uiPriority w:val="1"/>
    <w:qFormat/>
    <w:rsid w:val="00F00AFF"/>
    <w:rPr>
      <w:rFonts w:asciiTheme="minorHAnsi" w:eastAsiaTheme="minorEastAsia" w:hAnsiTheme="minorHAnsi" w:cstheme="minorBidi"/>
      <w:sz w:val="22"/>
      <w:szCs w:val="22"/>
      <w:lang w:val="cs-CZ" w:eastAsia="cs-CZ"/>
    </w:rPr>
  </w:style>
  <w:style w:type="character" w:customStyle="1" w:styleId="BezmezerChar">
    <w:name w:val="Bez mezer Char"/>
    <w:basedOn w:val="Standardnpsmoodstavce"/>
    <w:link w:val="Bezmezer"/>
    <w:uiPriority w:val="1"/>
    <w:rsid w:val="00F00AFF"/>
    <w:rPr>
      <w:rFonts w:asciiTheme="minorHAnsi" w:eastAsiaTheme="minorEastAsia" w:hAnsiTheme="minorHAnsi" w:cstheme="minorBidi"/>
      <w:sz w:val="22"/>
      <w:szCs w:val="22"/>
      <w:lang w:val="cs-CZ" w:eastAsia="cs-CZ"/>
    </w:rPr>
  </w:style>
  <w:style w:type="paragraph" w:styleId="Normlnweb">
    <w:name w:val="Normal (Web)"/>
    <w:basedOn w:val="Normln"/>
    <w:uiPriority w:val="99"/>
    <w:semiHidden/>
    <w:unhideWhenUsed/>
    <w:locked/>
    <w:rsid w:val="00191993"/>
    <w:pPr>
      <w:spacing w:before="100" w:beforeAutospacing="1" w:after="100" w:afterAutospacing="1"/>
    </w:pPr>
    <w:rPr>
      <w:rFonts w:eastAsiaTheme="minorHAnsi"/>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1E5"/>
    <w:rPr>
      <w:lang w:eastAsia="en-US"/>
    </w:rPr>
  </w:style>
  <w:style w:type="paragraph" w:styleId="Nadpis1">
    <w:name w:val="heading 1"/>
    <w:basedOn w:val="Normln"/>
    <w:next w:val="Normln"/>
    <w:link w:val="Nadpis1Char"/>
    <w:qFormat/>
    <w:rsid w:val="00420DE2"/>
    <w:pPr>
      <w:keepNext/>
      <w:numPr>
        <w:numId w:val="1"/>
      </w:numPr>
      <w:spacing w:before="120" w:after="60"/>
      <w:outlineLvl w:val="0"/>
    </w:pPr>
    <w:rPr>
      <w:b/>
      <w:caps/>
      <w:sz w:val="18"/>
    </w:rPr>
  </w:style>
  <w:style w:type="paragraph" w:styleId="Nadpis2">
    <w:name w:val="heading 2"/>
    <w:basedOn w:val="Normln"/>
    <w:next w:val="Normln"/>
    <w:link w:val="Nadpis2Char"/>
    <w:qFormat/>
    <w:rsid w:val="00F961E5"/>
    <w:pPr>
      <w:keepNext/>
      <w:numPr>
        <w:numId w:val="3"/>
      </w:numPr>
      <w:outlineLvl w:val="1"/>
    </w:pPr>
    <w:rPr>
      <w:b/>
      <w:sz w:val="18"/>
    </w:rPr>
  </w:style>
  <w:style w:type="paragraph" w:styleId="Nadpis3">
    <w:name w:val="heading 3"/>
    <w:basedOn w:val="Normln"/>
    <w:next w:val="Normln"/>
    <w:link w:val="Nadpis3Char"/>
    <w:qFormat/>
    <w:rsid w:val="00F961E5"/>
    <w:pPr>
      <w:keepNext/>
      <w:outlineLvl w:val="2"/>
    </w:pPr>
    <w:rPr>
      <w:rFonts w:ascii="Geneva" w:hAnsi="Geneva"/>
      <w:b/>
      <w:i/>
      <w:color w:val="000000"/>
      <w:sz w:val="16"/>
      <w:lang w:val="en-GB"/>
    </w:rPr>
  </w:style>
  <w:style w:type="paragraph" w:styleId="Nadpis4">
    <w:name w:val="heading 4"/>
    <w:basedOn w:val="Normln"/>
    <w:next w:val="Normln"/>
    <w:link w:val="Nadpis4Char"/>
    <w:qFormat/>
    <w:rsid w:val="00F961E5"/>
    <w:pPr>
      <w:keepNext/>
      <w:outlineLvl w:val="3"/>
    </w:pPr>
    <w:rPr>
      <w:b/>
    </w:rPr>
  </w:style>
  <w:style w:type="paragraph" w:styleId="Nadpis5">
    <w:name w:val="heading 5"/>
    <w:basedOn w:val="Normln"/>
    <w:next w:val="Normln"/>
    <w:link w:val="Nadpis5Char"/>
    <w:qFormat/>
    <w:rsid w:val="00F961E5"/>
    <w:pPr>
      <w:keepNext/>
      <w:outlineLvl w:val="4"/>
    </w:pPr>
    <w:rPr>
      <w:b/>
      <w:sz w:val="28"/>
    </w:rPr>
  </w:style>
  <w:style w:type="paragraph" w:styleId="Nadpis6">
    <w:name w:val="heading 6"/>
    <w:basedOn w:val="Normln"/>
    <w:next w:val="Normln"/>
    <w:link w:val="Nadpis6Char"/>
    <w:qFormat/>
    <w:rsid w:val="00F961E5"/>
    <w:pPr>
      <w:keepNext/>
      <w:outlineLvl w:val="5"/>
    </w:pPr>
    <w:rPr>
      <w:b/>
      <w:caps/>
      <w:sz w:val="32"/>
    </w:rPr>
  </w:style>
  <w:style w:type="paragraph" w:styleId="Nadpis7">
    <w:name w:val="heading 7"/>
    <w:basedOn w:val="Normln"/>
    <w:next w:val="Normln"/>
    <w:link w:val="Nadpis7Char"/>
    <w:qFormat/>
    <w:rsid w:val="00F961E5"/>
    <w:pPr>
      <w:keepNext/>
      <w:jc w:val="center"/>
      <w:outlineLvl w:val="6"/>
    </w:pPr>
    <w:rPr>
      <w:b/>
      <w:sz w:val="52"/>
    </w:rPr>
  </w:style>
  <w:style w:type="paragraph" w:styleId="Nadpis8">
    <w:name w:val="heading 8"/>
    <w:basedOn w:val="Normln"/>
    <w:next w:val="Normln"/>
    <w:link w:val="Nadpis8Char"/>
    <w:qFormat/>
    <w:rsid w:val="00F961E5"/>
    <w:pPr>
      <w:keepNext/>
      <w:jc w:val="center"/>
      <w:outlineLvl w:val="7"/>
    </w:pPr>
    <w:rPr>
      <w:rFonts w:ascii="Geneva" w:hAnsi="Geneva"/>
      <w:color w:val="000000"/>
      <w:sz w:val="14"/>
      <w:u w:val="single"/>
    </w:rPr>
  </w:style>
  <w:style w:type="paragraph" w:styleId="Nadpis9">
    <w:name w:val="heading 9"/>
    <w:basedOn w:val="Normln"/>
    <w:next w:val="Normln"/>
    <w:link w:val="Nadpis9Char"/>
    <w:qFormat/>
    <w:rsid w:val="00F961E5"/>
    <w:pPr>
      <w:keepNext/>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601BB"/>
    <w:rPr>
      <w:b/>
      <w:caps/>
      <w:sz w:val="18"/>
      <w:lang w:eastAsia="en-US"/>
    </w:rPr>
  </w:style>
  <w:style w:type="character" w:customStyle="1" w:styleId="Nadpis2Char">
    <w:name w:val="Nadpis 2 Char"/>
    <w:basedOn w:val="Standardnpsmoodstavce"/>
    <w:link w:val="Nadpis2"/>
    <w:locked/>
    <w:rsid w:val="00B601BB"/>
    <w:rPr>
      <w:b/>
      <w:sz w:val="18"/>
      <w:lang w:eastAsia="en-US"/>
    </w:rPr>
  </w:style>
  <w:style w:type="character" w:customStyle="1" w:styleId="Nadpis3Char">
    <w:name w:val="Nadpis 3 Char"/>
    <w:basedOn w:val="Standardnpsmoodstavce"/>
    <w:link w:val="Nadpis3"/>
    <w:semiHidden/>
    <w:locked/>
    <w:rsid w:val="00B601BB"/>
    <w:rPr>
      <w:rFonts w:ascii="Cambria" w:hAnsi="Cambria" w:cs="Times New Roman"/>
      <w:b/>
      <w:bCs/>
      <w:sz w:val="26"/>
      <w:szCs w:val="26"/>
      <w:lang w:eastAsia="en-US"/>
    </w:rPr>
  </w:style>
  <w:style w:type="character" w:customStyle="1" w:styleId="Nadpis4Char">
    <w:name w:val="Nadpis 4 Char"/>
    <w:basedOn w:val="Standardnpsmoodstavce"/>
    <w:link w:val="Nadpis4"/>
    <w:semiHidden/>
    <w:locked/>
    <w:rsid w:val="00B601BB"/>
    <w:rPr>
      <w:rFonts w:ascii="Calibri" w:hAnsi="Calibri" w:cs="Times New Roman"/>
      <w:b/>
      <w:bCs/>
      <w:sz w:val="28"/>
      <w:szCs w:val="28"/>
      <w:lang w:eastAsia="en-US"/>
    </w:rPr>
  </w:style>
  <w:style w:type="character" w:customStyle="1" w:styleId="Nadpis5Char">
    <w:name w:val="Nadpis 5 Char"/>
    <w:basedOn w:val="Standardnpsmoodstavce"/>
    <w:link w:val="Nadpis5"/>
    <w:semiHidden/>
    <w:locked/>
    <w:rsid w:val="00B601BB"/>
    <w:rPr>
      <w:rFonts w:ascii="Calibri" w:hAnsi="Calibri" w:cs="Times New Roman"/>
      <w:b/>
      <w:bCs/>
      <w:i/>
      <w:iCs/>
      <w:sz w:val="26"/>
      <w:szCs w:val="26"/>
      <w:lang w:eastAsia="en-US"/>
    </w:rPr>
  </w:style>
  <w:style w:type="character" w:customStyle="1" w:styleId="Nadpis6Char">
    <w:name w:val="Nadpis 6 Char"/>
    <w:basedOn w:val="Standardnpsmoodstavce"/>
    <w:link w:val="Nadpis6"/>
    <w:semiHidden/>
    <w:locked/>
    <w:rsid w:val="00B601BB"/>
    <w:rPr>
      <w:rFonts w:ascii="Calibri" w:hAnsi="Calibri" w:cs="Times New Roman"/>
      <w:b/>
      <w:bCs/>
      <w:lang w:eastAsia="en-US"/>
    </w:rPr>
  </w:style>
  <w:style w:type="character" w:customStyle="1" w:styleId="Nadpis7Char">
    <w:name w:val="Nadpis 7 Char"/>
    <w:basedOn w:val="Standardnpsmoodstavce"/>
    <w:link w:val="Nadpis7"/>
    <w:semiHidden/>
    <w:locked/>
    <w:rsid w:val="00B601BB"/>
    <w:rPr>
      <w:rFonts w:ascii="Calibri" w:hAnsi="Calibri" w:cs="Times New Roman"/>
      <w:sz w:val="24"/>
      <w:szCs w:val="24"/>
      <w:lang w:eastAsia="en-US"/>
    </w:rPr>
  </w:style>
  <w:style w:type="character" w:customStyle="1" w:styleId="Nadpis8Char">
    <w:name w:val="Nadpis 8 Char"/>
    <w:basedOn w:val="Standardnpsmoodstavce"/>
    <w:link w:val="Nadpis8"/>
    <w:semiHidden/>
    <w:locked/>
    <w:rsid w:val="00B601BB"/>
    <w:rPr>
      <w:rFonts w:ascii="Calibri" w:hAnsi="Calibri" w:cs="Times New Roman"/>
      <w:i/>
      <w:iCs/>
      <w:sz w:val="24"/>
      <w:szCs w:val="24"/>
      <w:lang w:eastAsia="en-US"/>
    </w:rPr>
  </w:style>
  <w:style w:type="character" w:customStyle="1" w:styleId="Nadpis9Char">
    <w:name w:val="Nadpis 9 Char"/>
    <w:basedOn w:val="Standardnpsmoodstavce"/>
    <w:link w:val="Nadpis9"/>
    <w:semiHidden/>
    <w:locked/>
    <w:rsid w:val="00B601BB"/>
    <w:rPr>
      <w:rFonts w:ascii="Cambria" w:hAnsi="Cambria" w:cs="Times New Roman"/>
      <w:lang w:eastAsia="en-US"/>
    </w:rPr>
  </w:style>
  <w:style w:type="paragraph" w:styleId="Textbubliny">
    <w:name w:val="Balloon Text"/>
    <w:basedOn w:val="Normln"/>
    <w:link w:val="TextbublinyChar"/>
    <w:semiHidden/>
    <w:rsid w:val="00246F66"/>
    <w:rPr>
      <w:rFonts w:ascii="Tahoma" w:hAnsi="Tahoma" w:cs="Tahoma"/>
      <w:sz w:val="16"/>
      <w:szCs w:val="16"/>
    </w:rPr>
  </w:style>
  <w:style w:type="character" w:customStyle="1" w:styleId="TextbublinyChar">
    <w:name w:val="Text bubliny Char"/>
    <w:basedOn w:val="Standardnpsmoodstavce"/>
    <w:link w:val="Textbubliny"/>
    <w:semiHidden/>
    <w:locked/>
    <w:rsid w:val="00B601BB"/>
    <w:rPr>
      <w:rFonts w:cs="Times New Roman"/>
      <w:sz w:val="2"/>
      <w:lang w:eastAsia="en-US"/>
    </w:rPr>
  </w:style>
  <w:style w:type="paragraph" w:styleId="Zhlav">
    <w:name w:val="header"/>
    <w:basedOn w:val="Normln"/>
    <w:link w:val="ZhlavChar"/>
    <w:uiPriority w:val="99"/>
    <w:rsid w:val="00F961E5"/>
    <w:pPr>
      <w:tabs>
        <w:tab w:val="center" w:pos="4153"/>
        <w:tab w:val="right" w:pos="8306"/>
      </w:tabs>
    </w:pPr>
  </w:style>
  <w:style w:type="character" w:customStyle="1" w:styleId="ZhlavChar">
    <w:name w:val="Záhlaví Char"/>
    <w:basedOn w:val="Standardnpsmoodstavce"/>
    <w:link w:val="Zhlav"/>
    <w:uiPriority w:val="99"/>
    <w:locked/>
    <w:rsid w:val="00B601BB"/>
    <w:rPr>
      <w:rFonts w:cs="Times New Roman"/>
      <w:sz w:val="20"/>
      <w:szCs w:val="20"/>
      <w:lang w:eastAsia="en-US"/>
    </w:rPr>
  </w:style>
  <w:style w:type="paragraph" w:styleId="Zpat">
    <w:name w:val="footer"/>
    <w:basedOn w:val="Normln"/>
    <w:link w:val="ZpatChar"/>
    <w:uiPriority w:val="99"/>
    <w:rsid w:val="00F961E5"/>
    <w:pPr>
      <w:tabs>
        <w:tab w:val="center" w:pos="4153"/>
        <w:tab w:val="right" w:pos="8306"/>
      </w:tabs>
    </w:pPr>
  </w:style>
  <w:style w:type="character" w:customStyle="1" w:styleId="ZpatChar">
    <w:name w:val="Zápatí Char"/>
    <w:basedOn w:val="Standardnpsmoodstavce"/>
    <w:link w:val="Zpat"/>
    <w:uiPriority w:val="99"/>
    <w:locked/>
    <w:rsid w:val="00B601BB"/>
    <w:rPr>
      <w:rFonts w:cs="Times New Roman"/>
      <w:sz w:val="20"/>
      <w:szCs w:val="20"/>
      <w:lang w:eastAsia="en-US"/>
    </w:rPr>
  </w:style>
  <w:style w:type="character" w:styleId="slostrnky">
    <w:name w:val="page number"/>
    <w:basedOn w:val="Standardnpsmoodstavce"/>
    <w:rsid w:val="00F961E5"/>
    <w:rPr>
      <w:rFonts w:cs="Times New Roman"/>
    </w:rPr>
  </w:style>
  <w:style w:type="paragraph" w:styleId="Zkladntext">
    <w:name w:val="Body Text"/>
    <w:basedOn w:val="Normln"/>
    <w:link w:val="ZkladntextChar"/>
    <w:rsid w:val="00F961E5"/>
    <w:pPr>
      <w:ind w:left="426"/>
      <w:jc w:val="both"/>
    </w:pPr>
    <w:rPr>
      <w:sz w:val="18"/>
    </w:rPr>
  </w:style>
  <w:style w:type="character" w:customStyle="1" w:styleId="ZkladntextChar">
    <w:name w:val="Základní text Char"/>
    <w:basedOn w:val="Standardnpsmoodstavce"/>
    <w:link w:val="Zkladntext"/>
    <w:locked/>
    <w:rsid w:val="00B601BB"/>
    <w:rPr>
      <w:rFonts w:cs="Times New Roman"/>
      <w:sz w:val="20"/>
      <w:szCs w:val="20"/>
      <w:lang w:eastAsia="en-US"/>
    </w:rPr>
  </w:style>
  <w:style w:type="paragraph" w:customStyle="1" w:styleId="Uvod">
    <w:name w:val="Uvod"/>
    <w:basedOn w:val="Normln"/>
    <w:rsid w:val="00F961E5"/>
    <w:pPr>
      <w:ind w:left="284" w:hanging="284"/>
      <w:jc w:val="both"/>
    </w:pPr>
    <w:rPr>
      <w:sz w:val="22"/>
    </w:rPr>
  </w:style>
  <w:style w:type="paragraph" w:customStyle="1" w:styleId="Tabulka">
    <w:name w:val="Tabulka"/>
    <w:basedOn w:val="Normln"/>
    <w:rsid w:val="00F961E5"/>
    <w:rPr>
      <w:color w:val="000000"/>
      <w:sz w:val="18"/>
    </w:rPr>
  </w:style>
  <w:style w:type="paragraph" w:customStyle="1" w:styleId="Pismenka">
    <w:name w:val="Pismenka"/>
    <w:basedOn w:val="Zkladntext"/>
    <w:rsid w:val="00350046"/>
    <w:pPr>
      <w:keepNext/>
      <w:tabs>
        <w:tab w:val="num" w:pos="426"/>
      </w:tabs>
      <w:ind w:left="425" w:hanging="425"/>
    </w:pPr>
    <w:rPr>
      <w:b/>
    </w:rPr>
  </w:style>
  <w:style w:type="paragraph" w:styleId="Obsah1">
    <w:name w:val="toc 1"/>
    <w:basedOn w:val="Normln"/>
    <w:next w:val="Normln"/>
    <w:autoRedefine/>
    <w:semiHidden/>
    <w:rsid w:val="00F961E5"/>
    <w:pPr>
      <w:tabs>
        <w:tab w:val="left" w:pos="426"/>
        <w:tab w:val="right" w:pos="9203"/>
      </w:tabs>
      <w:spacing w:before="360"/>
    </w:pPr>
    <w:rPr>
      <w:b/>
      <w:bCs/>
      <w:caps/>
      <w:noProof/>
      <w:szCs w:val="18"/>
    </w:rPr>
  </w:style>
  <w:style w:type="paragraph" w:styleId="Obsah2">
    <w:name w:val="toc 2"/>
    <w:basedOn w:val="Normln"/>
    <w:next w:val="Normln"/>
    <w:autoRedefine/>
    <w:semiHidden/>
    <w:rsid w:val="00F961E5"/>
    <w:pPr>
      <w:tabs>
        <w:tab w:val="left" w:pos="993"/>
        <w:tab w:val="right" w:pos="9203"/>
      </w:tabs>
      <w:ind w:firstLine="567"/>
    </w:pPr>
    <w:rPr>
      <w:b/>
      <w:bCs/>
      <w:noProof/>
      <w:szCs w:val="18"/>
    </w:rPr>
  </w:style>
  <w:style w:type="paragraph" w:styleId="Obsah3">
    <w:name w:val="toc 3"/>
    <w:basedOn w:val="Normln"/>
    <w:next w:val="Normln"/>
    <w:autoRedefine/>
    <w:semiHidden/>
    <w:rsid w:val="00F961E5"/>
    <w:pPr>
      <w:ind w:left="200"/>
    </w:pPr>
    <w:rPr>
      <w:szCs w:val="24"/>
    </w:rPr>
  </w:style>
  <w:style w:type="paragraph" w:styleId="Obsah4">
    <w:name w:val="toc 4"/>
    <w:basedOn w:val="Normln"/>
    <w:next w:val="Normln"/>
    <w:autoRedefine/>
    <w:semiHidden/>
    <w:rsid w:val="00F961E5"/>
    <w:pPr>
      <w:ind w:left="400"/>
    </w:pPr>
    <w:rPr>
      <w:szCs w:val="24"/>
    </w:rPr>
  </w:style>
  <w:style w:type="paragraph" w:styleId="Obsah5">
    <w:name w:val="toc 5"/>
    <w:basedOn w:val="Normln"/>
    <w:next w:val="Normln"/>
    <w:autoRedefine/>
    <w:semiHidden/>
    <w:rsid w:val="00F961E5"/>
    <w:pPr>
      <w:ind w:left="600"/>
    </w:pPr>
    <w:rPr>
      <w:szCs w:val="24"/>
    </w:rPr>
  </w:style>
  <w:style w:type="paragraph" w:styleId="Obsah6">
    <w:name w:val="toc 6"/>
    <w:basedOn w:val="Normln"/>
    <w:next w:val="Normln"/>
    <w:autoRedefine/>
    <w:semiHidden/>
    <w:rsid w:val="00F961E5"/>
    <w:pPr>
      <w:ind w:left="800"/>
    </w:pPr>
    <w:rPr>
      <w:szCs w:val="24"/>
    </w:rPr>
  </w:style>
  <w:style w:type="paragraph" w:styleId="Obsah7">
    <w:name w:val="toc 7"/>
    <w:basedOn w:val="Normln"/>
    <w:next w:val="Normln"/>
    <w:autoRedefine/>
    <w:semiHidden/>
    <w:rsid w:val="00F961E5"/>
    <w:pPr>
      <w:ind w:left="1000"/>
    </w:pPr>
    <w:rPr>
      <w:szCs w:val="24"/>
    </w:rPr>
  </w:style>
  <w:style w:type="paragraph" w:styleId="Obsah8">
    <w:name w:val="toc 8"/>
    <w:basedOn w:val="Normln"/>
    <w:next w:val="Normln"/>
    <w:autoRedefine/>
    <w:semiHidden/>
    <w:rsid w:val="00F961E5"/>
    <w:pPr>
      <w:ind w:left="1200"/>
    </w:pPr>
    <w:rPr>
      <w:szCs w:val="24"/>
    </w:rPr>
  </w:style>
  <w:style w:type="paragraph" w:styleId="Obsah9">
    <w:name w:val="toc 9"/>
    <w:basedOn w:val="Normln"/>
    <w:next w:val="Normln"/>
    <w:autoRedefine/>
    <w:semiHidden/>
    <w:rsid w:val="00F961E5"/>
    <w:pPr>
      <w:ind w:left="1400"/>
    </w:pPr>
    <w:rPr>
      <w:szCs w:val="24"/>
    </w:rPr>
  </w:style>
  <w:style w:type="character" w:styleId="Hypertextovodkaz">
    <w:name w:val="Hyperlink"/>
    <w:basedOn w:val="Standardnpsmoodstavce"/>
    <w:rsid w:val="00F961E5"/>
    <w:rPr>
      <w:rFonts w:cs="Times New Roman"/>
      <w:color w:val="0000FF"/>
      <w:u w:val="single"/>
    </w:rPr>
  </w:style>
  <w:style w:type="character" w:styleId="Sledovanodkaz">
    <w:name w:val="FollowedHyperlink"/>
    <w:basedOn w:val="Standardnpsmoodstavce"/>
    <w:rsid w:val="00F961E5"/>
    <w:rPr>
      <w:rFonts w:cs="Times New Roman"/>
      <w:color w:val="800080"/>
      <w:u w:val="single"/>
    </w:rPr>
  </w:style>
  <w:style w:type="paragraph" w:styleId="Zkladntextodsazen">
    <w:name w:val="Body Text Indent"/>
    <w:basedOn w:val="Normln"/>
    <w:link w:val="ZkladntextodsazenChar"/>
    <w:rsid w:val="00D97BD1"/>
    <w:pPr>
      <w:spacing w:after="120"/>
      <w:ind w:left="283"/>
    </w:pPr>
  </w:style>
  <w:style w:type="character" w:customStyle="1" w:styleId="ZkladntextodsazenChar">
    <w:name w:val="Základní text odsazený Char"/>
    <w:basedOn w:val="Standardnpsmoodstavce"/>
    <w:link w:val="Zkladntextodsazen"/>
    <w:semiHidden/>
    <w:locked/>
    <w:rsid w:val="00B601BB"/>
    <w:rPr>
      <w:rFonts w:cs="Times New Roman"/>
      <w:sz w:val="20"/>
      <w:szCs w:val="20"/>
      <w:lang w:eastAsia="en-US"/>
    </w:rPr>
  </w:style>
  <w:style w:type="paragraph" w:styleId="Prosttext">
    <w:name w:val="Plain Text"/>
    <w:basedOn w:val="Normln"/>
    <w:link w:val="ProsttextChar"/>
    <w:rsid w:val="005206A2"/>
    <w:pPr>
      <w:spacing w:line="260" w:lineRule="atLeast"/>
    </w:pPr>
    <w:rPr>
      <w:rFonts w:ascii="Courier New" w:hAnsi="Courier New" w:cs="Courier New"/>
      <w:lang w:val="en-US"/>
    </w:rPr>
  </w:style>
  <w:style w:type="character" w:customStyle="1" w:styleId="ProsttextChar">
    <w:name w:val="Prostý text Char"/>
    <w:basedOn w:val="Standardnpsmoodstavce"/>
    <w:link w:val="Prosttext"/>
    <w:semiHidden/>
    <w:locked/>
    <w:rsid w:val="00B601BB"/>
    <w:rPr>
      <w:rFonts w:ascii="Courier New" w:hAnsi="Courier New" w:cs="Courier New"/>
      <w:sz w:val="20"/>
      <w:szCs w:val="20"/>
      <w:lang w:eastAsia="en-US"/>
    </w:rPr>
  </w:style>
  <w:style w:type="character" w:styleId="Odkaznakoment">
    <w:name w:val="annotation reference"/>
    <w:basedOn w:val="Standardnpsmoodstavce"/>
    <w:semiHidden/>
    <w:rsid w:val="00785167"/>
    <w:rPr>
      <w:rFonts w:cs="Times New Roman"/>
      <w:sz w:val="16"/>
      <w:szCs w:val="16"/>
    </w:rPr>
  </w:style>
  <w:style w:type="paragraph" w:styleId="Textkomente">
    <w:name w:val="annotation text"/>
    <w:basedOn w:val="Normln"/>
    <w:link w:val="TextkomenteChar"/>
    <w:semiHidden/>
    <w:rsid w:val="00785167"/>
  </w:style>
  <w:style w:type="character" w:customStyle="1" w:styleId="TextkomenteChar">
    <w:name w:val="Text komentáře Char"/>
    <w:basedOn w:val="Standardnpsmoodstavce"/>
    <w:link w:val="Textkomente"/>
    <w:semiHidden/>
    <w:locked/>
    <w:rsid w:val="00B601BB"/>
    <w:rPr>
      <w:rFonts w:cs="Times New Roman"/>
      <w:sz w:val="20"/>
      <w:szCs w:val="20"/>
      <w:lang w:eastAsia="en-US"/>
    </w:rPr>
  </w:style>
  <w:style w:type="paragraph" w:styleId="Pedmtkomente">
    <w:name w:val="annotation subject"/>
    <w:basedOn w:val="Textkomente"/>
    <w:next w:val="Textkomente"/>
    <w:link w:val="PedmtkomenteChar"/>
    <w:semiHidden/>
    <w:rsid w:val="00785167"/>
    <w:rPr>
      <w:b/>
      <w:bCs/>
    </w:rPr>
  </w:style>
  <w:style w:type="character" w:customStyle="1" w:styleId="PedmtkomenteChar">
    <w:name w:val="Předmět komentáře Char"/>
    <w:basedOn w:val="TextkomenteChar"/>
    <w:link w:val="Pedmtkomente"/>
    <w:semiHidden/>
    <w:locked/>
    <w:rsid w:val="00B601BB"/>
    <w:rPr>
      <w:rFonts w:cs="Times New Roman"/>
      <w:b/>
      <w:bCs/>
      <w:sz w:val="20"/>
      <w:szCs w:val="20"/>
      <w:lang w:eastAsia="en-US"/>
    </w:rPr>
  </w:style>
  <w:style w:type="paragraph" w:customStyle="1" w:styleId="ListParagraph1">
    <w:name w:val="List Paragraph1"/>
    <w:basedOn w:val="Normln"/>
    <w:rsid w:val="0011292F"/>
    <w:pPr>
      <w:ind w:left="720"/>
      <w:contextualSpacing/>
    </w:pPr>
  </w:style>
  <w:style w:type="character" w:customStyle="1" w:styleId="ra">
    <w:name w:val="ra"/>
    <w:basedOn w:val="Standardnpsmoodstavce"/>
    <w:rsid w:val="001F371D"/>
  </w:style>
  <w:style w:type="paragraph" w:styleId="Revize">
    <w:name w:val="Revision"/>
    <w:hidden/>
    <w:uiPriority w:val="99"/>
    <w:semiHidden/>
    <w:rsid w:val="00D84AF2"/>
    <w:rPr>
      <w:lang w:eastAsia="en-US"/>
    </w:rPr>
  </w:style>
  <w:style w:type="table" w:styleId="Mkatabulky">
    <w:name w:val="Table Grid"/>
    <w:basedOn w:val="Normlntabulka"/>
    <w:rsid w:val="005C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EC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F477FC"/>
    <w:pPr>
      <w:ind w:left="708"/>
    </w:pPr>
  </w:style>
  <w:style w:type="paragraph" w:styleId="Bezmezer">
    <w:name w:val="No Spacing"/>
    <w:link w:val="BezmezerChar"/>
    <w:uiPriority w:val="1"/>
    <w:qFormat/>
    <w:rsid w:val="00F00AFF"/>
    <w:rPr>
      <w:rFonts w:asciiTheme="minorHAnsi" w:eastAsiaTheme="minorEastAsia" w:hAnsiTheme="minorHAnsi" w:cstheme="minorBidi"/>
      <w:sz w:val="22"/>
      <w:szCs w:val="22"/>
      <w:lang w:val="cs-CZ" w:eastAsia="cs-CZ"/>
    </w:rPr>
  </w:style>
  <w:style w:type="character" w:customStyle="1" w:styleId="BezmezerChar">
    <w:name w:val="Bez mezer Char"/>
    <w:basedOn w:val="Standardnpsmoodstavce"/>
    <w:link w:val="Bezmezer"/>
    <w:uiPriority w:val="1"/>
    <w:rsid w:val="00F00AFF"/>
    <w:rPr>
      <w:rFonts w:asciiTheme="minorHAnsi" w:eastAsiaTheme="minorEastAsia" w:hAnsiTheme="minorHAnsi" w:cstheme="minorBidi"/>
      <w:sz w:val="22"/>
      <w:szCs w:val="22"/>
      <w:lang w:val="cs-CZ" w:eastAsia="cs-CZ"/>
    </w:rPr>
  </w:style>
  <w:style w:type="paragraph" w:styleId="Normlnweb">
    <w:name w:val="Normal (Web)"/>
    <w:basedOn w:val="Normln"/>
    <w:uiPriority w:val="99"/>
    <w:semiHidden/>
    <w:unhideWhenUsed/>
    <w:locked/>
    <w:rsid w:val="00191993"/>
    <w:pPr>
      <w:spacing w:before="100" w:beforeAutospacing="1" w:after="100" w:afterAutospacing="1"/>
    </w:pPr>
    <w:rPr>
      <w:rFonts w:eastAsiaTheme="minorHAnsi"/>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59445662">
      <w:bodyDiv w:val="1"/>
      <w:marLeft w:val="0"/>
      <w:marRight w:val="0"/>
      <w:marTop w:val="0"/>
      <w:marBottom w:val="0"/>
      <w:divBdr>
        <w:top w:val="none" w:sz="0" w:space="0" w:color="auto"/>
        <w:left w:val="none" w:sz="0" w:space="0" w:color="auto"/>
        <w:bottom w:val="none" w:sz="0" w:space="0" w:color="auto"/>
        <w:right w:val="none" w:sz="0" w:space="0" w:color="auto"/>
      </w:divBdr>
    </w:div>
    <w:div w:id="128011640">
      <w:bodyDiv w:val="1"/>
      <w:marLeft w:val="0"/>
      <w:marRight w:val="0"/>
      <w:marTop w:val="0"/>
      <w:marBottom w:val="0"/>
      <w:divBdr>
        <w:top w:val="none" w:sz="0" w:space="0" w:color="auto"/>
        <w:left w:val="none" w:sz="0" w:space="0" w:color="auto"/>
        <w:bottom w:val="none" w:sz="0" w:space="0" w:color="auto"/>
        <w:right w:val="none" w:sz="0" w:space="0" w:color="auto"/>
      </w:divBdr>
    </w:div>
    <w:div w:id="196892687">
      <w:bodyDiv w:val="1"/>
      <w:marLeft w:val="0"/>
      <w:marRight w:val="0"/>
      <w:marTop w:val="0"/>
      <w:marBottom w:val="0"/>
      <w:divBdr>
        <w:top w:val="none" w:sz="0" w:space="0" w:color="auto"/>
        <w:left w:val="none" w:sz="0" w:space="0" w:color="auto"/>
        <w:bottom w:val="none" w:sz="0" w:space="0" w:color="auto"/>
        <w:right w:val="none" w:sz="0" w:space="0" w:color="auto"/>
      </w:divBdr>
    </w:div>
    <w:div w:id="414085604">
      <w:bodyDiv w:val="1"/>
      <w:marLeft w:val="0"/>
      <w:marRight w:val="0"/>
      <w:marTop w:val="0"/>
      <w:marBottom w:val="0"/>
      <w:divBdr>
        <w:top w:val="none" w:sz="0" w:space="0" w:color="auto"/>
        <w:left w:val="none" w:sz="0" w:space="0" w:color="auto"/>
        <w:bottom w:val="none" w:sz="0" w:space="0" w:color="auto"/>
        <w:right w:val="none" w:sz="0" w:space="0" w:color="auto"/>
      </w:divBdr>
    </w:div>
    <w:div w:id="1005867266">
      <w:bodyDiv w:val="1"/>
      <w:marLeft w:val="0"/>
      <w:marRight w:val="0"/>
      <w:marTop w:val="0"/>
      <w:marBottom w:val="0"/>
      <w:divBdr>
        <w:top w:val="none" w:sz="0" w:space="0" w:color="auto"/>
        <w:left w:val="none" w:sz="0" w:space="0" w:color="auto"/>
        <w:bottom w:val="none" w:sz="0" w:space="0" w:color="auto"/>
        <w:right w:val="none" w:sz="0" w:space="0" w:color="auto"/>
      </w:divBdr>
    </w:div>
    <w:div w:id="1159228173">
      <w:bodyDiv w:val="1"/>
      <w:marLeft w:val="0"/>
      <w:marRight w:val="0"/>
      <w:marTop w:val="0"/>
      <w:marBottom w:val="0"/>
      <w:divBdr>
        <w:top w:val="none" w:sz="0" w:space="0" w:color="auto"/>
        <w:left w:val="none" w:sz="0" w:space="0" w:color="auto"/>
        <w:bottom w:val="none" w:sz="0" w:space="0" w:color="auto"/>
        <w:right w:val="none" w:sz="0" w:space="0" w:color="auto"/>
      </w:divBdr>
    </w:div>
    <w:div w:id="1682000799">
      <w:bodyDiv w:val="1"/>
      <w:marLeft w:val="0"/>
      <w:marRight w:val="0"/>
      <w:marTop w:val="0"/>
      <w:marBottom w:val="0"/>
      <w:divBdr>
        <w:top w:val="none" w:sz="0" w:space="0" w:color="auto"/>
        <w:left w:val="none" w:sz="0" w:space="0" w:color="auto"/>
        <w:bottom w:val="none" w:sz="0" w:space="0" w:color="auto"/>
        <w:right w:val="none" w:sz="0" w:space="0" w:color="auto"/>
      </w:divBdr>
    </w:div>
    <w:div w:id="1729112083">
      <w:bodyDiv w:val="1"/>
      <w:marLeft w:val="0"/>
      <w:marRight w:val="0"/>
      <w:marTop w:val="0"/>
      <w:marBottom w:val="0"/>
      <w:divBdr>
        <w:top w:val="none" w:sz="0" w:space="0" w:color="auto"/>
        <w:left w:val="none" w:sz="0" w:space="0" w:color="auto"/>
        <w:bottom w:val="none" w:sz="0" w:space="0" w:color="auto"/>
        <w:right w:val="none" w:sz="0" w:space="0" w:color="auto"/>
      </w:divBdr>
    </w:div>
    <w:div w:id="19623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6.xlsx"/><Relationship Id="rId21" Type="http://schemas.openxmlformats.org/officeDocument/2006/relationships/image" Target="media/image7.emf"/><Relationship Id="rId42" Type="http://schemas.openxmlformats.org/officeDocument/2006/relationships/oleObject" Target="embeddings/Microsoft_Excel_97-2003_Worksheet11.xls"/><Relationship Id="rId47"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oleObject" Target="embeddings/Microsoft_Excel_97-2003_Worksheet23.xls"/><Relationship Id="rId16" Type="http://schemas.openxmlformats.org/officeDocument/2006/relationships/package" Target="embeddings/Microsoft_Excel_Worksheet3.xlsx"/><Relationship Id="rId11" Type="http://schemas.openxmlformats.org/officeDocument/2006/relationships/image" Target="media/image2.emf"/><Relationship Id="rId24" Type="http://schemas.openxmlformats.org/officeDocument/2006/relationships/oleObject" Target="embeddings/Microsoft_Excel_97-2003_Worksheet3.xls"/><Relationship Id="rId32" Type="http://schemas.openxmlformats.org/officeDocument/2006/relationships/oleObject" Target="embeddings/Microsoft_Excel_97-2003_Worksheet6.xls"/><Relationship Id="rId37" Type="http://schemas.openxmlformats.org/officeDocument/2006/relationships/image" Target="media/image15.emf"/><Relationship Id="rId40" Type="http://schemas.openxmlformats.org/officeDocument/2006/relationships/oleObject" Target="embeddings/Microsoft_Excel_97-2003_Worksheet10.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Excel_97-2003_Worksheet18.xls"/><Relationship Id="rId66" Type="http://schemas.openxmlformats.org/officeDocument/2006/relationships/oleObject" Target="embeddings/Microsoft_Excel_97-2003_Worksheet22.xls"/><Relationship Id="rId74" Type="http://schemas.openxmlformats.org/officeDocument/2006/relationships/oleObject" Target="embeddings/Microsoft_Excel_97-2003_Worksheet25.xls"/><Relationship Id="rId5" Type="http://schemas.openxmlformats.org/officeDocument/2006/relationships/settings" Target="settings.xml"/><Relationship Id="rId61" Type="http://schemas.openxmlformats.org/officeDocument/2006/relationships/image" Target="media/image27.emf"/><Relationship Id="rId19" Type="http://schemas.openxmlformats.org/officeDocument/2006/relationships/image" Target="media/image6.emf"/><Relationship Id="rId14" Type="http://schemas.openxmlformats.org/officeDocument/2006/relationships/package" Target="embeddings/Microsoft_Excel_Worksheet2.xlsx"/><Relationship Id="rId22" Type="http://schemas.openxmlformats.org/officeDocument/2006/relationships/oleObject" Target="embeddings/Microsoft_Excel_97-2003_Worksheet2.xls"/><Relationship Id="rId27" Type="http://schemas.openxmlformats.org/officeDocument/2006/relationships/image" Target="media/image10.emf"/><Relationship Id="rId30" Type="http://schemas.openxmlformats.org/officeDocument/2006/relationships/oleObject" Target="embeddings/Microsoft_Excel_97-2003_Worksheet5.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Excel_97-2003_Worksheet14.xls"/><Relationship Id="rId56" Type="http://schemas.openxmlformats.org/officeDocument/2006/relationships/oleObject" Target="embeddings/Microsoft_Excel_97-2003_Worksheet17.xls"/><Relationship Id="rId64" Type="http://schemas.openxmlformats.org/officeDocument/2006/relationships/oleObject" Target="embeddings/Microsoft_Excel_97-2003_Worksheet21.xls"/><Relationship Id="rId69" Type="http://schemas.openxmlformats.org/officeDocument/2006/relationships/image" Target="media/image31.e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Microsoft_Excel_97-2003_Worksheet1.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Excel_97-2003_Worksheet9.xls"/><Relationship Id="rId46" Type="http://schemas.openxmlformats.org/officeDocument/2006/relationships/oleObject" Target="embeddings/Microsoft_Excel_97-2003_Worksheet13.xls"/><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Excel_Worksheet5.xlsx"/><Relationship Id="rId41" Type="http://schemas.openxmlformats.org/officeDocument/2006/relationships/image" Target="media/image17.emf"/><Relationship Id="rId54" Type="http://schemas.openxmlformats.org/officeDocument/2006/relationships/package" Target="embeddings/Microsoft_Excel_Worksheet7.xlsx"/><Relationship Id="rId62" Type="http://schemas.openxmlformats.org/officeDocument/2006/relationships/oleObject" Target="embeddings/Microsoft_Excel_97-2003_Worksheet20.xls"/><Relationship Id="rId70" Type="http://schemas.openxmlformats.org/officeDocument/2006/relationships/oleObject" Target="embeddings/Microsoft_Excel_97-2003_Worksheet24.xls"/><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4.xls"/><Relationship Id="rId36" Type="http://schemas.openxmlformats.org/officeDocument/2006/relationships/oleObject" Target="embeddings/Microsoft_Excel_97-2003_Worksheet8.xls"/><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package" Target="embeddings/Microsoft_Excel_Worksheet1.xlsx"/><Relationship Id="rId31" Type="http://schemas.openxmlformats.org/officeDocument/2006/relationships/image" Target="media/image12.emf"/><Relationship Id="rId44" Type="http://schemas.openxmlformats.org/officeDocument/2006/relationships/oleObject" Target="embeddings/Microsoft_Excel_97-2003_Worksheet12.xls"/><Relationship Id="rId52" Type="http://schemas.openxmlformats.org/officeDocument/2006/relationships/oleObject" Target="embeddings/Microsoft_Excel_97-2003_Worksheet16.xls"/><Relationship Id="rId60" Type="http://schemas.openxmlformats.org/officeDocument/2006/relationships/oleObject" Target="embeddings/Microsoft_Excel_97-2003_Worksheet19.xls"/><Relationship Id="rId65" Type="http://schemas.openxmlformats.org/officeDocument/2006/relationships/image" Target="media/image29.emf"/><Relationship Id="rId73" Type="http://schemas.openxmlformats.org/officeDocument/2006/relationships/image" Target="media/image32.e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4.xlsx"/><Relationship Id="rId39" Type="http://schemas.openxmlformats.org/officeDocument/2006/relationships/image" Target="media/image16.emf"/><Relationship Id="rId34" Type="http://schemas.openxmlformats.org/officeDocument/2006/relationships/oleObject" Target="embeddings/Microsoft_Excel_97-2003_Worksheet7.xls"/><Relationship Id="rId50" Type="http://schemas.openxmlformats.org/officeDocument/2006/relationships/oleObject" Target="embeddings/Microsoft_Excel_97-2003_Worksheet15.xls"/><Relationship Id="rId55" Type="http://schemas.openxmlformats.org/officeDocument/2006/relationships/image" Target="media/image24.e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CD7D-039F-4592-9ECB-558CEB1F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2952</Words>
  <Characters>18679</Characters>
  <Application>Microsoft Office Word</Application>
  <DocSecurity>0</DocSecurity>
  <Lines>155</Lines>
  <Paragraphs>43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Všeobecné údaje</vt:lpstr>
      <vt:lpstr>Všeobecné údaje</vt:lpstr>
      <vt:lpstr>Všeobecné údaje</vt:lpstr>
    </vt:vector>
  </TitlesOfParts>
  <Company>KPMG</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údaje</dc:title>
  <dc:creator>imachac</dc:creator>
  <cp:lastModifiedBy>Paňáková Eva</cp:lastModifiedBy>
  <cp:revision>2</cp:revision>
  <cp:lastPrinted>2019-04-09T10:10:00Z</cp:lastPrinted>
  <dcterms:created xsi:type="dcterms:W3CDTF">2019-04-16T13:11:00Z</dcterms:created>
  <dcterms:modified xsi:type="dcterms:W3CDTF">2019-04-16T13:11:00Z</dcterms:modified>
</cp:coreProperties>
</file>