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F45CF" w:rsidRPr="00DF45CF" w:rsidRDefault="00DF45CF" w:rsidP="00DF45CF">
      <w:pPr>
        <w:pStyle w:val="Default"/>
        <w:jc w:val="center"/>
        <w:rPr>
          <w:rFonts w:ascii="Times New Roman" w:hAnsi="Times New Roman" w:cs="Times New Roman"/>
        </w:rPr>
      </w:pPr>
      <w:r w:rsidRPr="00DF45CF">
        <w:rPr>
          <w:rFonts w:ascii="Times New Roman" w:hAnsi="Times New Roman" w:cs="Times New Roman"/>
          <w:b/>
          <w:bCs/>
          <w:iCs/>
        </w:rPr>
        <w:t xml:space="preserve">APEKA, s.r.o., </w:t>
      </w:r>
      <w:proofErr w:type="spellStart"/>
      <w:r w:rsidRPr="00DF45CF">
        <w:rPr>
          <w:rFonts w:ascii="Times New Roman" w:hAnsi="Times New Roman" w:cs="Times New Roman"/>
          <w:b/>
          <w:bCs/>
          <w:iCs/>
        </w:rPr>
        <w:t>Sobotské</w:t>
      </w:r>
      <w:proofErr w:type="spellEnd"/>
      <w:r w:rsidRPr="00DF45CF">
        <w:rPr>
          <w:rFonts w:ascii="Times New Roman" w:hAnsi="Times New Roman" w:cs="Times New Roman"/>
          <w:b/>
          <w:bCs/>
          <w:iCs/>
        </w:rPr>
        <w:t xml:space="preserve"> nám. 1748/46, 058 01 Poprad</w:t>
      </w: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E734E0">
      <w:pPr>
        <w:pStyle w:val="Defaul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</w:p>
    <w:p w:rsidR="00DF3E82" w:rsidRDefault="00DF3E82">
      <w:pPr>
        <w:pStyle w:val="Default"/>
        <w:jc w:val="both"/>
        <w:rPr>
          <w:rFonts w:ascii="Times New Roman" w:hAnsi="Times New Roman"/>
          <w:b/>
          <w:bCs/>
          <w:sz w:val="88"/>
          <w:szCs w:val="88"/>
        </w:rPr>
      </w:pPr>
    </w:p>
    <w:p w:rsidR="00DF3E82" w:rsidRDefault="00DF3E82">
      <w:pPr>
        <w:pStyle w:val="Default"/>
        <w:jc w:val="both"/>
        <w:rPr>
          <w:rFonts w:ascii="Times New Roman" w:hAnsi="Times New Roman"/>
          <w:b/>
          <w:bCs/>
          <w:sz w:val="88"/>
          <w:szCs w:val="88"/>
        </w:rPr>
      </w:pPr>
    </w:p>
    <w:p w:rsidR="00DF3E82" w:rsidRDefault="00DF3E82">
      <w:pPr>
        <w:pStyle w:val="Default"/>
        <w:jc w:val="center"/>
        <w:rPr>
          <w:rFonts w:ascii="Times New Roman" w:hAnsi="Times New Roman"/>
          <w:b/>
          <w:bCs/>
          <w:sz w:val="88"/>
          <w:szCs w:val="88"/>
        </w:rPr>
      </w:pPr>
    </w:p>
    <w:p w:rsidR="00DF3E82" w:rsidRDefault="00E734E0">
      <w:pPr>
        <w:pStyle w:val="Default"/>
        <w:jc w:val="center"/>
        <w:rPr>
          <w:rFonts w:ascii="Times New Roman" w:hAnsi="Times New Roman"/>
          <w:b/>
          <w:bCs/>
          <w:sz w:val="88"/>
          <w:szCs w:val="88"/>
        </w:rPr>
      </w:pPr>
      <w:r>
        <w:rPr>
          <w:rFonts w:ascii="Times New Roman" w:hAnsi="Times New Roman"/>
          <w:b/>
          <w:bCs/>
          <w:sz w:val="88"/>
          <w:szCs w:val="88"/>
        </w:rPr>
        <w:t>Výročná správa</w:t>
      </w:r>
    </w:p>
    <w:p w:rsidR="00DF3E82" w:rsidRDefault="00E734E0">
      <w:pPr>
        <w:pStyle w:val="Default"/>
        <w:jc w:val="center"/>
        <w:rPr>
          <w:rFonts w:ascii="Times New Roman" w:eastAsia="Times New Roman" w:hAnsi="Times New Roman" w:cs="Times New Roman"/>
          <w:b/>
          <w:bCs/>
          <w:sz w:val="72"/>
          <w:szCs w:val="72"/>
        </w:rPr>
      </w:pPr>
      <w:r>
        <w:rPr>
          <w:rFonts w:ascii="Times New Roman" w:eastAsia="Times New Roman" w:hAnsi="Times New Roman" w:cs="Times New Roman"/>
          <w:b/>
          <w:bCs/>
          <w:sz w:val="88"/>
          <w:szCs w:val="88"/>
        </w:rPr>
        <w:t>za rok 2018</w:t>
      </w: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Pr="00DF45CF" w:rsidRDefault="00E734E0" w:rsidP="00DF45CF">
      <w:pPr>
        <w:pStyle w:val="Default"/>
        <w:jc w:val="center"/>
        <w:rPr>
          <w:rFonts w:ascii="Times New Roman" w:eastAsia="Times New Roman" w:hAnsi="Times New Roman" w:cs="Times New Roman"/>
          <w:b/>
          <w:sz w:val="23"/>
          <w:szCs w:val="23"/>
        </w:rPr>
      </w:pPr>
      <w:r w:rsidRPr="00DF45CF">
        <w:rPr>
          <w:rFonts w:ascii="Times New Roman" w:eastAsia="Times New Roman" w:hAnsi="Times New Roman" w:cs="Times New Roman"/>
          <w:b/>
          <w:sz w:val="23"/>
          <w:szCs w:val="23"/>
        </w:rPr>
        <w:t>Apríl 2019</w:t>
      </w:r>
    </w:p>
    <w:p w:rsidR="00131D84" w:rsidRDefault="00131D84">
      <w:pPr>
        <w:pStyle w:val="Default"/>
        <w:pageBreakBefore/>
        <w:jc w:val="both"/>
        <w:rPr>
          <w:rFonts w:ascii="Times New Roman" w:eastAsia="Times New Roman" w:hAnsi="Times New Roman" w:cs="Times New Roman"/>
          <w:sz w:val="23"/>
          <w:szCs w:val="23"/>
        </w:rPr>
      </w:pPr>
      <w:bookmarkStart w:id="0" w:name="_GoBack"/>
      <w:bookmarkEnd w:id="0"/>
    </w:p>
    <w:p w:rsidR="00DF3E82" w:rsidRDefault="00E734E0" w:rsidP="0091393E">
      <w:pPr>
        <w:pStyle w:val="ContentsHeading"/>
        <w:tabs>
          <w:tab w:val="right" w:leader="dot" w:pos="9406"/>
        </w:tabs>
        <w:spacing w:line="360" w:lineRule="auto"/>
      </w:pPr>
      <w:r>
        <w:rPr>
          <w:rFonts w:ascii="Arial, 'Arial Narrow'" w:eastAsia="Arial, 'Arial Narrow'" w:hAnsi="Arial, 'Arial Narrow'" w:cs="Arial, 'Arial Narrow'"/>
          <w:b w:val="0"/>
          <w:bCs w:val="0"/>
          <w:color w:val="000000"/>
          <w:sz w:val="24"/>
          <w:szCs w:val="24"/>
        </w:rPr>
        <w:fldChar w:fldCharType="begin"/>
      </w:r>
      <w:r>
        <w:instrText xml:space="preserve"> TOC \o "1-9" \u \l 1-9 </w:instrText>
      </w:r>
      <w:r>
        <w:rPr>
          <w:rFonts w:ascii="Arial, 'Arial Narrow'" w:eastAsia="Arial, 'Arial Narrow'" w:hAnsi="Arial, 'Arial Narrow'" w:cs="Arial, 'Arial Narrow'"/>
          <w:b w:val="0"/>
          <w:bCs w:val="0"/>
          <w:color w:val="000000"/>
          <w:sz w:val="24"/>
          <w:szCs w:val="24"/>
        </w:rPr>
        <w:fldChar w:fldCharType="separate"/>
      </w:r>
      <w:r>
        <w:t>Obsah</w:t>
      </w:r>
    </w:p>
    <w:p w:rsidR="00DF3E82" w:rsidRDefault="00E734E0" w:rsidP="0091393E">
      <w:pPr>
        <w:pStyle w:val="Contents1"/>
        <w:spacing w:line="360" w:lineRule="auto"/>
      </w:pPr>
      <w:r>
        <w:t xml:space="preserve">I.Úvod </w:t>
      </w:r>
      <w:r>
        <w:tab/>
        <w:t>3</w:t>
      </w:r>
    </w:p>
    <w:p w:rsidR="00DF3E82" w:rsidRDefault="00E734E0" w:rsidP="0091393E">
      <w:pPr>
        <w:pStyle w:val="Contents1"/>
        <w:spacing w:line="360" w:lineRule="auto"/>
      </w:pPr>
      <w:r>
        <w:t xml:space="preserve">II.Základné údaje o spoločnosti </w:t>
      </w:r>
      <w:r>
        <w:tab/>
        <w:t>3</w:t>
      </w:r>
    </w:p>
    <w:p w:rsidR="00DF3E82" w:rsidRDefault="00E734E0" w:rsidP="0091393E">
      <w:pPr>
        <w:pStyle w:val="Contents1"/>
        <w:spacing w:line="360" w:lineRule="auto"/>
      </w:pPr>
      <w:r>
        <w:t>III.Orgány spoločnosti a organizačná štruktúra</w:t>
      </w:r>
      <w:r>
        <w:tab/>
        <w:t>4</w:t>
      </w:r>
    </w:p>
    <w:p w:rsidR="00DF3E82" w:rsidRDefault="00E734E0" w:rsidP="0091393E">
      <w:pPr>
        <w:pStyle w:val="Contents1"/>
        <w:spacing w:line="360" w:lineRule="auto"/>
      </w:pPr>
      <w:r>
        <w:t xml:space="preserve">IV. Stav a vývoj spoločnosti </w:t>
      </w:r>
      <w:r>
        <w:tab/>
        <w:t>4</w:t>
      </w:r>
    </w:p>
    <w:p w:rsidR="00DF3E82" w:rsidRDefault="00E734E0" w:rsidP="0091393E">
      <w:pPr>
        <w:pStyle w:val="Contents1"/>
        <w:spacing w:line="360" w:lineRule="auto"/>
      </w:pPr>
      <w:r>
        <w:t>V.Stav a vývoj majetku a zdrojov jeho krytia</w:t>
      </w:r>
      <w:r>
        <w:tab/>
        <w:t>4</w:t>
      </w:r>
    </w:p>
    <w:p w:rsidR="00DF3E82" w:rsidRDefault="00E734E0" w:rsidP="0091393E">
      <w:pPr>
        <w:pStyle w:val="Contents1"/>
        <w:spacing w:line="360" w:lineRule="auto"/>
      </w:pPr>
      <w:r>
        <w:t>VI.Hospodárske výsledky za rok 2018</w:t>
      </w:r>
      <w:r>
        <w:tab/>
        <w:t>7</w:t>
      </w:r>
    </w:p>
    <w:p w:rsidR="00DF3E82" w:rsidRDefault="00E734E0" w:rsidP="0091393E">
      <w:pPr>
        <w:pStyle w:val="Contents1"/>
        <w:spacing w:line="360" w:lineRule="auto"/>
      </w:pPr>
      <w:r>
        <w:t xml:space="preserve">VII.Ľudské zdroje </w:t>
      </w:r>
      <w:r>
        <w:tab/>
        <w:t>8</w:t>
      </w:r>
    </w:p>
    <w:p w:rsidR="00DF3E82" w:rsidRDefault="00E734E0" w:rsidP="0091393E">
      <w:pPr>
        <w:pStyle w:val="Contents1"/>
        <w:spacing w:line="360" w:lineRule="auto"/>
      </w:pPr>
      <w:r>
        <w:t xml:space="preserve">VIII.Vplyv činnosti firmy na životné prostredie </w:t>
      </w:r>
      <w:r>
        <w:tab/>
        <w:t>8</w:t>
      </w:r>
    </w:p>
    <w:p w:rsidR="00DF3E82" w:rsidRDefault="00E734E0" w:rsidP="0091393E">
      <w:pPr>
        <w:pStyle w:val="Contents1"/>
        <w:spacing w:line="360" w:lineRule="auto"/>
      </w:pPr>
      <w:r>
        <w:t xml:space="preserve">IX.Udalosti osobitného významu, ktoré nastali po skončení účtovného obdobia </w:t>
      </w:r>
      <w:r>
        <w:tab/>
        <w:t>9</w:t>
      </w:r>
    </w:p>
    <w:p w:rsidR="00DF3E82" w:rsidRDefault="00E734E0" w:rsidP="0091393E">
      <w:pPr>
        <w:pStyle w:val="Contents1"/>
        <w:spacing w:line="360" w:lineRule="auto"/>
      </w:pPr>
      <w:r>
        <w:t xml:space="preserve">X.Predpokladaný budúci vývoj spoločnosti. </w:t>
      </w:r>
      <w:r>
        <w:tab/>
        <w:t>9</w:t>
      </w:r>
    </w:p>
    <w:p w:rsidR="00DF3E82" w:rsidRDefault="00E734E0" w:rsidP="0091393E">
      <w:pPr>
        <w:pStyle w:val="Contents1"/>
        <w:spacing w:line="360" w:lineRule="auto"/>
      </w:pPr>
      <w:r>
        <w:t xml:space="preserve">XI.Náklady na výskum a vývoj </w:t>
      </w:r>
      <w:r>
        <w:tab/>
        <w:t>9</w:t>
      </w:r>
    </w:p>
    <w:p w:rsidR="00DF3E82" w:rsidRDefault="00E734E0" w:rsidP="0091393E">
      <w:pPr>
        <w:pStyle w:val="Contents1"/>
        <w:spacing w:line="360" w:lineRule="auto"/>
      </w:pPr>
      <w:r>
        <w:t xml:space="preserve">XII.Návrh na rozdelenie zisku </w:t>
      </w:r>
      <w:r>
        <w:tab/>
        <w:t>9</w:t>
      </w:r>
    </w:p>
    <w:p w:rsidR="00DF3E82" w:rsidRDefault="00E734E0" w:rsidP="0091393E">
      <w:pPr>
        <w:pStyle w:val="Contents1"/>
        <w:spacing w:line="360" w:lineRule="auto"/>
      </w:pPr>
      <w:r>
        <w:t xml:space="preserve">XIII.Kontakty </w:t>
      </w:r>
      <w:r>
        <w:tab/>
        <w:t>10</w:t>
      </w:r>
    </w:p>
    <w:p w:rsidR="00DF3E82" w:rsidRDefault="00E734E0">
      <w:pPr>
        <w:pStyle w:val="Default"/>
        <w:jc w:val="both"/>
        <w:rPr>
          <w:rFonts w:ascii="Times New Roman" w:hAnsi="Times New Roman"/>
        </w:rPr>
      </w:pPr>
      <w:r>
        <w:fldChar w:fldCharType="end"/>
      </w: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91393E" w:rsidRDefault="0091393E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E734E0">
      <w:pPr>
        <w:pStyle w:val="Nadpis1"/>
      </w:pPr>
      <w:r>
        <w:t xml:space="preserve"> </w:t>
      </w:r>
      <w:r>
        <w:tab/>
        <w:t>Úvod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Spoločnosť APEKA, s. r. o. pôsobí na trhu od roku 2011. V súvislosti s postupným nábehom činnosti spoločnosť začala s prípravou dominantného miesta realizácie nosných podnikateľských aktivít v okolí mesta Prešov. Hlavná podnikateľská činnosť spoločnosti je od vzniku orientovaná na oblasť veľkoobchodu s potravinárskym tovarom; konkrétne dovoz a nákup potravín, predaj, distribúcia a preprava potravín.</w:t>
      </w:r>
    </w:p>
    <w:p w:rsidR="00DF3E82" w:rsidRDefault="00DF3E82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 xml:space="preserve">Posledné </w:t>
      </w:r>
      <w:r w:rsidR="00956BFE">
        <w:rPr>
          <w:rFonts w:ascii="Times New Roman" w:eastAsia="Times New Roman" w:hAnsi="Times New Roman" w:cs="Times New Roman"/>
        </w:rPr>
        <w:t>tri</w:t>
      </w:r>
      <w:r>
        <w:rPr>
          <w:rFonts w:ascii="Times New Roman" w:eastAsia="Times New Roman" w:hAnsi="Times New Roman" w:cs="Times New Roman"/>
        </w:rPr>
        <w:t xml:space="preserve"> roky spoločnosť realizuje takmer všetky obchodné aktivity z prevádzky skladu tovaru v Prešove – </w:t>
      </w:r>
      <w:proofErr w:type="spellStart"/>
      <w:r>
        <w:rPr>
          <w:rFonts w:ascii="Times New Roman" w:eastAsia="Times New Roman" w:hAnsi="Times New Roman" w:cs="Times New Roman"/>
        </w:rPr>
        <w:t>Šalgovíku</w:t>
      </w:r>
      <w:proofErr w:type="spellEnd"/>
      <w:r>
        <w:rPr>
          <w:rFonts w:ascii="Times New Roman" w:eastAsia="Times New Roman" w:hAnsi="Times New Roman" w:cs="Times New Roman"/>
        </w:rPr>
        <w:t xml:space="preserve">. </w:t>
      </w:r>
      <w:r w:rsidR="00956BFE">
        <w:rPr>
          <w:rFonts w:ascii="Times New Roman" w:eastAsia="Times New Roman" w:hAnsi="Times New Roman" w:cs="Times New Roman"/>
        </w:rPr>
        <w:t>V</w:t>
      </w:r>
      <w:r>
        <w:rPr>
          <w:rFonts w:ascii="Times New Roman" w:eastAsia="Times New Roman" w:hAnsi="Times New Roman" w:cs="Times New Roman"/>
        </w:rPr>
        <w:t>ytvorené podmienky vytvárajú vhodnú základňu pre medziročné nárasty objemov predaja a súčasne na etablovanie techniky nevyhnutnej na realizáciu činnosti balenia surovín pre spotrebiteľský trh. Spoločnosť v najbližšom období orientuje pozornosť na zvýšenie objemu predaja produkcie vlastných výrobkov.</w:t>
      </w:r>
    </w:p>
    <w:p w:rsidR="00DF3E82" w:rsidRDefault="00DF3E82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Napriek krátkemu pôsobeniu spoločnosti na trhu možno dosiahnuté objemové ukazovatele za rok 2018 hodnotiť pozitívne. Postupne sa ustaľujú parametre ekonomickej a finančnej pozície firmy. Tento trend je odrazom stratégie manažmentu postupne dobudovávať prevádzkovú a technickú základňu pre udržanie existujúcich obratov predaja, ako aj zabezpečenie ich postupného rastu.</w:t>
      </w:r>
    </w:p>
    <w:p w:rsidR="00250FE3" w:rsidRDefault="00250FE3">
      <w:pPr>
        <w:pStyle w:val="Default"/>
        <w:spacing w:line="360" w:lineRule="auto"/>
        <w:jc w:val="both"/>
        <w:rPr>
          <w:rFonts w:ascii="Times New Roman" w:hAnsi="Times New Roman"/>
        </w:rPr>
      </w:pPr>
    </w:p>
    <w:p w:rsidR="00DF3E82" w:rsidRDefault="00E734E0">
      <w:pPr>
        <w:pStyle w:val="Nadpis1"/>
      </w:pPr>
      <w:r>
        <w:t xml:space="preserve"> </w:t>
      </w:r>
      <w:r>
        <w:tab/>
        <w:t>Základné údaje o spoločnosti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  <w:b/>
          <w:bCs/>
        </w:rPr>
        <w:t>Obchodné meno</w:t>
      </w:r>
      <w:r>
        <w:rPr>
          <w:rFonts w:ascii="Times New Roman" w:eastAsia="Times New Roman" w:hAnsi="Times New Roman" w:cs="Times New Roman"/>
        </w:rPr>
        <w:t xml:space="preserve">: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b/>
          <w:bCs/>
        </w:rPr>
        <w:t>APEKA, s. r. o.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  <w:b/>
          <w:bCs/>
        </w:rPr>
        <w:t>Sídlo</w:t>
      </w:r>
      <w:r>
        <w:rPr>
          <w:rFonts w:ascii="Times New Roman" w:eastAsia="Times New Roman" w:hAnsi="Times New Roman" w:cs="Times New Roman"/>
        </w:rPr>
        <w:t xml:space="preserve">: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proofErr w:type="spellStart"/>
      <w:r>
        <w:rPr>
          <w:rFonts w:ascii="Times New Roman" w:eastAsia="Times New Roman" w:hAnsi="Times New Roman" w:cs="Times New Roman"/>
        </w:rPr>
        <w:t>Sobotské</w:t>
      </w:r>
      <w:proofErr w:type="spellEnd"/>
      <w:r>
        <w:rPr>
          <w:rFonts w:ascii="Times New Roman" w:eastAsia="Times New Roman" w:hAnsi="Times New Roman" w:cs="Times New Roman"/>
        </w:rPr>
        <w:t xml:space="preserve"> nám. 1748/46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>058 01 Poprad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 xml:space="preserve">IČO: </w:t>
      </w:r>
      <w:r>
        <w:rPr>
          <w:rFonts w:ascii="Times New Roman" w:eastAsia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</w:rPr>
        <w:tab/>
        <w:t>46 305 726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 xml:space="preserve">DIČ: </w:t>
      </w:r>
      <w:r>
        <w:rPr>
          <w:rFonts w:ascii="Times New Roman" w:eastAsia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</w:rPr>
        <w:tab/>
        <w:t>2023327911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  <w:b/>
          <w:bCs/>
        </w:rPr>
        <w:t xml:space="preserve">Zápis v Obch. registri: </w:t>
      </w:r>
      <w:r>
        <w:rPr>
          <w:rFonts w:ascii="Times New Roman" w:eastAsia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</w:rPr>
        <w:t xml:space="preserve">Okresný súd Prešov, oddiel </w:t>
      </w:r>
      <w:proofErr w:type="spellStart"/>
      <w:r>
        <w:rPr>
          <w:rFonts w:ascii="Times New Roman" w:eastAsia="Times New Roman" w:hAnsi="Times New Roman" w:cs="Times New Roman"/>
        </w:rPr>
        <w:t>Sro</w:t>
      </w:r>
      <w:proofErr w:type="spellEnd"/>
      <w:r>
        <w:rPr>
          <w:rFonts w:ascii="Times New Roman" w:eastAsia="Times New Roman" w:hAnsi="Times New Roman" w:cs="Times New Roman"/>
        </w:rPr>
        <w:t>, vložka číslo 25932/P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  <w:b/>
          <w:bCs/>
        </w:rPr>
        <w:t>Základné imanie</w:t>
      </w:r>
      <w:r>
        <w:rPr>
          <w:rFonts w:ascii="Times New Roman" w:eastAsia="Times New Roman" w:hAnsi="Times New Roman" w:cs="Times New Roman"/>
        </w:rPr>
        <w:t xml:space="preserve">: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>5 000 Eur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  <w:b/>
          <w:bCs/>
        </w:rPr>
        <w:t>Spoločníci</w:t>
      </w:r>
      <w:r>
        <w:rPr>
          <w:rFonts w:ascii="Times New Roman" w:eastAsia="Times New Roman" w:hAnsi="Times New Roman" w:cs="Times New Roman"/>
        </w:rPr>
        <w:t xml:space="preserve">: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>zahraničná právnická osoba – materská spoločnosť (85 %)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tuzemská fyzická osoba (15 %)</w:t>
      </w:r>
    </w:p>
    <w:p w:rsidR="00250FE3" w:rsidRDefault="00250FE3">
      <w:pPr>
        <w:pStyle w:val="Default"/>
        <w:spacing w:line="360" w:lineRule="auto"/>
        <w:jc w:val="both"/>
        <w:rPr>
          <w:rFonts w:ascii="Times New Roman" w:hAnsi="Times New Roman"/>
        </w:rPr>
      </w:pPr>
    </w:p>
    <w:p w:rsidR="00250FE3" w:rsidRDefault="00250FE3">
      <w:pPr>
        <w:pStyle w:val="Default"/>
        <w:spacing w:line="360" w:lineRule="auto"/>
        <w:jc w:val="both"/>
        <w:rPr>
          <w:rFonts w:ascii="Times New Roman" w:hAnsi="Times New Roman"/>
        </w:rPr>
      </w:pPr>
    </w:p>
    <w:p w:rsidR="00250FE3" w:rsidRDefault="00250FE3">
      <w:pPr>
        <w:pStyle w:val="Default"/>
        <w:spacing w:line="360" w:lineRule="auto"/>
        <w:jc w:val="both"/>
        <w:rPr>
          <w:rFonts w:ascii="Times New Roman" w:hAnsi="Times New Roman"/>
        </w:rPr>
      </w:pPr>
    </w:p>
    <w:p w:rsidR="00DF3E82" w:rsidRDefault="00E734E0">
      <w:pPr>
        <w:pStyle w:val="Nadpis1"/>
      </w:pPr>
      <w:r>
        <w:rPr>
          <w:rFonts w:eastAsia="Arial, 'Arial Narrow'" w:cs="Arial, 'Arial Narrow'"/>
        </w:rPr>
        <w:t>O</w:t>
      </w:r>
      <w:r>
        <w:t>rgány spoločnosti a organizačná štruktúra</w:t>
      </w:r>
    </w:p>
    <w:p w:rsidR="00DF3E82" w:rsidRPr="00131D84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/>
          <w:bCs/>
        </w:rPr>
        <w:t xml:space="preserve">Valné zhromaždenie: </w:t>
      </w:r>
      <w:r>
        <w:rPr>
          <w:rFonts w:ascii="Times New Roman" w:eastAsia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</w:rPr>
        <w:tab/>
      </w:r>
      <w:r w:rsidRPr="00131D84">
        <w:rPr>
          <w:rFonts w:ascii="Times New Roman" w:eastAsia="Times New Roman" w:hAnsi="Times New Roman" w:cs="Times New Roman"/>
          <w:bCs/>
        </w:rPr>
        <w:t>najvyšší orgán spoločnosti</w:t>
      </w:r>
    </w:p>
    <w:p w:rsidR="00131D84" w:rsidRPr="00131D84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/>
          <w:bCs/>
        </w:rPr>
        <w:t xml:space="preserve">Štatutárny orgán: </w:t>
      </w:r>
      <w:r>
        <w:rPr>
          <w:rFonts w:ascii="Times New Roman" w:eastAsia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</w:rPr>
        <w:tab/>
      </w:r>
      <w:r w:rsidR="00131D84" w:rsidRPr="00131D84">
        <w:rPr>
          <w:rFonts w:ascii="Times New Roman" w:eastAsia="Times New Roman" w:hAnsi="Times New Roman" w:cs="Times New Roman"/>
          <w:bCs/>
        </w:rPr>
        <w:t>Lukáš Poloha, konateľ do 19.3.2018</w:t>
      </w:r>
    </w:p>
    <w:p w:rsidR="00DF3E82" w:rsidRDefault="00E734E0" w:rsidP="00131D84">
      <w:pPr>
        <w:pStyle w:val="Default"/>
        <w:spacing w:line="360" w:lineRule="auto"/>
        <w:ind w:left="2836"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Ing. Pavol </w:t>
      </w:r>
      <w:proofErr w:type="spellStart"/>
      <w:r>
        <w:rPr>
          <w:rFonts w:ascii="Times New Roman" w:hAnsi="Times New Roman"/>
        </w:rPr>
        <w:t>Podhajecký</w:t>
      </w:r>
      <w:proofErr w:type="spellEnd"/>
      <w:r w:rsidR="00131D84">
        <w:rPr>
          <w:rFonts w:ascii="Times New Roman" w:hAnsi="Times New Roman"/>
        </w:rPr>
        <w:t>, konateľ od 20.3.2018</w:t>
      </w:r>
    </w:p>
    <w:p w:rsidR="00DF3E82" w:rsidRDefault="00DF3E82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Organizačná štruktúra je jednoduchá. Táto je odrazom veľkostných parametrov firmy. V spoločností platí princíp jednostupňového riadenia.</w:t>
      </w:r>
    </w:p>
    <w:p w:rsidR="00250FE3" w:rsidRDefault="00250FE3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DF3E82" w:rsidRDefault="00E734E0">
      <w:pPr>
        <w:pStyle w:val="Nadpis1"/>
      </w:pPr>
      <w:r>
        <w:t xml:space="preserve"> </w:t>
      </w:r>
      <w:r>
        <w:tab/>
        <w:t>Stav a vývoj spoločnosti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 xml:space="preserve">Spoločnosť v rámci hlavných podnikateľských aktivít dosahuje </w:t>
      </w:r>
      <w:r w:rsidR="00131D84">
        <w:rPr>
          <w:rFonts w:ascii="Times New Roman" w:eastAsia="Times New Roman" w:hAnsi="Times New Roman" w:cs="Times New Roman"/>
        </w:rPr>
        <w:t xml:space="preserve">v poslednom období </w:t>
      </w:r>
      <w:r>
        <w:rPr>
          <w:rFonts w:ascii="Times New Roman" w:eastAsia="Times New Roman" w:hAnsi="Times New Roman" w:cs="Times New Roman"/>
        </w:rPr>
        <w:t>vyrovnané hospodárske ukazovatele, a to tak vo vecných alebo finančných ukazovateľoch.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Dominantnú časť objemu predaja tvoria dodávky tuzemským odberateľom; z celkových tržieb za výrobky, tovar a služby v hodnote 3 531 23</w:t>
      </w:r>
      <w:r w:rsidR="00956BFE">
        <w:rPr>
          <w:rFonts w:ascii="Times New Roman" w:eastAsia="Times New Roman" w:hAnsi="Times New Roman" w:cs="Times New Roman"/>
        </w:rPr>
        <w:t>8</w:t>
      </w:r>
      <w:r>
        <w:rPr>
          <w:rFonts w:ascii="Times New Roman" w:eastAsia="Times New Roman" w:hAnsi="Times New Roman" w:cs="Times New Roman"/>
        </w:rPr>
        <w:t xml:space="preserve"> Eur tieto predstavujú čiastku 2 311 342 Eur, t.j. 65,5 % (2017: 85,9 %). Zvyšnú časť obratu spoločnosť umiestňuje na trhoch krajín Európskeho spoločenstva; objem realizácie pre tento trh predstavoval  1 219 895 Eur (2017: 479 276 Eur), čo tvorí 34,5 % (2017: 14,1 % ) z celkových tržieb. Pre udržanie objemov predaja obchodná stratégia uprednostňuje krytie predaja na základe rámcových zmlúv.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V poslednom období spoločnosť postupne rozširuje portfólio odberateľov s cieľom udržania vyrovnaného obratu, ako aj postupného rastu obratu za ekonomicky priaznivejších ekonomických výsledkov.</w:t>
      </w:r>
    </w:p>
    <w:p w:rsidR="00250FE3" w:rsidRDefault="00250FE3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DF3E82" w:rsidRDefault="00E734E0">
      <w:pPr>
        <w:pStyle w:val="Nadpis1"/>
      </w:pPr>
      <w:r>
        <w:tab/>
        <w:t>Stav a vývoj majetku a zdrojov jeho krytia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  <w:sz w:val="23"/>
          <w:szCs w:val="23"/>
        </w:rPr>
        <w:tab/>
      </w:r>
      <w:r>
        <w:rPr>
          <w:rFonts w:ascii="Times New Roman" w:eastAsia="Times New Roman" w:hAnsi="Times New Roman" w:cs="Times New Roman"/>
        </w:rPr>
        <w:t>Účtovná hodnota majetku spoločnosti k 31.12.2018 predstavovala čiastku 1 577 901 Eur (2017: 1 322 286 Eur). Oproti minulému roku hodnota aktív vzrástla o 255 615 Eur, pričom neobežný majetok medziročne vzrástol o 258 649 Eur a obežné aktíva vrátane účtov časového rozlíšenia klesli o čiastku   3 034 Eur.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DF3E82" w:rsidRDefault="00E734E0">
      <w:pPr>
        <w:pStyle w:val="Default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</w:rPr>
        <w:tab/>
        <w:t>Spoločnosť v súčasnom období realizuje svoje podnikateľské aktivity výlučne v prenajatých priestoroch, čo sa odráža aj v nízkom pomere dlhodobého majetku v štruktúre celkových aktív.</w:t>
      </w:r>
    </w:p>
    <w:p w:rsidR="00DF3E82" w:rsidRDefault="00DF3E82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30"/>
        <w:gridCol w:w="2988"/>
        <w:gridCol w:w="2410"/>
        <w:gridCol w:w="2417"/>
      </w:tblGrid>
      <w:tr w:rsidR="00DF3E82">
        <w:tc>
          <w:tcPr>
            <w:tcW w:w="1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Riadok súvahy</w:t>
            </w:r>
          </w:p>
        </w:tc>
        <w:tc>
          <w:tcPr>
            <w:tcW w:w="2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DF3E82">
            <w:pPr>
              <w:pStyle w:val="TableContents"/>
              <w:jc w:val="both"/>
              <w:rPr>
                <w:rFonts w:eastAsia="Arial, 'Arial Narrow'" w:cs="Arial, 'Arial Narrow'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TableContents"/>
              <w:jc w:val="center"/>
              <w:rPr>
                <w:rFonts w:eastAsia="Arial, 'Arial Narrow'" w:cs="Arial, 'Arial Narrow'"/>
                <w:b/>
                <w:bCs/>
              </w:rPr>
            </w:pPr>
            <w:r>
              <w:rPr>
                <w:rFonts w:eastAsia="Arial, 'Arial Narrow'" w:cs="Arial, 'Arial Narrow'"/>
                <w:b/>
                <w:bCs/>
              </w:rPr>
              <w:t>2018</w:t>
            </w:r>
          </w:p>
        </w:tc>
        <w:tc>
          <w:tcPr>
            <w:tcW w:w="2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TableContents"/>
              <w:jc w:val="center"/>
              <w:rPr>
                <w:rFonts w:eastAsia="Arial, 'Arial Narrow'" w:cs="Arial, 'Arial Narrow'"/>
                <w:b/>
                <w:bCs/>
              </w:rPr>
            </w:pPr>
            <w:r>
              <w:rPr>
                <w:rFonts w:eastAsia="Arial, 'Arial Narrow'" w:cs="Arial, 'Arial Narrow'"/>
                <w:b/>
                <w:bCs/>
              </w:rPr>
              <w:t>2017</w:t>
            </w:r>
          </w:p>
        </w:tc>
      </w:tr>
      <w:tr w:rsidR="00DF3E82"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DF3E82">
            <w:pPr>
              <w:pStyle w:val="TableContents"/>
              <w:jc w:val="both"/>
              <w:rPr>
                <w:rFonts w:eastAsia="Arial, 'Arial Narrow'" w:cs="Arial, 'Arial Narrow'"/>
              </w:rPr>
            </w:pPr>
          </w:p>
        </w:tc>
        <w:tc>
          <w:tcPr>
            <w:tcW w:w="29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AKTÍVA SPOLU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577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901</w:t>
            </w:r>
          </w:p>
        </w:tc>
        <w:tc>
          <w:tcPr>
            <w:tcW w:w="24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322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286</w:t>
            </w:r>
          </w:p>
        </w:tc>
      </w:tr>
      <w:tr w:rsidR="00DF3E82"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A.</w:t>
            </w:r>
          </w:p>
        </w:tc>
        <w:tc>
          <w:tcPr>
            <w:tcW w:w="29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Neobežný majetok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393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740</w:t>
            </w:r>
          </w:p>
        </w:tc>
        <w:tc>
          <w:tcPr>
            <w:tcW w:w="24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135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091</w:t>
            </w:r>
          </w:p>
        </w:tc>
      </w:tr>
      <w:tr w:rsidR="00DF3E82"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A. I.</w:t>
            </w:r>
          </w:p>
        </w:tc>
        <w:tc>
          <w:tcPr>
            <w:tcW w:w="29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Dlhodobý nehmotný majetok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4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173</w:t>
            </w:r>
          </w:p>
        </w:tc>
      </w:tr>
      <w:tr w:rsidR="00DF3E82"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A. II.</w:t>
            </w:r>
          </w:p>
        </w:tc>
        <w:tc>
          <w:tcPr>
            <w:tcW w:w="29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Dlhodobý hmotný majetok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334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971</w:t>
            </w:r>
          </w:p>
        </w:tc>
        <w:tc>
          <w:tcPr>
            <w:tcW w:w="24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77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149</w:t>
            </w:r>
          </w:p>
        </w:tc>
      </w:tr>
      <w:tr w:rsidR="00DF3E82"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A. III.</w:t>
            </w:r>
          </w:p>
        </w:tc>
        <w:tc>
          <w:tcPr>
            <w:tcW w:w="29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Dlhodobý finančný majetok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769</w:t>
            </w:r>
          </w:p>
        </w:tc>
        <w:tc>
          <w:tcPr>
            <w:tcW w:w="24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57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769</w:t>
            </w:r>
          </w:p>
        </w:tc>
      </w:tr>
      <w:tr w:rsidR="00DF3E82"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B.</w:t>
            </w:r>
          </w:p>
        </w:tc>
        <w:tc>
          <w:tcPr>
            <w:tcW w:w="29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Obežný majetok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181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826</w:t>
            </w:r>
          </w:p>
        </w:tc>
        <w:tc>
          <w:tcPr>
            <w:tcW w:w="24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184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725</w:t>
            </w:r>
          </w:p>
        </w:tc>
      </w:tr>
      <w:tr w:rsidR="00DF3E82"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B. I.</w:t>
            </w:r>
          </w:p>
        </w:tc>
        <w:tc>
          <w:tcPr>
            <w:tcW w:w="29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Zásoby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306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895</w:t>
            </w:r>
          </w:p>
        </w:tc>
        <w:tc>
          <w:tcPr>
            <w:tcW w:w="24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337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444</w:t>
            </w:r>
          </w:p>
        </w:tc>
      </w:tr>
      <w:tr w:rsidR="00DF3E82"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B. II.</w:t>
            </w:r>
          </w:p>
        </w:tc>
        <w:tc>
          <w:tcPr>
            <w:tcW w:w="29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Dlhodobé pohľadávky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729</w:t>
            </w:r>
          </w:p>
        </w:tc>
        <w:tc>
          <w:tcPr>
            <w:tcW w:w="24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043</w:t>
            </w:r>
          </w:p>
        </w:tc>
      </w:tr>
      <w:tr w:rsidR="00DF3E82"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B. III.</w:t>
            </w:r>
          </w:p>
        </w:tc>
        <w:tc>
          <w:tcPr>
            <w:tcW w:w="29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Krátkodobé pohľadávky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727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273</w:t>
            </w:r>
          </w:p>
        </w:tc>
        <w:tc>
          <w:tcPr>
            <w:tcW w:w="24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812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813</w:t>
            </w:r>
          </w:p>
        </w:tc>
      </w:tr>
      <w:tr w:rsidR="00DF3E82"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B. IV.</w:t>
            </w:r>
          </w:p>
        </w:tc>
        <w:tc>
          <w:tcPr>
            <w:tcW w:w="29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Finančné účty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144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929</w:t>
            </w:r>
          </w:p>
        </w:tc>
        <w:tc>
          <w:tcPr>
            <w:tcW w:w="24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425</w:t>
            </w:r>
          </w:p>
        </w:tc>
      </w:tr>
      <w:tr w:rsidR="00DF3E82">
        <w:tc>
          <w:tcPr>
            <w:tcW w:w="18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C.</w:t>
            </w:r>
          </w:p>
        </w:tc>
        <w:tc>
          <w:tcPr>
            <w:tcW w:w="298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Časové rozlíšenie</w:t>
            </w: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335</w:t>
            </w:r>
          </w:p>
        </w:tc>
        <w:tc>
          <w:tcPr>
            <w:tcW w:w="241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2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470</w:t>
            </w:r>
          </w:p>
        </w:tc>
      </w:tr>
    </w:tbl>
    <w:p w:rsidR="00DF3E82" w:rsidRDefault="00DF3E82">
      <w:pPr>
        <w:pStyle w:val="Default"/>
        <w:jc w:val="both"/>
        <w:rPr>
          <w:rFonts w:ascii="Times New Roman" w:hAnsi="Times New Roman"/>
        </w:rPr>
      </w:pP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Z hľadiska štruktúry majetku hodnota neobežného majetku predstavuje 393 740 Eur (2017: 135 091 Eur), čo z celkových aktív tvorí 25 %. V skladbe neobežného majetku dominuje dlhodobý hmotný majetok v objeme 334 971 Eur. Medziročný nárast tejto kategórie majetku ovplyvnilo  obstaranie hmotného majetku z nenávratných finančných prostriedkov  MŠVVaŠ SR.  Išlo o obstaranie linky na potravinárske spracovanie , sušiareň a baliacu linku. .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V rámci celkovej skladby majetku - obežný majetok vrátane prechodných aktív ku dňu účtovnej závierky dosiahol hodnotu</w:t>
      </w:r>
      <w:r w:rsidR="00956BFE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1 184 161 Eur (2017: 1 187 195 Eur), čo z celkového objemu majetku činí 75,0 %.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Zdroje krytia majetku spoločnosti tvorí vlastné imanie a cudzie zdroje v podobe dlhodobých a krátkodobých záväzkov. Z hľadiska objemu dominujú cudzie zdroje, ktoré tvoria takmer 7</w:t>
      </w:r>
      <w:r w:rsidR="00956BFE">
        <w:rPr>
          <w:rFonts w:ascii="Times New Roman" w:eastAsia="Times New Roman" w:hAnsi="Times New Roman" w:cs="Times New Roman"/>
        </w:rPr>
        <w:t>8</w:t>
      </w:r>
      <w:r>
        <w:rPr>
          <w:rFonts w:ascii="Times New Roman" w:eastAsia="Times New Roman" w:hAnsi="Times New Roman" w:cs="Times New Roman"/>
        </w:rPr>
        <w:t xml:space="preserve"> %, vlastné zdroje oscilujú okolo 2</w:t>
      </w:r>
      <w:r w:rsidR="00956BFE"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</w:rPr>
        <w:t xml:space="preserve"> %.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Uvedené zloženie zdrojov krytia odráža skutočnosť, že spoločnosť z dôvodu nízkeho kapitálového vybavenia využíva na krytie obežného majetku dlhodobé pôžičky od tretích strán; okrem toho aj dodávateľské úvery v podobe záväzkov z obchodného styku. Vývoj vlastných zdrojov je odrazom nábehu hlavnej činnosti spoločnosti a postupnej, v súčasnosti ešte nízkej tvorby hospodárskeho výsledku.</w:t>
      </w:r>
    </w:p>
    <w:p w:rsidR="00DF3E82" w:rsidRDefault="00DF3E82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DF3E82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p w:rsidR="00DF3E82" w:rsidRDefault="00E734E0" w:rsidP="00131D84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ab/>
        <w:t>Prehľad o štruktúre zdrojov krytia majetku</w:t>
      </w:r>
      <w:r w:rsidR="00131D84">
        <w:rPr>
          <w:rFonts w:ascii="Times New Roman" w:eastAsia="Times New Roman" w:hAnsi="Times New Roman" w:cs="Times New Roman"/>
          <w:sz w:val="23"/>
          <w:szCs w:val="23"/>
        </w:rPr>
        <w:t>:</w:t>
      </w:r>
    </w:p>
    <w:p w:rsidR="00131D84" w:rsidRDefault="00131D84" w:rsidP="00250FE3">
      <w:pPr>
        <w:pStyle w:val="Default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50"/>
        <w:gridCol w:w="4005"/>
        <w:gridCol w:w="1980"/>
        <w:gridCol w:w="2010"/>
      </w:tblGrid>
      <w:tr w:rsidR="00DF3E82"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Riadok súvahy</w:t>
            </w:r>
          </w:p>
        </w:tc>
        <w:tc>
          <w:tcPr>
            <w:tcW w:w="4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DF3E82">
            <w:pPr>
              <w:pStyle w:val="TableContents"/>
              <w:jc w:val="both"/>
              <w:rPr>
                <w:rFonts w:eastAsia="Arial, 'Arial Narrow'" w:cs="Arial, 'Arial Narrow'"/>
              </w:rPr>
            </w:pPr>
          </w:p>
        </w:tc>
        <w:tc>
          <w:tcPr>
            <w:tcW w:w="1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TableContents"/>
              <w:jc w:val="center"/>
              <w:rPr>
                <w:rFonts w:eastAsia="Arial, 'Arial Narrow'" w:cs="Arial, 'Arial Narrow'"/>
                <w:b/>
                <w:bCs/>
              </w:rPr>
            </w:pPr>
            <w:r>
              <w:rPr>
                <w:rFonts w:eastAsia="Arial, 'Arial Narrow'" w:cs="Arial, 'Arial Narrow'"/>
                <w:b/>
                <w:bCs/>
              </w:rPr>
              <w:t>2018</w:t>
            </w:r>
          </w:p>
        </w:tc>
        <w:tc>
          <w:tcPr>
            <w:tcW w:w="2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TableContents"/>
              <w:jc w:val="center"/>
              <w:rPr>
                <w:rFonts w:eastAsia="Arial, 'Arial Narrow'" w:cs="Arial, 'Arial Narrow'"/>
                <w:b/>
                <w:bCs/>
              </w:rPr>
            </w:pPr>
            <w:r>
              <w:rPr>
                <w:rFonts w:eastAsia="Arial, 'Arial Narrow'" w:cs="Arial, 'Arial Narrow'"/>
                <w:b/>
                <w:bCs/>
              </w:rPr>
              <w:t>2017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DF3E82">
            <w:pPr>
              <w:pStyle w:val="TableContents"/>
              <w:jc w:val="both"/>
              <w:rPr>
                <w:rFonts w:eastAsia="Arial, 'Arial Narrow'" w:cs="Arial, 'Arial Narrow'"/>
              </w:rPr>
            </w:pP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PASÍVA CELKOM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577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901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322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286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A.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Vlastné imanie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347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507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254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477</w:t>
            </w:r>
          </w:p>
        </w:tc>
      </w:tr>
      <w:tr w:rsidR="00956BFE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56BFE" w:rsidRDefault="00956BFE" w:rsidP="00956BFE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A. I.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56BFE" w:rsidRDefault="00956BFE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Základné imanie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56BFE" w:rsidRDefault="00956BFE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5 000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56BFE" w:rsidRDefault="00956BFE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5 000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A. II.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Emisné ážio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A. III.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Ostatné kapitálové fondy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A. IV.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Zákonné rezervné fondy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500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500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A. V.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Ostatné fondy zo zisku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A. VI.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Oceňovacie rozdiely z precenenia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A. VII.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Výsledok hospodárenia minulých rokov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249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765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244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074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A. VIII.</w:t>
            </w:r>
          </w:p>
          <w:p w:rsidR="00DF3E82" w:rsidRDefault="00DF3E82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Výsledok hospodárenia za účtovné obdobie po zdanení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92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242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903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B.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Záväzky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126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291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1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067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809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B. I.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Dlhodobé záväzky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672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869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662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818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B. II.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Dlhodobé rezervy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B. III.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Dlhodobé bankové úvery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B. IV.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Krátkodobé záväzky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450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021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400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728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B. V.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Krátkodobé rezervy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400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263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B.VI.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Bežné bankové úvery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B. VII.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Krátkodobé finančné výpomoci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F3E82">
        <w:tc>
          <w:tcPr>
            <w:tcW w:w="16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C.</w:t>
            </w:r>
          </w:p>
        </w:tc>
        <w:tc>
          <w:tcPr>
            <w:tcW w:w="400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Časové rozlíšenie</w:t>
            </w:r>
          </w:p>
        </w:tc>
        <w:tc>
          <w:tcPr>
            <w:tcW w:w="198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104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103</w:t>
            </w:r>
          </w:p>
        </w:tc>
        <w:tc>
          <w:tcPr>
            <w:tcW w:w="20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DF3E82" w:rsidRDefault="00DF3E82">
      <w:pPr>
        <w:pStyle w:val="Standard"/>
        <w:jc w:val="both"/>
        <w:rPr>
          <w:rFonts w:eastAsia="Times New Roman" w:cs="Times New Roman"/>
          <w:color w:val="000000"/>
        </w:rPr>
      </w:pP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 xml:space="preserve">V štruktúre zdrojov krytia majetku vlastné zdroje predstavujú hodnotou 347 507 Eur (2017: 254 477 Eur), čo predstavuje </w:t>
      </w:r>
      <w:r w:rsidR="00956BFE">
        <w:rPr>
          <w:rFonts w:ascii="Times New Roman" w:eastAsia="Times New Roman" w:hAnsi="Times New Roman" w:cs="Times New Roman"/>
        </w:rPr>
        <w:t>22</w:t>
      </w:r>
      <w:r>
        <w:rPr>
          <w:rFonts w:ascii="Times New Roman" w:eastAsia="Times New Roman" w:hAnsi="Times New Roman" w:cs="Times New Roman"/>
        </w:rPr>
        <w:t xml:space="preserve"> % z celkových zdrojov. Medziročne vlastný kapitál vzrástol o čiastku 93 030 Eur, a to predovšetkým v dôsledku tvorby zisku v bežnom období. Skladbu vlastných zdrojov napĺňa základné imanie, fondy tvorené zo zisku a nerozdelené zisky.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 xml:space="preserve">Cudzie zdroje v hodnote </w:t>
      </w:r>
      <w:r w:rsidR="00956BFE">
        <w:rPr>
          <w:rFonts w:ascii="Times New Roman" w:eastAsia="Times New Roman" w:hAnsi="Times New Roman" w:cs="Times New Roman"/>
        </w:rPr>
        <w:t>1 230 394</w:t>
      </w:r>
      <w:r>
        <w:rPr>
          <w:rFonts w:ascii="Times New Roman" w:eastAsia="Times New Roman" w:hAnsi="Times New Roman" w:cs="Times New Roman"/>
        </w:rPr>
        <w:t xml:space="preserve"> Eur (2017: 1 067 809 Eur) predstavujú </w:t>
      </w:r>
      <w:r w:rsidR="00956BFE">
        <w:rPr>
          <w:rFonts w:ascii="Times New Roman" w:eastAsia="Times New Roman" w:hAnsi="Times New Roman" w:cs="Times New Roman"/>
        </w:rPr>
        <w:t>78</w:t>
      </w:r>
      <w:r>
        <w:rPr>
          <w:rFonts w:ascii="Times New Roman" w:eastAsia="Times New Roman" w:hAnsi="Times New Roman" w:cs="Times New Roman"/>
        </w:rPr>
        <w:t xml:space="preserve"> %. V štruktúre cudzích zdrojov prevládajú dlhodobé záväzky v hodnote 672 869 Eur (2017: 662 818 Eur); v tom dlhodobé pôžičky s príslušenstvom od tretích osôb v celom rozsahu dlhodobých záväzkov. V krátkodobých záväzkoch najväčší podiel tvoria záväzky z obchodného styku, ktorých podiel na uvedenej kategórii záväzkov predstavuje 89 %.</w:t>
      </w:r>
    </w:p>
    <w:p w:rsidR="00250FE3" w:rsidRDefault="00250FE3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250FE3" w:rsidRDefault="00250FE3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250FE3" w:rsidRDefault="00250FE3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DF3E82" w:rsidRDefault="00E734E0">
      <w:pPr>
        <w:pStyle w:val="Nadpis1"/>
      </w:pPr>
      <w:r>
        <w:t>Hospodárske výsledky za rok 2018</w:t>
      </w:r>
    </w:p>
    <w:p w:rsidR="00DF3E82" w:rsidRDefault="00E734E0">
      <w:pPr>
        <w:pStyle w:val="Default"/>
        <w:jc w:val="both"/>
      </w:pPr>
      <w:r>
        <w:rPr>
          <w:rFonts w:ascii="Times New Roman" w:eastAsia="Times New Roman" w:hAnsi="Times New Roman" w:cs="Times New Roman"/>
        </w:rPr>
        <w:tab/>
        <w:t>Štruktúra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 výkazu ziskov a strát za rok 2018 a medziročný vývoj:</w:t>
      </w:r>
    </w:p>
    <w:p w:rsidR="00DF3E82" w:rsidRDefault="00DF3E82">
      <w:pPr>
        <w:pStyle w:val="Default"/>
        <w:jc w:val="both"/>
        <w:rPr>
          <w:rFonts w:ascii="Times New Roman" w:eastAsia="Times New Roman" w:hAnsi="Times New Roman" w:cs="Times New Roman"/>
          <w:sz w:val="23"/>
          <w:szCs w:val="23"/>
        </w:rPr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50"/>
        <w:gridCol w:w="1935"/>
        <w:gridCol w:w="1860"/>
      </w:tblGrid>
      <w:tr w:rsidR="00DF3E82">
        <w:tc>
          <w:tcPr>
            <w:tcW w:w="5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Položka výkazu ziskov a strát</w:t>
            </w:r>
          </w:p>
        </w:tc>
        <w:tc>
          <w:tcPr>
            <w:tcW w:w="1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2018</w:t>
            </w:r>
          </w:p>
        </w:tc>
        <w:tc>
          <w:tcPr>
            <w:tcW w:w="18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2017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Tržby z predaja tovaru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250FE3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952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348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3165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156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Tržby z predaja vlastných výrobkov a služieb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578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890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239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334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Zmena stavu vnútroorganizačných zásob + aktivácia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489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143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Tržby z predaja dlhodobého majetku a materiálu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60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159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461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Ostatné výnosy z hospodárskej činnosti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972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370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Výnosy z hospodárskej činnosti spolu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618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858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434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464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Náklady vynaložené na obstaranie predaného tovaru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747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156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957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441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Spotreba materiálu, energie a ostatných neskladovateľných dodávok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470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141</w:t>
            </w:r>
          </w:p>
          <w:p w:rsidR="00DF3E82" w:rsidRDefault="00DF3E82" w:rsidP="00250FE3">
            <w:pPr>
              <w:pStyle w:val="TableContents"/>
              <w:jc w:val="right"/>
              <w:rPr>
                <w:rFonts w:eastAsia="Times New Roman" w:cs="Times New Roman"/>
              </w:rPr>
            </w:pP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181 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012  </w:t>
            </w:r>
          </w:p>
          <w:p w:rsidR="00DF3E82" w:rsidRDefault="00250FE3" w:rsidP="00250FE3">
            <w:pPr>
              <w:pStyle w:val="TableContents"/>
              <w:jc w:val="right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 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Služby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180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716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176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879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Osobné náklady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38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329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022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Dane a poplatky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516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703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Odpisy a opravné položky k dlhodobému nehmotnému majetku a dlhodobému hmotnému majetku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340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939</w:t>
            </w:r>
          </w:p>
          <w:p w:rsidR="00DF3E82" w:rsidRDefault="00DF3E82" w:rsidP="00250FE3">
            <w:pPr>
              <w:pStyle w:val="TableContents"/>
              <w:jc w:val="right"/>
              <w:rPr>
                <w:rFonts w:eastAsia="Times New Roman" w:cs="Times New Roman"/>
              </w:rPr>
            </w:pP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Zostatková cena predaného majetku a materiálu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TableContents"/>
              <w:jc w:val="right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0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Ostatné náklady na hospodársku činnosť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28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245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25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294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Náklady na hospodársku činnosť spolu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488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443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3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412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290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Výsledok hospodárenia z hospodárskej činnosti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130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415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22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174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Výnosy z finančnej činnosti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696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975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Náklady na finančnú činnosť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688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837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Výsledok hospodárenia z finančnej činnosti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-12</w:t>
            </w:r>
            <w:r w:rsidR="00250FE3">
              <w:rPr>
                <w:rFonts w:ascii="Times New Roman" w:hAnsi="Times New Roman"/>
                <w:b/>
                <w:bCs/>
              </w:rPr>
              <w:t xml:space="preserve"> </w:t>
            </w:r>
            <w:r>
              <w:rPr>
                <w:rFonts w:ascii="Times New Roman" w:hAnsi="Times New Roman"/>
                <w:b/>
                <w:bCs/>
              </w:rPr>
              <w:t>992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-14</w:t>
            </w:r>
            <w:r w:rsidR="00250FE3">
              <w:rPr>
                <w:rFonts w:ascii="Times New Roman" w:hAnsi="Times New Roman"/>
                <w:b/>
                <w:bCs/>
              </w:rPr>
              <w:t xml:space="preserve"> </w:t>
            </w:r>
            <w:r>
              <w:rPr>
                <w:rFonts w:ascii="Times New Roman" w:hAnsi="Times New Roman"/>
                <w:b/>
                <w:bCs/>
              </w:rPr>
              <w:t>862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Výsledok hospodárenia za účtovné obdobie pred zdanením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117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423</w:t>
            </w:r>
          </w:p>
          <w:p w:rsidR="00DF3E82" w:rsidRDefault="00250FE3" w:rsidP="00250FE3">
            <w:pPr>
              <w:pStyle w:val="TableContents"/>
              <w:jc w:val="right"/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 xml:space="preserve"> 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7 312</w:t>
            </w:r>
          </w:p>
          <w:p w:rsidR="00DF3E82" w:rsidRDefault="00DF3E82" w:rsidP="00250FE3">
            <w:pPr>
              <w:pStyle w:val="TableContents"/>
              <w:jc w:val="right"/>
              <w:rPr>
                <w:rFonts w:eastAsia="Times New Roman" w:cs="Times New Roman"/>
              </w:rPr>
            </w:pP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Daň z príjmov celkom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25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181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409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 tom: daň z príjmov splatná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25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867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880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daň z príjmov odložená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-686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-471</w:t>
            </w:r>
          </w:p>
        </w:tc>
      </w:tr>
      <w:tr w:rsidR="00DF3E82">
        <w:tc>
          <w:tcPr>
            <w:tcW w:w="585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Výsledok hospodárenia po zdanení</w:t>
            </w:r>
          </w:p>
        </w:tc>
        <w:tc>
          <w:tcPr>
            <w:tcW w:w="193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92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242</w:t>
            </w:r>
          </w:p>
        </w:tc>
        <w:tc>
          <w:tcPr>
            <w:tcW w:w="18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4</w:t>
            </w:r>
            <w:r w:rsidR="00250FE3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</w:rPr>
              <w:t>903</w:t>
            </w:r>
          </w:p>
        </w:tc>
      </w:tr>
    </w:tbl>
    <w:p w:rsidR="00DF3E82" w:rsidRDefault="00DF3E82">
      <w:pPr>
        <w:pStyle w:val="Standard"/>
        <w:autoSpaceDE w:val="0"/>
        <w:jc w:val="both"/>
        <w:rPr>
          <w:rFonts w:eastAsia="Times New Roman" w:cs="Times New Roman"/>
          <w:sz w:val="23"/>
          <w:szCs w:val="23"/>
        </w:rPr>
      </w:pP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Spoločnosť v roku 2018 dosiahla tržby za predaj tovaru, vlastných výrobkov a služieb vo výške 3 531 23</w:t>
      </w:r>
      <w:r w:rsidR="00956BFE">
        <w:rPr>
          <w:rFonts w:ascii="Times New Roman" w:eastAsia="Times New Roman" w:hAnsi="Times New Roman" w:cs="Times New Roman"/>
        </w:rPr>
        <w:t>8</w:t>
      </w:r>
      <w:r>
        <w:rPr>
          <w:rFonts w:ascii="Times New Roman" w:eastAsia="Times New Roman" w:hAnsi="Times New Roman" w:cs="Times New Roman"/>
        </w:rPr>
        <w:t xml:space="preserve"> (2017: 3 404 490 Eur), čo v porovnaní s rokom 2017 predstavuje nárast o 126 74</w:t>
      </w:r>
      <w:r w:rsidR="00956BFE">
        <w:rPr>
          <w:rFonts w:ascii="Times New Roman" w:eastAsia="Times New Roman" w:hAnsi="Times New Roman" w:cs="Times New Roman"/>
        </w:rPr>
        <w:t>8</w:t>
      </w:r>
      <w:r>
        <w:rPr>
          <w:rFonts w:ascii="Times New Roman" w:eastAsia="Times New Roman" w:hAnsi="Times New Roman" w:cs="Times New Roman"/>
        </w:rPr>
        <w:t xml:space="preserve"> Eur. Celkové medziročné zvýšenie tržieb predstavuje 3,</w:t>
      </w:r>
      <w:r w:rsidR="00956BFE">
        <w:rPr>
          <w:rFonts w:ascii="Times New Roman" w:eastAsia="Times New Roman" w:hAnsi="Times New Roman" w:cs="Times New Roman"/>
        </w:rPr>
        <w:t>7</w:t>
      </w:r>
      <w:r>
        <w:rPr>
          <w:rFonts w:ascii="Times New Roman" w:eastAsia="Times New Roman" w:hAnsi="Times New Roman" w:cs="Times New Roman"/>
        </w:rPr>
        <w:t xml:space="preserve"> %.</w:t>
      </w:r>
    </w:p>
    <w:p w:rsidR="0091393E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DF3E82" w:rsidRDefault="00E734E0" w:rsidP="0091393E">
      <w:pPr>
        <w:pStyle w:val="Default"/>
        <w:spacing w:line="36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Celkové výnosy v roku 2018 dosiahli objem 3 620 554 Eur, čo pri celkových nákladoch </w:t>
      </w:r>
      <w:r w:rsidR="00956BFE">
        <w:rPr>
          <w:rFonts w:ascii="Times New Roman" w:eastAsia="Times New Roman" w:hAnsi="Times New Roman" w:cs="Times New Roman"/>
        </w:rPr>
        <w:t xml:space="preserve">                   </w:t>
      </w:r>
      <w:r>
        <w:rPr>
          <w:rFonts w:ascii="Times New Roman" w:eastAsia="Times New Roman" w:hAnsi="Times New Roman" w:cs="Times New Roman"/>
        </w:rPr>
        <w:t>3 503 131 Eur znamená hospodársky výsledok pred zdanením – zisk v sume 117 423 (2017: 7 312 Eur). Z celkového hrubého zisku po jeho transformovaní na základ pre výpočet dane spoločnosť vykázala základ pre výpočet dane v objeme 126 614 Eur a z toho daň z príjmov v sume 25 867 Eur. Disponibilný zisk za uvedené obdobie predstavuje čiastku 92 242 Eur (2017: 4 903 Eur). Medziročný nárast disponibilného zisku predstavuje čiastku  87 339 Eur.</w:t>
      </w:r>
    </w:p>
    <w:p w:rsidR="00DF3E82" w:rsidRDefault="00DF3E82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Realizované tržby za obdobie posledných dvoch rokov podľa vybraných kritérií:</w:t>
      </w:r>
    </w:p>
    <w:p w:rsidR="00DF3E82" w:rsidRDefault="00DF3E82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95"/>
        <w:gridCol w:w="2330"/>
        <w:gridCol w:w="3220"/>
      </w:tblGrid>
      <w:tr w:rsidR="00DF3E82">
        <w:tc>
          <w:tcPr>
            <w:tcW w:w="4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Rozbor tržieb – podľa teritórií</w:t>
            </w:r>
          </w:p>
        </w:tc>
        <w:tc>
          <w:tcPr>
            <w:tcW w:w="23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TableContents"/>
              <w:jc w:val="center"/>
              <w:rPr>
                <w:rFonts w:eastAsia="Arial, 'Arial Narrow'" w:cs="Arial, 'Arial Narrow'"/>
                <w:b/>
                <w:bCs/>
              </w:rPr>
            </w:pPr>
            <w:r>
              <w:rPr>
                <w:rFonts w:eastAsia="Arial, 'Arial Narrow'" w:cs="Arial, 'Arial Narrow'"/>
                <w:b/>
                <w:bCs/>
              </w:rPr>
              <w:t>2018</w:t>
            </w:r>
          </w:p>
        </w:tc>
        <w:tc>
          <w:tcPr>
            <w:tcW w:w="3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TableContents"/>
              <w:jc w:val="center"/>
              <w:rPr>
                <w:rFonts w:eastAsia="Arial, 'Arial Narrow'" w:cs="Arial, 'Arial Narrow'"/>
                <w:b/>
                <w:bCs/>
              </w:rPr>
            </w:pPr>
            <w:r>
              <w:rPr>
                <w:rFonts w:eastAsia="Arial, 'Arial Narrow'" w:cs="Arial, 'Arial Narrow'"/>
                <w:b/>
                <w:bCs/>
              </w:rPr>
              <w:t>2017</w:t>
            </w:r>
          </w:p>
        </w:tc>
      </w:tr>
      <w:tr w:rsidR="00DF3E82">
        <w:tc>
          <w:tcPr>
            <w:tcW w:w="409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Slovensko</w:t>
            </w:r>
          </w:p>
        </w:tc>
        <w:tc>
          <w:tcPr>
            <w:tcW w:w="23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2 311 34</w:t>
            </w:r>
            <w:r w:rsidR="00F760CC"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32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2 925 214</w:t>
            </w:r>
          </w:p>
        </w:tc>
      </w:tr>
      <w:tr w:rsidR="00DF3E82">
        <w:tc>
          <w:tcPr>
            <w:tcW w:w="409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TableContents"/>
              <w:jc w:val="both"/>
              <w:rPr>
                <w:rFonts w:eastAsia="Arial, 'Arial Narrow'" w:cs="Arial, 'Arial Narrow'"/>
              </w:rPr>
            </w:pPr>
            <w:r>
              <w:rPr>
                <w:rFonts w:eastAsia="Arial, 'Arial Narrow'" w:cs="Arial, 'Arial Narrow'"/>
              </w:rPr>
              <w:t>Z</w:t>
            </w:r>
            <w:r>
              <w:rPr>
                <w:rFonts w:eastAsia="Times New Roman" w:cs="Times New Roman"/>
                <w:color w:val="000000"/>
              </w:rPr>
              <w:t>ahraničie, členské štáty EÚ</w:t>
            </w:r>
          </w:p>
        </w:tc>
        <w:tc>
          <w:tcPr>
            <w:tcW w:w="23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1 219 895</w:t>
            </w:r>
          </w:p>
        </w:tc>
        <w:tc>
          <w:tcPr>
            <w:tcW w:w="32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479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276</w:t>
            </w:r>
          </w:p>
        </w:tc>
      </w:tr>
      <w:tr w:rsidR="00DF3E82">
        <w:tc>
          <w:tcPr>
            <w:tcW w:w="409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Tržby za tovar, výrobky a služby celkom</w:t>
            </w:r>
          </w:p>
        </w:tc>
        <w:tc>
          <w:tcPr>
            <w:tcW w:w="23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531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23</w:t>
            </w:r>
            <w:r w:rsidR="00F760CC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32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  <w:r w:rsidR="00250FE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404</w:t>
            </w:r>
            <w:r w:rsidR="00250FE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490</w:t>
            </w:r>
          </w:p>
        </w:tc>
      </w:tr>
    </w:tbl>
    <w:p w:rsidR="00DF3E82" w:rsidRDefault="00DF3E82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10"/>
        <w:gridCol w:w="2315"/>
        <w:gridCol w:w="3220"/>
      </w:tblGrid>
      <w:tr w:rsidR="00DF3E82">
        <w:tc>
          <w:tcPr>
            <w:tcW w:w="4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Rozbor výkonov– podľa štruktúry</w:t>
            </w:r>
          </w:p>
        </w:tc>
        <w:tc>
          <w:tcPr>
            <w:tcW w:w="2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TableContents"/>
              <w:jc w:val="center"/>
              <w:rPr>
                <w:rFonts w:eastAsia="Arial, 'Arial Narrow'" w:cs="Arial, 'Arial Narrow'"/>
                <w:b/>
                <w:bCs/>
              </w:rPr>
            </w:pPr>
            <w:r>
              <w:rPr>
                <w:rFonts w:eastAsia="Arial, 'Arial Narrow'" w:cs="Arial, 'Arial Narrow'"/>
                <w:b/>
                <w:bCs/>
              </w:rPr>
              <w:t>2018</w:t>
            </w:r>
          </w:p>
        </w:tc>
        <w:tc>
          <w:tcPr>
            <w:tcW w:w="3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TableContents"/>
              <w:jc w:val="center"/>
              <w:rPr>
                <w:rFonts w:eastAsia="Arial, 'Arial Narrow'" w:cs="Arial, 'Arial Narrow'"/>
                <w:b/>
                <w:bCs/>
              </w:rPr>
            </w:pPr>
            <w:r>
              <w:rPr>
                <w:rFonts w:eastAsia="Arial, 'Arial Narrow'" w:cs="Arial, 'Arial Narrow'"/>
                <w:b/>
                <w:bCs/>
              </w:rPr>
              <w:t>2017</w:t>
            </w:r>
          </w:p>
        </w:tc>
      </w:tr>
      <w:tr w:rsidR="00DF3E82">
        <w:tc>
          <w:tcPr>
            <w:tcW w:w="41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Tovar a výrobky</w:t>
            </w:r>
          </w:p>
        </w:tc>
        <w:tc>
          <w:tcPr>
            <w:tcW w:w="23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520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7</w:t>
            </w:r>
            <w:r w:rsidR="00F760CC">
              <w:rPr>
                <w:rFonts w:ascii="Times New Roman" w:eastAsia="Times New Roman" w:hAnsi="Times New Roman" w:cs="Times New Roman"/>
              </w:rPr>
              <w:t>90</w:t>
            </w:r>
          </w:p>
        </w:tc>
        <w:tc>
          <w:tcPr>
            <w:tcW w:w="32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382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029</w:t>
            </w:r>
          </w:p>
        </w:tc>
      </w:tr>
      <w:tr w:rsidR="00DF3E82">
        <w:tc>
          <w:tcPr>
            <w:tcW w:w="41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TableContents"/>
              <w:jc w:val="both"/>
              <w:rPr>
                <w:rFonts w:eastAsia="Times New Roman" w:cs="Times New Roman"/>
                <w:color w:val="000000"/>
              </w:rPr>
            </w:pPr>
            <w:r>
              <w:rPr>
                <w:rFonts w:eastAsia="Times New Roman" w:cs="Times New Roman"/>
                <w:color w:val="000000"/>
              </w:rPr>
              <w:t>Služby</w:t>
            </w:r>
          </w:p>
        </w:tc>
        <w:tc>
          <w:tcPr>
            <w:tcW w:w="23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448</w:t>
            </w:r>
          </w:p>
        </w:tc>
        <w:tc>
          <w:tcPr>
            <w:tcW w:w="32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461</w:t>
            </w:r>
          </w:p>
        </w:tc>
      </w:tr>
      <w:tr w:rsidR="00DF3E82">
        <w:tc>
          <w:tcPr>
            <w:tcW w:w="41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>
            <w:pPr>
              <w:pStyle w:val="Default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Tržby za tovar, výrobky a služby celkom</w:t>
            </w:r>
          </w:p>
        </w:tc>
        <w:tc>
          <w:tcPr>
            <w:tcW w:w="23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531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23</w:t>
            </w:r>
            <w:r w:rsidR="00F760CC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322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DF3E82" w:rsidRDefault="00E734E0" w:rsidP="00250FE3">
            <w:pPr>
              <w:pStyle w:val="Default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404</w:t>
            </w:r>
            <w:r w:rsidR="00250FE3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490</w:t>
            </w:r>
          </w:p>
        </w:tc>
      </w:tr>
    </w:tbl>
    <w:p w:rsidR="00547F10" w:rsidRDefault="00547F10" w:rsidP="00547F10">
      <w:pPr>
        <w:pStyle w:val="Nadpis1"/>
        <w:numPr>
          <w:ilvl w:val="0"/>
          <w:numId w:val="0"/>
        </w:numPr>
        <w:ind w:left="792"/>
      </w:pPr>
    </w:p>
    <w:p w:rsidR="00DF3E82" w:rsidRDefault="00E734E0">
      <w:pPr>
        <w:pStyle w:val="Nadpis1"/>
      </w:pPr>
      <w:r>
        <w:t>Ľudské zdroje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Evidenčný počet zamestnancov k 1.1.2018 predstavoval 5 osôb, k 31.12.2017 bol 5 osôb. Priemerný prepočítaný počet zamestnancov za rok 2018 činil 4 osoby .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 xml:space="preserve">Spoločnosť v oblasti starostlivosti o zamestnancov má uzatvorenú zmluvu o poskytovaní pracovnej zdravotnej služby s oprávnenou osobou, ktorá vykonáva dohľad nad pracovným prostredím. V súvislosti s charakterom činnosti firmy pracovníci v stanovených intervaloch absolvujú povinné lekárske prehliadky a povinné školenia v oblasti </w:t>
      </w:r>
      <w:proofErr w:type="spellStart"/>
      <w:r>
        <w:rPr>
          <w:rFonts w:ascii="Times New Roman" w:eastAsia="Times New Roman" w:hAnsi="Times New Roman" w:cs="Times New Roman"/>
        </w:rPr>
        <w:t>BoZP</w:t>
      </w:r>
      <w:proofErr w:type="spellEnd"/>
      <w:r>
        <w:rPr>
          <w:rFonts w:ascii="Times New Roman" w:eastAsia="Times New Roman" w:hAnsi="Times New Roman" w:cs="Times New Roman"/>
        </w:rPr>
        <w:t xml:space="preserve"> a PO.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V oblasti sociálnej starostlivosti spoločnosť zabezpečuje základné povinnosti plynúce zo zmluvných a ostatných zákonných podmienok. Mzdové a osobné náklady sa odvíjajú od dohodnutých pracovno-právnych podmienok so zamestnancami.</w:t>
      </w:r>
    </w:p>
    <w:p w:rsidR="00547F10" w:rsidRDefault="00547F1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547F10" w:rsidRDefault="00547F1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547F10" w:rsidRDefault="00547F1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DF3E82" w:rsidRDefault="00E734E0">
      <w:pPr>
        <w:pStyle w:val="Nadpis1"/>
      </w:pPr>
      <w:r>
        <w:t>Vplyv činnosti firmy na životné prostredie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V súčasnosti nie sú známe žiadne relevantné riziká pre spoločnosť APEKA, s.r.o., týkajúce sa možností vzniku záťaži, havárii, narušenia životného prostredia ani potencionálnych záväzkov súvisiacich s kontamináciou pôdy, podzemnej alebo povrchovej vody, znečistením ovzdušia a nevyriešených sťažností týkajúcich sa životného prostredia.</w:t>
      </w:r>
    </w:p>
    <w:p w:rsidR="00547F10" w:rsidRDefault="00547F1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DF3E82" w:rsidRDefault="00E734E0">
      <w:pPr>
        <w:pStyle w:val="Nadpis1"/>
      </w:pPr>
      <w:r>
        <w:t>Udalosti osobitného významu, ktoré nastali po skončení účtovného obdobia</w:t>
      </w:r>
    </w:p>
    <w:p w:rsidR="00B002AA" w:rsidRDefault="00E734E0" w:rsidP="00B002AA">
      <w:pPr>
        <w:pStyle w:val="Default"/>
        <w:spacing w:line="360" w:lineRule="auto"/>
        <w:ind w:firstLine="340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eastAsia="Times New Roman" w:hAnsi="Times New Roman" w:cs="Times New Roman"/>
        </w:rPr>
        <w:tab/>
      </w:r>
      <w:r w:rsidR="00B002AA">
        <w:rPr>
          <w:rFonts w:ascii="Times New Roman" w:hAnsi="Times New Roman" w:cs="Times New Roman"/>
          <w:color w:val="auto"/>
        </w:rPr>
        <w:t xml:space="preserve">V mesiaci január spoločnosť obdržala protokol z kontroly odpočtu dane z pridanej hodnoty za rok 2013, ktorým správca dane neuznal odpočet dane z nákupov tovaru zo zahraničia. Manažment spoločnosti v súčinnosti s právnymi a daňovými poradcami podal v zákonnej lehote námietky a odvolanie  voči záverom správcu dane vo všetkých konaniach. V súčasnom období nie je možné predvídať závery odvolacieho konania. </w:t>
      </w:r>
    </w:p>
    <w:p w:rsidR="00B002AA" w:rsidRDefault="00B002AA" w:rsidP="00B002AA">
      <w:pPr>
        <w:pStyle w:val="Default"/>
        <w:spacing w:line="360" w:lineRule="auto"/>
        <w:jc w:val="both"/>
        <w:rPr>
          <w:rFonts w:ascii="Times New Roman" w:hAnsi="Times New Roman" w:cs="Times New Roman"/>
          <w:bCs/>
          <w:color w:val="auto"/>
        </w:rPr>
      </w:pPr>
    </w:p>
    <w:p w:rsidR="00DF3E82" w:rsidRDefault="00E734E0">
      <w:pPr>
        <w:pStyle w:val="Nadpis1"/>
      </w:pPr>
      <w:r>
        <w:tab/>
        <w:t>Predpokladaný budúci vývoj spoločnosti.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Spoločnosť APEKA s.r.o. v rámci plánu hlavných ukazovateľov bude v nasledujúcom období realizovať svoju hlavnú činnosť v objemoch obdobných ako v uplynulom roku. Hlavnú pozornosť bude venovať udržaniu existujúceho portfólia zákazníkov a zvýšenia objemu predaja vlastných výrobkov.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Súčasťou plánu sú zámery v oblasti investícií do baliacej techniky. Značná pozornosť z úrovne vedenia spoločnosti bude orientovaná na optimalizáciu a znižovanie nákladov s cieľom tvorby primeranej výšky zisku a ďalšieho posilňovania finančnej pozície firmy.</w:t>
      </w:r>
    </w:p>
    <w:p w:rsidR="00547F10" w:rsidRDefault="00547F1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DF3E82" w:rsidRDefault="00E734E0">
      <w:pPr>
        <w:pStyle w:val="Nadpis1"/>
      </w:pPr>
      <w:r>
        <w:t>Náklady na výskum a vývoj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Spoločnosť APEKA s.r.o. v účtovnom období roku 2018 nerealizovala žiadne výskumno-vývojové aktivity.</w:t>
      </w:r>
    </w:p>
    <w:p w:rsidR="00547F10" w:rsidRDefault="00547F1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0B696A" w:rsidRDefault="000B696A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E60382" w:rsidRDefault="00E60382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DF3E82" w:rsidRDefault="00E734E0">
      <w:pPr>
        <w:pStyle w:val="Nadpis1"/>
      </w:pPr>
      <w:r>
        <w:t>Návrh na rozdelenie zisku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>Vedenie spoločnosti pripravilo návrh na usporiadanie hospodárskeho výsledku za rok 2018 a tento bude prezentovať valnému zhromaždeniu spoločníkov.</w:t>
      </w:r>
      <w:r w:rsidR="007E03DC">
        <w:rPr>
          <w:rFonts w:ascii="Times New Roman" w:eastAsia="Times New Roman" w:hAnsi="Times New Roman" w:cs="Times New Roman"/>
        </w:rPr>
        <w:t xml:space="preserve"> Návrh predpokladá disponibilný zisk v </w:t>
      </w:r>
      <w:r>
        <w:rPr>
          <w:rFonts w:ascii="Times New Roman" w:eastAsia="Times New Roman" w:hAnsi="Times New Roman" w:cs="Times New Roman"/>
        </w:rPr>
        <w:t xml:space="preserve"> objeme 92 242 Eur </w:t>
      </w:r>
      <w:r w:rsidR="007E03DC">
        <w:rPr>
          <w:rFonts w:ascii="Times New Roman" w:eastAsia="Times New Roman" w:hAnsi="Times New Roman" w:cs="Times New Roman"/>
        </w:rPr>
        <w:t xml:space="preserve"> previesť </w:t>
      </w:r>
      <w:r>
        <w:rPr>
          <w:rFonts w:ascii="Times New Roman" w:eastAsia="Times New Roman" w:hAnsi="Times New Roman" w:cs="Times New Roman"/>
        </w:rPr>
        <w:t>na účet nerozdelených ziskov.</w:t>
      </w:r>
    </w:p>
    <w:p w:rsidR="00547F10" w:rsidRDefault="00547F10">
      <w:pPr>
        <w:pStyle w:val="Default"/>
        <w:spacing w:line="360" w:lineRule="auto"/>
        <w:jc w:val="both"/>
      </w:pPr>
    </w:p>
    <w:p w:rsidR="00DF3E82" w:rsidRDefault="00E734E0">
      <w:pPr>
        <w:pStyle w:val="Nadpis1"/>
      </w:pPr>
      <w:r>
        <w:t>Kontakty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</w:rPr>
        <w:tab/>
        <w:t xml:space="preserve">adresa: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b/>
          <w:bCs/>
        </w:rPr>
        <w:t>APEKA s. r. o.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proofErr w:type="spellStart"/>
      <w:r>
        <w:rPr>
          <w:rFonts w:ascii="Times New Roman" w:eastAsia="Times New Roman" w:hAnsi="Times New Roman" w:cs="Times New Roman"/>
        </w:rPr>
        <w:t>Sobotské</w:t>
      </w:r>
      <w:proofErr w:type="spellEnd"/>
      <w:r>
        <w:rPr>
          <w:rFonts w:ascii="Times New Roman" w:eastAsia="Times New Roman" w:hAnsi="Times New Roman" w:cs="Times New Roman"/>
        </w:rPr>
        <w:t xml:space="preserve"> nám. 1748/46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>058 01 Poprad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>Slovensko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>e-mail: apekaspolsro@gmail.com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ab/>
        <w:t>Riaditeľ spoločnosti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>tel. 0917 190 420</w:t>
      </w:r>
    </w:p>
    <w:p w:rsidR="00DF3E82" w:rsidRDefault="00E734E0">
      <w:pPr>
        <w:pStyle w:val="Default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e-mail: apekaspolsro@gmail.com </w:t>
      </w:r>
      <w:r>
        <w:rPr>
          <w:rFonts w:ascii="Times New Roman" w:eastAsia="Times New Roman" w:hAnsi="Times New Roman" w:cs="Times New Roman"/>
          <w:sz w:val="23"/>
          <w:szCs w:val="23"/>
        </w:rPr>
        <w:tab/>
      </w:r>
    </w:p>
    <w:sectPr w:rsidR="00DF3E82" w:rsidSect="001A0813">
      <w:headerReference w:type="default" r:id="rId8"/>
      <w:footerReference w:type="default" r:id="rId9"/>
      <w:pgSz w:w="11906" w:h="16838"/>
      <w:pgMar w:top="1474" w:right="1134" w:bottom="1134" w:left="1134" w:header="1134" w:footer="708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430FB" w:rsidRDefault="00E734E0">
      <w:r>
        <w:separator/>
      </w:r>
    </w:p>
  </w:endnote>
  <w:endnote w:type="continuationSeparator" w:id="0">
    <w:p w:rsidR="00D430FB" w:rsidRDefault="00E734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ans">
    <w:charset w:val="00"/>
    <w:family w:val="swiss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, 'Arial Narrow'">
    <w:altName w:val="Arial"/>
    <w:charset w:val="00"/>
    <w:family w:val="swiss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1467162"/>
      <w:docPartObj>
        <w:docPartGallery w:val="Page Numbers (Bottom of Page)"/>
        <w:docPartUnique/>
      </w:docPartObj>
    </w:sdtPr>
    <w:sdtEndPr/>
    <w:sdtContent>
      <w:p w:rsidR="001A0813" w:rsidRDefault="001A081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96A">
          <w:rPr>
            <w:noProof/>
          </w:rPr>
          <w:t>12</w:t>
        </w:r>
        <w:r>
          <w:fldChar w:fldCharType="end"/>
        </w:r>
      </w:p>
    </w:sdtContent>
  </w:sdt>
  <w:p w:rsidR="00280726" w:rsidRDefault="0091497D">
    <w:pPr>
      <w:pStyle w:val="Standard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430FB" w:rsidRDefault="00E734E0">
      <w:r>
        <w:rPr>
          <w:color w:val="000000"/>
        </w:rPr>
        <w:ptab w:relativeTo="margin" w:alignment="center" w:leader="none"/>
      </w:r>
    </w:p>
  </w:footnote>
  <w:footnote w:type="continuationSeparator" w:id="0">
    <w:p w:rsidR="00D430FB" w:rsidRDefault="00E734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726" w:rsidRPr="00DF45CF" w:rsidRDefault="00E734E0">
    <w:pPr>
      <w:pStyle w:val="Default"/>
      <w:jc w:val="right"/>
      <w:rPr>
        <w:rFonts w:ascii="Times New Roman" w:hAnsi="Times New Roman" w:cs="Times New Roman"/>
      </w:rPr>
    </w:pPr>
    <w:r>
      <w:t xml:space="preserve"> </w:t>
    </w:r>
    <w:r w:rsidRPr="00DF45CF">
      <w:rPr>
        <w:rFonts w:ascii="Times New Roman" w:hAnsi="Times New Roman" w:cs="Times New Roman"/>
        <w:b/>
        <w:bCs/>
        <w:i/>
        <w:iCs/>
        <w:sz w:val="20"/>
        <w:szCs w:val="20"/>
      </w:rPr>
      <w:t xml:space="preserve">APEKA, s.r.o., </w:t>
    </w:r>
    <w:proofErr w:type="spellStart"/>
    <w:r w:rsidRPr="00DF45CF">
      <w:rPr>
        <w:rFonts w:ascii="Times New Roman" w:hAnsi="Times New Roman" w:cs="Times New Roman"/>
        <w:b/>
        <w:bCs/>
        <w:i/>
        <w:iCs/>
        <w:sz w:val="20"/>
        <w:szCs w:val="20"/>
      </w:rPr>
      <w:t>Sobotské</w:t>
    </w:r>
    <w:proofErr w:type="spellEnd"/>
    <w:r w:rsidRPr="00DF45CF">
      <w:rPr>
        <w:rFonts w:ascii="Times New Roman" w:hAnsi="Times New Roman" w:cs="Times New Roman"/>
        <w:b/>
        <w:bCs/>
        <w:i/>
        <w:iCs/>
        <w:sz w:val="20"/>
        <w:szCs w:val="20"/>
      </w:rPr>
      <w:t xml:space="preserve"> nám. 1748/46, 058 01 Poprad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F5856"/>
    <w:multiLevelType w:val="multilevel"/>
    <w:tmpl w:val="4A2CE8CE"/>
    <w:styleLink w:val="RTFNum3"/>
    <w:lvl w:ilvl="0">
      <w:start w:val="1"/>
      <w:numFmt w:val="upperRoman"/>
      <w:lvlText w:val="%1"/>
      <w:lvlJc w:val="left"/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0E797BC0"/>
    <w:multiLevelType w:val="multilevel"/>
    <w:tmpl w:val="A120DA3E"/>
    <w:styleLink w:val="RTFNum2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177B0440"/>
    <w:multiLevelType w:val="multilevel"/>
    <w:tmpl w:val="95E01922"/>
    <w:styleLink w:val="RTFNum7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368B288A"/>
    <w:multiLevelType w:val="multilevel"/>
    <w:tmpl w:val="CF64B99C"/>
    <w:styleLink w:val="Outline"/>
    <w:lvl w:ilvl="0">
      <w:start w:val="1"/>
      <w:numFmt w:val="upperRoman"/>
      <w:pStyle w:val="Nadpis1"/>
      <w:lvlText w:val="%1."/>
      <w:lvlJc w:val="left"/>
      <w:pPr>
        <w:ind w:left="792" w:hanging="432"/>
      </w:pPr>
    </w:lvl>
    <w:lvl w:ilvl="1">
      <w:start w:val="1"/>
      <w:numFmt w:val="none"/>
      <w:lvlText w:val="%2"/>
      <w:lvlJc w:val="left"/>
      <w:pPr>
        <w:ind w:left="936" w:hanging="576"/>
      </w:pPr>
    </w:lvl>
    <w:lvl w:ilvl="2">
      <w:start w:val="1"/>
      <w:numFmt w:val="none"/>
      <w:lvlText w:val="%3"/>
      <w:lvlJc w:val="left"/>
      <w:pPr>
        <w:ind w:left="1080" w:hanging="720"/>
      </w:pPr>
    </w:lvl>
    <w:lvl w:ilvl="3">
      <w:start w:val="1"/>
      <w:numFmt w:val="none"/>
      <w:lvlText w:val="%4"/>
      <w:lvlJc w:val="left"/>
      <w:pPr>
        <w:ind w:left="1224" w:hanging="864"/>
      </w:pPr>
    </w:lvl>
    <w:lvl w:ilvl="4">
      <w:start w:val="1"/>
      <w:numFmt w:val="none"/>
      <w:lvlText w:val="%5"/>
      <w:lvlJc w:val="left"/>
      <w:pPr>
        <w:ind w:left="1368" w:hanging="1008"/>
      </w:pPr>
    </w:lvl>
    <w:lvl w:ilvl="5">
      <w:start w:val="1"/>
      <w:numFmt w:val="none"/>
      <w:lvlText w:val="%6"/>
      <w:lvlJc w:val="left"/>
      <w:pPr>
        <w:ind w:left="1512" w:hanging="1152"/>
      </w:pPr>
    </w:lvl>
    <w:lvl w:ilvl="6">
      <w:start w:val="1"/>
      <w:numFmt w:val="none"/>
      <w:lvlText w:val="%7"/>
      <w:lvlJc w:val="left"/>
      <w:pPr>
        <w:ind w:left="1656" w:hanging="1296"/>
      </w:pPr>
    </w:lvl>
    <w:lvl w:ilvl="7">
      <w:start w:val="1"/>
      <w:numFmt w:val="none"/>
      <w:lvlText w:val="%8"/>
      <w:lvlJc w:val="left"/>
      <w:pPr>
        <w:ind w:left="1800" w:hanging="1440"/>
      </w:pPr>
    </w:lvl>
    <w:lvl w:ilvl="8">
      <w:start w:val="1"/>
      <w:numFmt w:val="none"/>
      <w:lvlText w:val="%9"/>
      <w:lvlJc w:val="left"/>
      <w:pPr>
        <w:ind w:left="1944" w:hanging="1584"/>
      </w:pPr>
    </w:lvl>
  </w:abstractNum>
  <w:abstractNum w:abstractNumId="4" w15:restartNumberingAfterBreak="0">
    <w:nsid w:val="497F4942"/>
    <w:multiLevelType w:val="multilevel"/>
    <w:tmpl w:val="4FD2BF22"/>
    <w:styleLink w:val="RTFNum6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60AB4B3E"/>
    <w:multiLevelType w:val="multilevel"/>
    <w:tmpl w:val="B7329224"/>
    <w:styleLink w:val="RTFNum4"/>
    <w:lvl w:ilvl="0">
      <w:start w:val="1"/>
      <w:numFmt w:val="upperRoman"/>
      <w:lvlText w:val="%1."/>
      <w:lvlJc w:val="left"/>
      <w:pPr>
        <w:ind w:left="360" w:firstLine="0"/>
      </w:p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decimal"/>
      <w:lvlText w:val="%5."/>
      <w:lvlJc w:val="left"/>
      <w:pPr>
        <w:ind w:left="1800" w:hanging="360"/>
      </w:pPr>
    </w:lvl>
    <w:lvl w:ilvl="5">
      <w:start w:val="1"/>
      <w:numFmt w:val="decimal"/>
      <w:lvlText w:val="%6.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decimal"/>
      <w:lvlText w:val="%8."/>
      <w:lvlJc w:val="left"/>
      <w:pPr>
        <w:ind w:left="2880" w:hanging="360"/>
      </w:pPr>
    </w:lvl>
    <w:lvl w:ilvl="8">
      <w:start w:val="1"/>
      <w:numFmt w:val="decimal"/>
      <w:lvlText w:val="%9."/>
      <w:lvlJc w:val="left"/>
      <w:pPr>
        <w:ind w:left="3240" w:hanging="360"/>
      </w:pPr>
    </w:lvl>
  </w:abstractNum>
  <w:abstractNum w:abstractNumId="6" w15:restartNumberingAfterBreak="0">
    <w:nsid w:val="6D6F088E"/>
    <w:multiLevelType w:val="hybridMultilevel"/>
    <w:tmpl w:val="988488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DC7EDC"/>
    <w:multiLevelType w:val="multilevel"/>
    <w:tmpl w:val="3F9CAE48"/>
    <w:styleLink w:val="RTFNum5"/>
    <w:lvl w:ilvl="0">
      <w:start w:val="1"/>
      <w:numFmt w:val="none"/>
      <w:lvlText w:val="%1"/>
      <w:lvlJc w:val="left"/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5"/>
  </w:num>
  <w:num w:numId="5">
    <w:abstractNumId w:val="7"/>
  </w:num>
  <w:num w:numId="6">
    <w:abstractNumId w:val="4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autoHyphenation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F3E82"/>
    <w:rsid w:val="000B696A"/>
    <w:rsid w:val="00131D84"/>
    <w:rsid w:val="001A0813"/>
    <w:rsid w:val="00250FE3"/>
    <w:rsid w:val="00547F10"/>
    <w:rsid w:val="007E03DC"/>
    <w:rsid w:val="008E4707"/>
    <w:rsid w:val="0091393E"/>
    <w:rsid w:val="0091497D"/>
    <w:rsid w:val="00956BFE"/>
    <w:rsid w:val="00B002AA"/>
    <w:rsid w:val="00B123D8"/>
    <w:rsid w:val="00D430FB"/>
    <w:rsid w:val="00DF3E82"/>
    <w:rsid w:val="00DF45CF"/>
    <w:rsid w:val="00E60382"/>
    <w:rsid w:val="00E734E0"/>
    <w:rsid w:val="00F76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79848820-604D-4BBD-BDC9-DD8356A17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zov"/>
    <w:next w:val="Textbody"/>
    <w:uiPriority w:val="9"/>
    <w:qFormat/>
    <w:pPr>
      <w:numPr>
        <w:numId w:val="1"/>
      </w:numPr>
      <w:spacing w:line="360" w:lineRule="auto"/>
      <w:outlineLvl w:val="0"/>
    </w:pPr>
    <w:rPr>
      <w:rFonts w:ascii="Times New Roman" w:eastAsia="Times New Roman" w:hAnsi="Times New Roman" w:cs="Times New Roman"/>
      <w:b/>
      <w:bCs/>
      <w:sz w:val="32"/>
      <w:szCs w:val="32"/>
    </w:rPr>
  </w:style>
  <w:style w:type="paragraph" w:styleId="Nadpis2">
    <w:name w:val="heading 2"/>
    <w:basedOn w:val="Nzov"/>
    <w:next w:val="Textbody"/>
    <w:uiPriority w:val="9"/>
    <w:semiHidden/>
    <w:unhideWhenUsed/>
    <w:qFormat/>
    <w:pPr>
      <w:outlineLvl w:val="1"/>
    </w:pPr>
    <w:rPr>
      <w:b/>
      <w:bCs/>
      <w:i/>
      <w:iCs/>
    </w:rPr>
  </w:style>
  <w:style w:type="paragraph" w:styleId="Nadpis3">
    <w:name w:val="heading 3"/>
    <w:basedOn w:val="Nzov"/>
    <w:next w:val="Textbody"/>
    <w:uiPriority w:val="9"/>
    <w:semiHidden/>
    <w:unhideWhenUsed/>
    <w:qFormat/>
    <w:pPr>
      <w:outlineLvl w:val="2"/>
    </w:pPr>
    <w:rPr>
      <w:b/>
      <w:bCs/>
    </w:rPr>
  </w:style>
  <w:style w:type="paragraph" w:styleId="Nadpis4">
    <w:name w:val="heading 4"/>
    <w:basedOn w:val="Nzov"/>
    <w:next w:val="Textbody"/>
    <w:uiPriority w:val="9"/>
    <w:semiHidden/>
    <w:unhideWhenUsed/>
    <w:qFormat/>
    <w:pPr>
      <w:outlineLvl w:val="3"/>
    </w:pPr>
    <w:rPr>
      <w:b/>
      <w:bCs/>
      <w:i/>
      <w:iCs/>
    </w:rPr>
  </w:style>
  <w:style w:type="paragraph" w:styleId="Nadpis5">
    <w:name w:val="heading 5"/>
    <w:basedOn w:val="Nzov"/>
    <w:next w:val="Textbody"/>
    <w:uiPriority w:val="9"/>
    <w:semiHidden/>
    <w:unhideWhenUsed/>
    <w:qFormat/>
    <w:pPr>
      <w:outlineLvl w:val="4"/>
    </w:pPr>
    <w:rPr>
      <w:b/>
      <w:bCs/>
    </w:rPr>
  </w:style>
  <w:style w:type="paragraph" w:styleId="Nadpis6">
    <w:name w:val="heading 6"/>
    <w:basedOn w:val="Nzov"/>
    <w:next w:val="Textbody"/>
    <w:uiPriority w:val="9"/>
    <w:semiHidden/>
    <w:unhideWhenUsed/>
    <w:qFormat/>
    <w:pPr>
      <w:outlineLvl w:val="5"/>
    </w:pPr>
    <w:rPr>
      <w:b/>
      <w:bCs/>
    </w:rPr>
  </w:style>
  <w:style w:type="paragraph" w:styleId="Nadpis7">
    <w:name w:val="heading 7"/>
    <w:basedOn w:val="Nzov"/>
    <w:next w:val="Textbody"/>
    <w:pPr>
      <w:outlineLvl w:val="6"/>
    </w:pPr>
    <w:rPr>
      <w:b/>
      <w:bCs/>
    </w:rPr>
  </w:style>
  <w:style w:type="paragraph" w:styleId="Nadpis8">
    <w:name w:val="heading 8"/>
    <w:basedOn w:val="Nzov"/>
    <w:next w:val="Textbody"/>
    <w:pPr>
      <w:outlineLvl w:val="7"/>
    </w:pPr>
    <w:rPr>
      <w:b/>
      <w:bCs/>
    </w:rPr>
  </w:style>
  <w:style w:type="paragraph" w:styleId="Nadpis9">
    <w:name w:val="heading 9"/>
    <w:basedOn w:val="Nzov"/>
    <w:next w:val="Textbody"/>
    <w:pPr>
      <w:outlineLvl w:val="8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Outline">
    <w:name w:val="Outline"/>
    <w:basedOn w:val="Bezzoznamu"/>
    <w:pPr>
      <w:numPr>
        <w:numId w:val="1"/>
      </w:numPr>
    </w:pPr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Default">
    <w:name w:val="Default"/>
    <w:basedOn w:val="Standard"/>
    <w:pPr>
      <w:autoSpaceDE w:val="0"/>
    </w:pPr>
    <w:rPr>
      <w:rFonts w:ascii="Arial, 'Arial Narrow'" w:eastAsia="Arial, 'Arial Narrow'" w:hAnsi="Arial, 'Arial Narrow'" w:cs="Arial, 'Arial Narrow'"/>
      <w:color w:val="00000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Hlavika">
    <w:name w:val="header"/>
    <w:basedOn w:val="Standard"/>
    <w:link w:val="HlavikaChar"/>
    <w:uiPriority w:val="99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Standard"/>
    <w:link w:val="PtaChar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ContentsHeading">
    <w:name w:val="Contents Heading"/>
    <w:basedOn w:val="Nzov"/>
    <w:pPr>
      <w:suppressLineNumbers/>
    </w:pPr>
    <w:rPr>
      <w:b/>
      <w:bCs/>
      <w:sz w:val="32"/>
      <w:szCs w:val="32"/>
    </w:rPr>
  </w:style>
  <w:style w:type="paragraph" w:customStyle="1" w:styleId="Contents1">
    <w:name w:val="Contents 1"/>
    <w:basedOn w:val="Index"/>
    <w:pPr>
      <w:tabs>
        <w:tab w:val="right" w:leader="dot" w:pos="9638"/>
      </w:tabs>
    </w:pPr>
  </w:style>
  <w:style w:type="paragraph" w:customStyle="1" w:styleId="Heading10">
    <w:name w:val="Heading 10"/>
    <w:basedOn w:val="Nzov"/>
    <w:next w:val="Textbody"/>
    <w:rPr>
      <w:b/>
      <w:bCs/>
    </w:rPr>
  </w:style>
  <w:style w:type="character" w:customStyle="1" w:styleId="NumberingSymbols">
    <w:name w:val="Numbering Symbols"/>
    <w:rPr>
      <w:b/>
      <w:bCs/>
      <w:sz w:val="32"/>
      <w:szCs w:val="32"/>
    </w:rPr>
  </w:style>
  <w:style w:type="numbering" w:customStyle="1" w:styleId="RTFNum2">
    <w:name w:val="RTF_Num 2"/>
    <w:basedOn w:val="Bezzoznamu"/>
    <w:pPr>
      <w:numPr>
        <w:numId w:val="2"/>
      </w:numPr>
    </w:pPr>
  </w:style>
  <w:style w:type="numbering" w:customStyle="1" w:styleId="RTFNum3">
    <w:name w:val="RTF_Num 3"/>
    <w:basedOn w:val="Bezzoznamu"/>
    <w:pPr>
      <w:numPr>
        <w:numId w:val="3"/>
      </w:numPr>
    </w:pPr>
  </w:style>
  <w:style w:type="numbering" w:customStyle="1" w:styleId="RTFNum4">
    <w:name w:val="RTF_Num 4"/>
    <w:basedOn w:val="Bezzoznamu"/>
    <w:pPr>
      <w:numPr>
        <w:numId w:val="4"/>
      </w:numPr>
    </w:pPr>
  </w:style>
  <w:style w:type="numbering" w:customStyle="1" w:styleId="RTFNum5">
    <w:name w:val="RTF_Num 5"/>
    <w:basedOn w:val="Bezzoznamu"/>
    <w:pPr>
      <w:numPr>
        <w:numId w:val="5"/>
      </w:numPr>
    </w:pPr>
  </w:style>
  <w:style w:type="numbering" w:customStyle="1" w:styleId="RTFNum6">
    <w:name w:val="RTF_Num 6"/>
    <w:basedOn w:val="Bezzoznamu"/>
    <w:pPr>
      <w:numPr>
        <w:numId w:val="6"/>
      </w:numPr>
    </w:pPr>
  </w:style>
  <w:style w:type="numbering" w:customStyle="1" w:styleId="RTFNum7">
    <w:name w:val="RTF_Num 7"/>
    <w:basedOn w:val="Bezzoznamu"/>
    <w:pPr>
      <w:numPr>
        <w:numId w:val="7"/>
      </w:numPr>
    </w:pPr>
  </w:style>
  <w:style w:type="character" w:customStyle="1" w:styleId="HlavikaChar">
    <w:name w:val="Hlavička Char"/>
    <w:basedOn w:val="Predvolenpsmoodseku"/>
    <w:link w:val="Hlavika"/>
    <w:uiPriority w:val="99"/>
    <w:rsid w:val="001A0813"/>
  </w:style>
  <w:style w:type="character" w:customStyle="1" w:styleId="PtaChar">
    <w:name w:val="Päta Char"/>
    <w:basedOn w:val="Predvolenpsmoodseku"/>
    <w:link w:val="Pta"/>
    <w:uiPriority w:val="99"/>
    <w:rsid w:val="001A0813"/>
  </w:style>
  <w:style w:type="paragraph" w:styleId="Obsah1">
    <w:name w:val="toc 1"/>
    <w:basedOn w:val="Normlny"/>
    <w:next w:val="Normlny"/>
    <w:autoRedefine/>
    <w:uiPriority w:val="39"/>
    <w:unhideWhenUsed/>
    <w:rsid w:val="001A0813"/>
    <w:pPr>
      <w:spacing w:after="100"/>
    </w:pPr>
    <w:rPr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F45CF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45CF"/>
    <w:rPr>
      <w:rFonts w:ascii="Segoe UI" w:hAnsi="Segoe UI"/>
      <w:sz w:val="18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3441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767D4E-B05B-42A8-953C-E54051691C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10</Pages>
  <Words>1909</Words>
  <Characters>10884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Lívia</dc:creator>
  <cp:lastModifiedBy>Lívia</cp:lastModifiedBy>
  <cp:revision>15</cp:revision>
  <cp:lastPrinted>2019-04-04T12:31:00Z</cp:lastPrinted>
  <dcterms:created xsi:type="dcterms:W3CDTF">2019-04-04T06:52:00Z</dcterms:created>
  <dcterms:modified xsi:type="dcterms:W3CDTF">2019-04-04T12:34:00Z</dcterms:modified>
</cp:coreProperties>
</file>