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keepNext/>
        <w:spacing w:after="120" w:before="0" w:line="100" w:lineRule="atLeast"/>
      </w:pPr>
      <w:r>
        <w:rPr>
          <w:b/>
          <w:bCs/>
          <w:sz w:val="24"/>
        </w:rPr>
        <w:t>ČL. I  VŠEOBECNÉ ÚDAJE</w:t>
      </w:r>
    </w:p>
    <w:p>
      <w:pPr>
        <w:pStyle w:val="style49"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style0"/>
        <w:tabs>
          <w:tab w:leader="none" w:pos="0" w:val="left"/>
        </w:tabs>
        <w:spacing w:after="0" w:before="0" w:line="100" w:lineRule="atLeast"/>
        <w:jc w:val="left"/>
      </w:pPr>
      <w:r>
        <w:rPr>
          <w:rFonts w:cs="Arial Narrow"/>
          <w:sz w:val="18"/>
          <w:szCs w:val="18"/>
          <w:lang w:eastAsia="sk-SK"/>
        </w:rPr>
      </w:r>
    </w:p>
    <w:p>
      <w:pPr>
        <w:pStyle w:val="style0"/>
        <w:spacing w:after="0" w:before="0" w:line="100" w:lineRule="atLeast"/>
        <w:ind w:hanging="0" w:left="284" w:right="0"/>
        <w:jc w:val="left"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TRUCK LOGISTIC s.r.o.</w:t>
      </w:r>
    </w:p>
    <w:p>
      <w:pPr>
        <w:pStyle w:val="style0"/>
        <w:spacing w:after="0" w:before="0" w:line="100" w:lineRule="atLeast"/>
        <w:ind w:hanging="0" w:left="284" w:right="0"/>
        <w:jc w:val="left"/>
      </w:pPr>
      <w:r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>
        <w:rPr>
          <w:sz w:val="22"/>
          <w:szCs w:val="22"/>
          <w:lang w:eastAsia="sk-SK"/>
        </w:rPr>
        <w:t xml:space="preserve"> Sesílešská 1819/5  , 94701 Hurbanovo </w:t>
      </w:r>
    </w:p>
    <w:p>
      <w:pPr>
        <w:pStyle w:val="style0"/>
        <w:spacing w:after="0" w:before="0" w:line="100" w:lineRule="atLeast"/>
        <w:ind w:hanging="0" w:left="284" w:right="0"/>
        <w:jc w:val="left"/>
      </w:pPr>
      <w:r>
        <w:rPr>
          <w:sz w:val="22"/>
          <w:szCs w:val="22"/>
          <w:lang w:val="cs-CZ"/>
        </w:rPr>
        <w:t xml:space="preserve">IČO: </w:t>
      </w:r>
      <w:bookmarkStart w:id="3" w:name="ICOSID"/>
      <w:bookmarkStart w:id="4" w:name="ICOSID_END"/>
      <w:bookmarkEnd w:id="3"/>
      <w:bookmarkEnd w:id="4"/>
      <w:r>
        <w:rPr>
          <w:sz w:val="22"/>
          <w:szCs w:val="22"/>
          <w:lang w:val="cs-CZ"/>
        </w:rPr>
        <w:t xml:space="preserve"> 474505517</w:t>
      </w:r>
    </w:p>
    <w:p>
      <w:pPr>
        <w:pStyle w:val="style0"/>
        <w:spacing w:after="0" w:before="0" w:line="100" w:lineRule="atLeast"/>
        <w:ind w:hanging="0" w:left="284" w:right="0"/>
        <w:jc w:val="left"/>
      </w:pPr>
      <w:r>
        <w:rPr>
          <w:sz w:val="22"/>
          <w:szCs w:val="22"/>
          <w:lang w:eastAsia="sk-SK"/>
        </w:rPr>
        <w:t xml:space="preserve">založená dňa: </w:t>
      </w:r>
      <w:bookmarkStart w:id="5" w:name="ZACIN"/>
      <w:bookmarkStart w:id="6" w:name="ZACIN_END"/>
      <w:bookmarkEnd w:id="5"/>
      <w:bookmarkEnd w:id="6"/>
      <w:r>
        <w:rPr>
          <w:sz w:val="22"/>
          <w:szCs w:val="22"/>
          <w:lang w:eastAsia="sk-SK"/>
        </w:rPr>
        <w:t xml:space="preserve"> 15.06.2015</w:t>
      </w:r>
    </w:p>
    <w:p>
      <w:pPr>
        <w:pStyle w:val="style0"/>
        <w:spacing w:after="0" w:before="0" w:line="100" w:lineRule="atLeast"/>
        <w:ind w:hanging="0" w:left="284" w:right="0"/>
        <w:jc w:val="left"/>
      </w:pPr>
      <w:r>
        <w:rPr>
          <w:rFonts w:cs="Arial Narrow"/>
          <w:sz w:val="22"/>
          <w:szCs w:val="22"/>
        </w:rPr>
        <w:t>zapísaná do obchodného registra dňa:  15.06.2015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tabs>
          <w:tab w:leader="none" w:pos="0" w:val="left"/>
        </w:tabs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Údaje o konsolidovanom celku, a to</w:t>
      </w:r>
    </w:p>
    <w:p>
      <w:pPr>
        <w:pStyle w:val="style50"/>
        <w:numPr>
          <w:ilvl w:val="0"/>
          <w:numId w:val="3"/>
        </w:numPr>
        <w:tabs>
          <w:tab w:leader="none" w:pos="1866" w:val="left"/>
        </w:tabs>
        <w:ind w:hanging="142" w:left="426" w:right="0"/>
      </w:pPr>
      <w:r>
        <w:rPr>
          <w:b w:val="false"/>
          <w:i w:val="false"/>
          <w:iCs w:val="false"/>
          <w:sz w:val="22"/>
          <w:szCs w:val="22"/>
        </w:rPr>
        <w:t xml:space="preserve"> </w:t>
      </w:r>
      <w:r>
        <w:rPr>
          <w:b w:val="false"/>
          <w:i w:val="false"/>
          <w:iCs w:val="false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>
      <w:pPr>
        <w:pStyle w:val="style48"/>
        <w:tabs>
          <w:tab w:leader="none" w:pos="1986" w:val="left"/>
          <w:tab w:leader="none" w:pos="2695" w:val="left"/>
        </w:tabs>
        <w:ind w:hanging="0" w:left="1266" w:right="0"/>
      </w:pPr>
      <w:r>
        <w:rPr>
          <w:b w:val="false"/>
        </w:rPr>
        <w:t xml:space="preserve">- Spoločnosť nie je účastníkom konsolidovaného celku </w:t>
      </w:r>
    </w:p>
    <w:p>
      <w:pPr>
        <w:pStyle w:val="style48"/>
        <w:ind w:hanging="0" w:left="426" w:right="0"/>
      </w:pPr>
      <w:r>
        <w:rPr>
          <w:b w:val="false"/>
        </w:rPr>
      </w:r>
    </w:p>
    <w:p>
      <w:pPr>
        <w:pStyle w:val="style48"/>
        <w:ind w:hanging="0" w:left="426" w:right="0"/>
      </w:pPr>
      <w:r>
        <w:rPr>
          <w:b w:val="false"/>
        </w:rPr>
        <w:t>Obchodné meno:</w:t>
      </w:r>
    </w:p>
    <w:p>
      <w:pPr>
        <w:pStyle w:val="style48"/>
        <w:ind w:hanging="0" w:left="426" w:right="0"/>
      </w:pPr>
      <w:r>
        <w:rPr>
          <w:b w:val="false"/>
        </w:rPr>
        <w:t>Sídlo:</w:t>
      </w:r>
    </w:p>
    <w:p>
      <w:pPr>
        <w:pStyle w:val="style0"/>
        <w:tabs>
          <w:tab w:leader="none" w:pos="1134" w:val="left"/>
          <w:tab w:leader="none" w:pos="1287" w:val="left"/>
          <w:tab w:leader="none" w:pos="1996" w:val="left"/>
        </w:tabs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keepNext/>
        <w:tabs>
          <w:tab w:leader="none" w:pos="568" w:val="left"/>
          <w:tab w:leader="none" w:pos="1004" w:val="left"/>
          <w:tab w:leader="none" w:pos="1713" w:val="left"/>
          <w:tab w:leader="none" w:pos="2717" w:val="left"/>
        </w:tabs>
        <w:spacing w:after="0" w:before="0" w:line="100" w:lineRule="atLeast"/>
        <w:ind w:hanging="0" w:left="284" w:right="0"/>
        <w:jc w:val="left"/>
      </w:pPr>
      <w:r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>
      <w:pPr>
        <w:pStyle w:val="style0"/>
        <w:spacing w:after="0" w:before="0" w:line="100" w:lineRule="atLeast"/>
        <w:ind w:hanging="142" w:left="426" w:right="0"/>
        <w:jc w:val="left"/>
      </w:pPr>
      <w:r>
        <w:rPr>
          <w:rFonts w:cs="Arial Narrow"/>
          <w:sz w:val="22"/>
          <w:szCs w:val="22"/>
        </w:rPr>
        <w:t>1. pri oslobodení podľa § 22 ods. 8 zákona</w:t>
      </w:r>
    </w:p>
    <w:p>
      <w:pPr>
        <w:pStyle w:val="style0"/>
        <w:spacing w:after="0" w:before="0" w:line="100" w:lineRule="atLeast"/>
        <w:ind w:hanging="0" w:left="426" w:right="0"/>
        <w:jc w:val="left"/>
      </w:pPr>
      <w:r>
        <w:rPr>
          <w:rFonts w:cs="Arial Narrow"/>
          <w:sz w:val="22"/>
          <w:szCs w:val="22"/>
        </w:rPr>
        <w:t>Obchodné meno:</w:t>
      </w:r>
    </w:p>
    <w:p>
      <w:pPr>
        <w:pStyle w:val="style0"/>
        <w:spacing w:after="0" w:before="0" w:line="100" w:lineRule="atLeast"/>
        <w:ind w:hanging="0" w:left="426" w:right="0"/>
        <w:jc w:val="left"/>
      </w:pPr>
      <w:r>
        <w:rPr>
          <w:rFonts w:cs="Arial Narrow"/>
          <w:sz w:val="22"/>
          <w:szCs w:val="22"/>
        </w:rPr>
        <w:t>Sídlo MÚJ:</w:t>
      </w:r>
    </w:p>
    <w:p>
      <w:pPr>
        <w:pStyle w:val="style0"/>
        <w:spacing w:after="0" w:before="0" w:line="100" w:lineRule="atLeast"/>
        <w:ind w:hanging="0" w:left="284" w:right="0"/>
        <w:jc w:val="left"/>
      </w:pPr>
      <w:r>
        <w:rPr>
          <w:rFonts w:cs="Arial Narrow"/>
          <w:sz w:val="22"/>
          <w:szCs w:val="22"/>
        </w:rPr>
        <w:t>2. pri oslobodení podľa § 22 ods. 12 zákona</w:t>
      </w:r>
    </w:p>
    <w:p>
      <w:pPr>
        <w:pStyle w:val="style0"/>
        <w:spacing w:after="0" w:before="0" w:line="100" w:lineRule="atLeast"/>
        <w:ind w:hanging="0" w:left="426" w:right="0"/>
        <w:jc w:val="left"/>
      </w:pPr>
      <w:r>
        <w:rPr>
          <w:rFonts w:cs="Arial Narrow"/>
          <w:sz w:val="22"/>
          <w:szCs w:val="22"/>
        </w:rPr>
        <w:t>Obchodné meno:</w:t>
      </w:r>
    </w:p>
    <w:p>
      <w:pPr>
        <w:pStyle w:val="style0"/>
        <w:spacing w:after="0" w:before="0" w:line="100" w:lineRule="atLeast"/>
        <w:ind w:hanging="0" w:left="426" w:right="0"/>
        <w:jc w:val="left"/>
      </w:pPr>
      <w:r>
        <w:rPr>
          <w:rFonts w:cs="Arial Narrow"/>
          <w:sz w:val="22"/>
          <w:szCs w:val="22"/>
        </w:rPr>
        <w:t>Sídla DÚJ: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  <w:t xml:space="preserve">                            </w:t>
      </w:r>
      <w:r>
        <w:rPr>
          <w:sz w:val="22"/>
          <w:szCs w:val="22"/>
        </w:rPr>
        <w:t xml:space="preserve">-Spoločnosť nie je materskou účtovnou jednotkou 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  <w:jc w:val="left"/>
      </w:pPr>
      <w:r>
        <w:rPr>
          <w:sz w:val="22"/>
          <w:szCs w:val="22"/>
        </w:rPr>
        <w:t>(3) Priemerný prepočítaný počet zamestnancov</w:t>
      </w:r>
    </w:p>
    <w:p>
      <w:pPr>
        <w:pStyle w:val="style0"/>
        <w:spacing w:after="120" w:before="0" w:line="100" w:lineRule="atLeast"/>
        <w:ind w:hanging="0" w:left="142" w:right="0"/>
        <w:jc w:val="left"/>
      </w:pPr>
      <w:r>
        <w:rPr>
          <w:b/>
          <w:sz w:val="22"/>
          <w:szCs w:val="22"/>
        </w:rPr>
        <w:t>Tabuľka k zamestnancom</w:t>
      </w:r>
    </w:p>
    <w:tbl>
      <w:tblPr>
        <w:jc w:val="left"/>
        <w:tblInd w:type="dxa" w:w="142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4960"/>
        <w:gridCol w:w="2409"/>
        <w:gridCol w:w="2554"/>
      </w:tblGrid>
      <w:tr>
        <w:trPr>
          <w:trHeight w:hRule="atLeast" w:val="558"/>
          <w:cantSplit w:val="false"/>
        </w:trPr>
        <w:tc>
          <w:tcPr>
            <w:tcW w:type="dxa" w:w="49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left"/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type="dxa" w:w="240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type="dxa" w:w="255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49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left"/>
            </w:pPr>
            <w:r>
              <w:rPr/>
              <w:t>Priemerný prepočítaný počet zamestnancov</w:t>
            </w:r>
          </w:p>
        </w:tc>
        <w:tc>
          <w:tcPr>
            <w:tcW w:type="dxa" w:w="240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right"/>
            </w:pPr>
            <w:r>
              <w:rPr/>
              <w:t>2</w:t>
            </w:r>
          </w:p>
        </w:tc>
        <w:tc>
          <w:tcPr>
            <w:tcW w:type="dxa" w:w="255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right"/>
            </w:pPr>
            <w:r>
              <w:rPr/>
              <w:t>2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49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left"/>
            </w:pPr>
            <w:r>
              <w:rPr/>
              <w:t>Stav zamestnancov ku dňu, ku ktorému sa zostavuje účtovná závierka, z toho:</w:t>
            </w:r>
          </w:p>
        </w:tc>
        <w:tc>
          <w:tcPr>
            <w:tcW w:type="dxa" w:w="240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right"/>
            </w:pPr>
            <w:r>
              <w:rPr/>
              <w:t>2</w:t>
            </w:r>
          </w:p>
        </w:tc>
        <w:tc>
          <w:tcPr>
            <w:tcW w:type="dxa" w:w="255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right"/>
            </w:pPr>
            <w:r>
              <w:rPr/>
              <w:t>2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496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left"/>
            </w:pPr>
            <w:r>
              <w:rPr/>
              <w:t>Počet vedúcich zamestnancov</w:t>
            </w:r>
          </w:p>
        </w:tc>
        <w:tc>
          <w:tcPr>
            <w:tcW w:type="dxa" w:w="240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right"/>
            </w:pPr>
            <w:r>
              <w:rPr/>
              <w:t>1</w:t>
            </w:r>
          </w:p>
        </w:tc>
        <w:tc>
          <w:tcPr>
            <w:tcW w:type="dxa" w:w="255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44"/>
              <w:spacing w:after="0" w:before="0"/>
              <w:jc w:val="right"/>
            </w:pPr>
            <w:r>
              <w:rPr/>
              <w:t>1</w:t>
            </w:r>
          </w:p>
        </w:tc>
      </w:tr>
    </w:tbl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pageBreakBefore/>
        <w:spacing w:after="120" w:before="0" w:line="100" w:lineRule="atLeast"/>
      </w:pPr>
      <w:r>
        <w:rPr>
          <w:b/>
          <w:bCs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>
      <w:pPr>
        <w:pStyle w:val="style0"/>
        <w:spacing w:after="120" w:before="0" w:line="100" w:lineRule="atLeast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</w:pPr>
      <w:r>
        <w:rPr>
          <w:sz w:val="22"/>
          <w:szCs w:val="22"/>
        </w:rPr>
        <w:t>(2) Spôsob oceňovania jednotlivých položiek majetku a záväzkov, a to</w:t>
      </w:r>
    </w:p>
    <w:p>
      <w:pPr>
        <w:pStyle w:val="style0"/>
        <w:spacing w:after="120" w:before="0" w:line="100" w:lineRule="atLeast"/>
        <w:ind w:hanging="0" w:left="284" w:right="0"/>
      </w:pPr>
      <w:r>
        <w:rPr>
          <w:sz w:val="22"/>
          <w:szCs w:val="22"/>
        </w:rPr>
        <w:t>a) dlhodobého nehmotného majetku, dlhodobého hmotného majetku a dlhodobého finančného majetku,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  <w:t xml:space="preserve">      </w:t>
      </w:r>
      <w:r>
        <w:rPr>
          <w:sz w:val="22"/>
          <w:szCs w:val="22"/>
        </w:rPr>
        <w:t>- dlhodobý hmotný majetok je ocenený nákupnou cenou.</w:t>
      </w:r>
    </w:p>
    <w:p>
      <w:pPr>
        <w:pStyle w:val="style0"/>
        <w:numPr>
          <w:ilvl w:val="0"/>
          <w:numId w:val="3"/>
        </w:numPr>
        <w:spacing w:after="120" w:before="0" w:line="100" w:lineRule="atLeast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zásob obstaraných kúpou, zásob vytvorených vlastnou činnosťou,</w:t>
      </w:r>
    </w:p>
    <w:p>
      <w:pPr>
        <w:pStyle w:val="style0"/>
        <w:numPr>
          <w:ilvl w:val="0"/>
          <w:numId w:val="4"/>
        </w:numPr>
        <w:spacing w:after="120" w:before="0" w:line="100" w:lineRule="atLeast"/>
      </w:pPr>
      <w:r>
        <w:rPr>
          <w:sz w:val="22"/>
          <w:szCs w:val="22"/>
        </w:rPr>
        <w:t xml:space="preserve">Spoločnosť navykazuje žiadne zásoby </w:t>
      </w:r>
    </w:p>
    <w:p>
      <w:pPr>
        <w:pStyle w:val="style0"/>
        <w:numPr>
          <w:ilvl w:val="0"/>
          <w:numId w:val="3"/>
        </w:numPr>
        <w:spacing w:after="120" w:before="0" w:line="100" w:lineRule="atLeast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pohľadávok,</w:t>
      </w:r>
    </w:p>
    <w:p>
      <w:pPr>
        <w:pStyle w:val="style0"/>
        <w:numPr>
          <w:ilvl w:val="0"/>
          <w:numId w:val="4"/>
        </w:numPr>
        <w:spacing w:after="120" w:before="0" w:line="100" w:lineRule="atLeast"/>
      </w:pPr>
      <w:r>
        <w:rPr>
          <w:sz w:val="22"/>
          <w:szCs w:val="22"/>
        </w:rPr>
        <w:t>pohladávky sú ocenené nominálnou (účtovnou) hodnotou v čase učtovania.</w:t>
      </w:r>
    </w:p>
    <w:p>
      <w:pPr>
        <w:pStyle w:val="style0"/>
        <w:numPr>
          <w:ilvl w:val="0"/>
          <w:numId w:val="3"/>
        </w:numPr>
        <w:spacing w:after="120" w:before="0" w:line="100" w:lineRule="atLeast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krátkodobého finančného majetku,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  <w:t xml:space="preserve">        </w:t>
      </w:r>
      <w:r>
        <w:rPr>
          <w:sz w:val="22"/>
          <w:szCs w:val="22"/>
        </w:rPr>
        <w:t>-krátkodobý finančný majetok je ocenený menovitou hodnotou. Stav pokladne k 31.12.2018 je 7 061,54 Eur.</w:t>
      </w:r>
    </w:p>
    <w:p>
      <w:pPr>
        <w:pStyle w:val="style0"/>
        <w:numPr>
          <w:ilvl w:val="0"/>
          <w:numId w:val="3"/>
        </w:numPr>
        <w:spacing w:after="120" w:before="0" w:line="100" w:lineRule="atLeast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záväzkov vrátane rezerv, dlhopisov, pôžičiek a úverov,</w:t>
      </w:r>
    </w:p>
    <w:p>
      <w:pPr>
        <w:pStyle w:val="style0"/>
        <w:spacing w:after="120" w:before="0" w:line="100" w:lineRule="atLeast"/>
        <w:ind w:hanging="0" w:left="644" w:right="0"/>
      </w:pPr>
      <w:r>
        <w:rPr>
          <w:sz w:val="22"/>
          <w:szCs w:val="22"/>
        </w:rPr>
        <w:t xml:space="preserve">       </w:t>
      </w:r>
      <w:r>
        <w:rPr>
          <w:sz w:val="22"/>
          <w:szCs w:val="22"/>
        </w:rPr>
        <w:t>záväzky sú ocenené nominálnou /účtovnou/ hodnotou v čase účtovania.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  <w:ind w:hanging="0" w:left="284" w:right="0"/>
      </w:pPr>
      <w:r>
        <w:rPr>
          <w:sz w:val="22"/>
          <w:szCs w:val="22"/>
        </w:rPr>
        <w:t>f) derivátových operácií.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  <w:t xml:space="preserve">        </w:t>
      </w:r>
      <w:r>
        <w:rPr>
          <w:sz w:val="22"/>
          <w:szCs w:val="22"/>
        </w:rPr>
        <w:t>Spoločnosť neúčtuje derivátové operácie.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  <w:t>Odpisy su lineárné.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  <w:t>Počas účtovného obdobia neboli zmenené žiadne účtovné metódy.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</w:pPr>
      <w:r>
        <w:rPr>
          <w:sz w:val="22"/>
          <w:szCs w:val="22"/>
        </w:rPr>
        <w:t>(5) Informácie o dotáciách a ich oceňovanie v účtovníctve.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  <w:t>Spoločnosť nedostala žiadne dotácie.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</w:pPr>
      <w:r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  <w:t>Neboli účtované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pageBreakBefore/>
        <w:spacing w:after="120" w:before="0" w:line="100" w:lineRule="atLeast"/>
      </w:pPr>
      <w:r>
        <w:rPr>
          <w:b/>
          <w:bCs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>
      <w:pPr>
        <w:pStyle w:val="style0"/>
        <w:numPr>
          <w:ilvl w:val="0"/>
          <w:numId w:val="2"/>
        </w:numPr>
        <w:spacing w:after="120" w:before="0" w:line="100" w:lineRule="atLeast"/>
        <w:ind w:hanging="0" w:left="0" w:right="0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after="120" w:before="0"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numPr>
          <w:ilvl w:val="0"/>
          <w:numId w:val="2"/>
        </w:numPr>
        <w:spacing w:after="120" w:before="0" w:line="100" w:lineRule="atLeast"/>
        <w:ind w:hanging="0" w:left="0" w:right="0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Informácie o záväzkoch, a to</w:t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a) celkovej sume záväzkov so zostatkovou dobou splatnosti dlhšou ako päť rokov,</w:t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b) celkovej sume zabezpečených záväzkov, opis a spôsoby zabezpečenia záväzkov.</w:t>
      </w:r>
    </w:p>
    <w:p>
      <w:pPr>
        <w:pStyle w:val="style0"/>
        <w:spacing w:after="120" w:before="0" w:line="100" w:lineRule="atLeast"/>
        <w:ind w:hanging="0" w:left="142" w:right="0"/>
      </w:pPr>
      <w:r>
        <w:rPr>
          <w:b/>
          <w:sz w:val="22"/>
          <w:szCs w:val="22"/>
        </w:rPr>
        <w:t>Tabuľka k záväzkom</w:t>
      </w:r>
    </w:p>
    <w:tbl>
      <w:tblPr>
        <w:jc w:val="left"/>
        <w:tblInd w:type="dxa" w:w="142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4161"/>
        <w:gridCol w:w="2813"/>
        <w:gridCol w:w="3196"/>
      </w:tblGrid>
      <w:tr>
        <w:trPr>
          <w:cantSplit w:val="false"/>
        </w:trPr>
        <w:tc>
          <w:tcPr>
            <w:tcW w:type="dxa" w:w="4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120" w:line="100" w:lineRule="atLeast"/>
              <w:jc w:val="left"/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type="dxa" w:w="281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120" w:line="100" w:lineRule="atLeast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type="dxa" w:w="31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120" w:line="100" w:lineRule="atLeast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  <w:br/>
              <w:t>účtovné obdobie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4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type="dxa" w:w="281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  <w:tc>
          <w:tcPr>
            <w:tcW w:type="dxa" w:w="31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4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type="dxa" w:w="281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  <w:t>112468</w:t>
            </w:r>
          </w:p>
        </w:tc>
        <w:tc>
          <w:tcPr>
            <w:tcW w:type="dxa" w:w="31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  <w:t>139883</w:t>
            </w:r>
          </w:p>
        </w:tc>
      </w:tr>
      <w:tr>
        <w:trPr>
          <w:trHeight w:hRule="atLeast" w:val="447"/>
          <w:cantSplit w:val="false"/>
        </w:trPr>
        <w:tc>
          <w:tcPr>
            <w:tcW w:type="dxa" w:w="4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type="dxa" w:w="281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  <w:t>112468</w:t>
            </w:r>
          </w:p>
        </w:tc>
        <w:tc>
          <w:tcPr>
            <w:tcW w:type="dxa" w:w="31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  <w:t>139883</w:t>
            </w:r>
          </w:p>
        </w:tc>
      </w:tr>
      <w:tr>
        <w:trPr>
          <w:cantSplit w:val="false"/>
        </w:trPr>
        <w:tc>
          <w:tcPr>
            <w:tcW w:type="dxa" w:w="4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type="dxa" w:w="281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</w:rPr>
            </w:r>
          </w:p>
        </w:tc>
        <w:tc>
          <w:tcPr>
            <w:tcW w:type="dxa" w:w="31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</w:rPr>
            </w:r>
          </w:p>
        </w:tc>
      </w:tr>
      <w:tr>
        <w:trPr>
          <w:trHeight w:hRule="atLeast" w:val="478"/>
          <w:cantSplit w:val="false"/>
        </w:trPr>
        <w:tc>
          <w:tcPr>
            <w:tcW w:type="dxa" w:w="4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type="dxa" w:w="281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</w:rPr>
            </w:r>
          </w:p>
        </w:tc>
        <w:tc>
          <w:tcPr>
            <w:tcW w:type="dxa" w:w="31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</w:rPr>
            </w:r>
          </w:p>
        </w:tc>
      </w:tr>
      <w:tr>
        <w:trPr>
          <w:trHeight w:hRule="atLeast" w:val="409"/>
          <w:cantSplit w:val="false"/>
        </w:trPr>
        <w:tc>
          <w:tcPr>
            <w:tcW w:type="dxa" w:w="4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type="dxa" w:w="281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type="dxa" w:w="31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</w:r>
          </w:p>
        </w:tc>
      </w:tr>
      <w:tr>
        <w:trPr>
          <w:trHeight w:hRule="atLeast" w:val="409"/>
          <w:cantSplit w:val="false"/>
        </w:trPr>
        <w:tc>
          <w:tcPr>
            <w:tcW w:type="dxa" w:w="4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type="dxa" w:w="281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  <w:t>112468</w:t>
            </w:r>
          </w:p>
        </w:tc>
        <w:tc>
          <w:tcPr>
            <w:tcW w:type="dxa" w:w="31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  <w:t>139883</w:t>
            </w:r>
          </w:p>
        </w:tc>
      </w:tr>
    </w:tbl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180" w:left="180" w:right="0"/>
      </w:pPr>
      <w:r>
        <w:rPr>
          <w:sz w:val="22"/>
          <w:szCs w:val="22"/>
        </w:rPr>
        <w:t>(3) Informácie o vlastných akciách, a to</w:t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a) dôvode nadobudnutia vlastných akcií počas účtovného obdobia,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b) informáciách, ktorými sú</w:t>
      </w:r>
    </w:p>
    <w:p>
      <w:pPr>
        <w:pStyle w:val="style0"/>
        <w:spacing w:line="100" w:lineRule="atLeast"/>
        <w:ind w:hanging="0" w:left="426" w:right="0"/>
      </w:pPr>
      <w:r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style0"/>
        <w:spacing w:line="100" w:lineRule="atLeast"/>
        <w:ind w:hanging="0" w:left="426" w:right="0"/>
      </w:pPr>
      <w:r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>
      <w:pPr>
        <w:pStyle w:val="style0"/>
        <w:spacing w:after="120" w:before="0" w:line="100" w:lineRule="atLeast"/>
        <w:ind w:hanging="0" w:left="142" w:right="0"/>
      </w:pPr>
      <w:r>
        <w:rPr>
          <w:b/>
          <w:sz w:val="22"/>
          <w:szCs w:val="22"/>
        </w:rPr>
        <w:t>Tabuľka k akciám</w:t>
      </w:r>
    </w:p>
    <w:tbl>
      <w:tblPr>
        <w:jc w:val="left"/>
        <w:tblInd w:type="dxa" w:w="142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2555"/>
        <w:gridCol w:w="1726"/>
        <w:gridCol w:w="1963"/>
        <w:gridCol w:w="1963"/>
        <w:gridCol w:w="1964"/>
      </w:tblGrid>
      <w:tr>
        <w:trPr>
          <w:cantSplit w:val="false"/>
        </w:trPr>
        <w:tc>
          <w:tcPr>
            <w:tcW w:type="dxa" w:w="25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120" w:line="100" w:lineRule="atLeast"/>
              <w:jc w:val="left"/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type="dxa" w:w="172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120" w:line="100" w:lineRule="atLeast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type="dxa" w:w="19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120" w:line="100" w:lineRule="atLeast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type="dxa" w:w="19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120" w:before="120" w:line="100" w:lineRule="atLeast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120" w:line="100" w:lineRule="atLeast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  <w:br/>
              <w:t>na upísanom zákl. imaní</w:t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25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type="dxa" w:w="172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  <w:tc>
          <w:tcPr>
            <w:tcW w:type="dxa" w:w="19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  <w:tc>
          <w:tcPr>
            <w:tcW w:type="dxa" w:w="19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</w:tr>
      <w:tr>
        <w:trPr>
          <w:trHeight w:hRule="atLeast" w:val="391"/>
          <w:cantSplit w:val="false"/>
        </w:trPr>
        <w:tc>
          <w:tcPr>
            <w:tcW w:type="dxa" w:w="25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type="dxa" w:w="172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  <w:tc>
          <w:tcPr>
            <w:tcW w:type="dxa" w:w="19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  <w:tc>
          <w:tcPr>
            <w:tcW w:type="dxa" w:w="19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sz w:val="18"/>
                <w:szCs w:val="18"/>
                <w:lang w:eastAsia="sk-SK"/>
              </w:rPr>
            </w:r>
          </w:p>
        </w:tc>
      </w:tr>
      <w:tr>
        <w:trPr>
          <w:trHeight w:hRule="atLeast" w:val="409"/>
          <w:cantSplit w:val="false"/>
        </w:trPr>
        <w:tc>
          <w:tcPr>
            <w:tcW w:type="dxa" w:w="255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left"/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type="dxa" w:w="172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type="dxa" w:w="19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type="dxa" w:w="19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type="dxa" w:w="196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jc w:val="center"/>
            </w:pPr>
            <w:r>
              <w:rPr>
                <w:b/>
                <w:sz w:val="18"/>
                <w:szCs w:val="18"/>
              </w:rPr>
            </w:r>
          </w:p>
        </w:tc>
      </w:tr>
    </w:tbl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180" w:left="180" w:right="0"/>
      </w:pPr>
      <w:r>
        <w:rPr>
          <w:sz w:val="22"/>
          <w:szCs w:val="22"/>
        </w:rPr>
        <w:t>(4) Informácie o orgánoch účtovnej jednotky, a to</w:t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b) pôžičkách poskytnutých členom štatutárneho orgánu, dozorného orgánu a iného orgánu účtovnej jednotky a to</w:t>
      </w:r>
    </w:p>
    <w:p>
      <w:pPr>
        <w:pStyle w:val="style0"/>
        <w:spacing w:line="100" w:lineRule="atLeast"/>
        <w:ind w:hanging="0" w:left="426" w:right="0"/>
      </w:pPr>
      <w:r>
        <w:rPr>
          <w:sz w:val="22"/>
          <w:szCs w:val="22"/>
        </w:rPr>
        <w:t>1. celková suma poskytnutých pôžičiek k poslednému dňu účtovného obdobia v členení za jednotlivé orgány,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  <w:t>2. celková suma splatených pôžičiek k poslednému dňu účtovného obdobia v členení za jednotlivé orgány,</w:t>
      </w:r>
    </w:p>
    <w:p>
      <w:pPr>
        <w:pStyle w:val="style0"/>
        <w:spacing w:line="100" w:lineRule="atLeast"/>
        <w:ind w:hanging="0" w:left="426" w:right="0"/>
      </w:pPr>
      <w:r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</w:pPr>
      <w:r>
        <w:rPr>
          <w:sz w:val="22"/>
          <w:szCs w:val="22"/>
        </w:rPr>
        <w:t>(5) Informácie o povinnostiach účtovnej jednotky, a to</w:t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b) celkovej sume významných podmienených záväzkov, ktorými sa rozumie</w:t>
      </w:r>
    </w:p>
    <w:p>
      <w:pPr>
        <w:pStyle w:val="style0"/>
        <w:spacing w:line="100" w:lineRule="atLeast"/>
        <w:ind w:hanging="0" w:left="426" w:right="0"/>
      </w:pPr>
      <w:r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style0"/>
        <w:spacing w:line="100" w:lineRule="atLeast"/>
        <w:ind w:hanging="0" w:left="426" w:right="0"/>
      </w:pPr>
      <w:r>
        <w:rPr>
          <w:sz w:val="22"/>
          <w:szCs w:val="22"/>
        </w:rPr>
        <w:t>2. existujúca povinnosť, ktorá vznikla ako dôsledok minulej udalosti, ale ktorá sa nevykazuje v súvahe, pretože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  <w:t>2a. nie je pravdepodobné, že na splnenie tejto povinnosti bude potrebný úbytok ekonomických úžitkov, alebo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  <w:t>2b. výška tejto povinnosti sa nedá spoľahlivo oceniť,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c) opise významných finančných povinností a významných podmienených záväzkov,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style0"/>
        <w:spacing w:line="100" w:lineRule="atLeast"/>
        <w:ind w:hanging="0" w:left="567" w:right="0"/>
      </w:pPr>
      <w:r>
        <w:rPr>
          <w:sz w:val="22"/>
          <w:szCs w:val="22"/>
        </w:rPr>
      </w:r>
    </w:p>
    <w:p>
      <w:pPr>
        <w:pStyle w:val="style0"/>
        <w:spacing w:line="100" w:lineRule="atLeast"/>
        <w:ind w:hanging="0" w:left="284" w:right="0"/>
      </w:pPr>
      <w:r>
        <w:rPr>
          <w:sz w:val="22"/>
          <w:szCs w:val="22"/>
        </w:rPr>
        <w:t>e) opise významných povinností účtovnej jednotky vyplývajúcich z dôchodkových programov pre zamestnancov.</w:t>
      </w:r>
    </w:p>
    <w:p>
      <w:pPr>
        <w:pStyle w:val="style0"/>
        <w:spacing w:after="120" w:before="120" w:line="100" w:lineRule="atLeast"/>
        <w:ind w:hanging="0" w:left="567" w:right="0"/>
      </w:pPr>
      <w:r>
        <w:rPr/>
      </w:r>
    </w:p>
    <w:sectPr>
      <w:headerReference r:id="rId2" w:type="default"/>
      <w:footerReference r:id="rId3" w:type="default"/>
      <w:type w:val="nextPage"/>
      <w:pgSz w:h="16838" w:w="11906"/>
      <w:pgMar w:bottom="851" w:footer="373" w:gutter="0" w:header="709" w:left="851" w:right="851" w:top="1560"/>
      <w:pgNumType w:fmt="decimal"/>
      <w:formProt w:val="false"/>
      <w:textDirection w:val="lrTb"/>
      <w:docGrid w:charSpace="8192" w:linePitch="272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 Narrow">
    <w:charset w:val="80"/>
    <w:family w:val="swiss"/>
    <w:pitch w:val="default"/>
  </w:font>
  <w:font w:name="Courier New">
    <w:charset w:val="80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42"/>
      <w:spacing w:after="120" w:before="120"/>
      <w:jc w:val="right"/>
    </w:pPr>
    <w:r>
      <w:rPr>
        <w:rFonts w:ascii="Arial" w:hAnsi="Arial"/>
        <w:szCs w:val="20"/>
      </w:rPr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4</w:t>
    </w:r>
    <w:r>
      <w:fldChar w:fldCharType="end"/>
    </w:r>
    <w:r>
      <w:rPr>
        <w:rFonts w:ascii="Arial" w:hAnsi="Arial"/>
        <w:szCs w:val="20"/>
      </w:rPr>
      <w:t xml:space="preserve"> z </w:t>
    </w:r>
    <w:r>
      <w:rPr/>
      <w:fldChar w:fldCharType="begin"/>
    </w:r>
    <w:r>
      <w:instrText> NUMPAGES </w:instrText>
    </w:r>
    <w:r>
      <w:fldChar w:fldCharType="separate"/>
    </w:r>
    <w:r>
      <w:t>4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47"/>
      <w:spacing w:after="120" w:before="120"/>
      <w:ind w:hanging="0" w:left="0" w:right="360"/>
    </w:pPr>
    <w:r>
      <w:rPr/>
    </w:r>
  </w:p>
  <w:p>
    <w:pPr>
      <w:pStyle w:val="style53"/>
      <w:spacing w:after="120" w:before="0"/>
      <w:ind w:firstLine="1" w:left="0" w:right="0"/>
      <w:jc w:val="left"/>
    </w:pPr>
    <w:r>
      <w:rPr>
        <w:rFonts w:ascii="Arial" w:hAnsi="Arial"/>
        <w:szCs w:val="20"/>
        <w:lang w:val="cs-CZ"/>
      </w:rPr>
      <w:t>Poznámky Úč MÚJ 3 – 01</w:t>
    </w:r>
  </w:p>
</w:hdr>
</file>

<file path=word/numbering.xml><?xml version="1.0" encoding="utf-8"?>
<w:numbering xmlns:w="http://schemas.openxmlformats.org/wordprocessingml/2006/main">
  <w:abstractNum w:abstractNumId="1">
    <w:lvl w:ilvl="0">
      <w:start w:val="1"/>
      <w:numFmt w:val="upperLetter"/>
      <w:lvlText w:val="%1."/>
      <w:lvlJc w:val="left"/>
      <w:pPr>
        <w:tabs>
          <w:tab w:pos="1713" w:val="num"/>
        </w:tabs>
        <w:ind w:hanging="360" w:left="720"/>
      </w:pPr>
      <w:rPr/>
    </w:lvl>
    <w:lvl w:ilvl="1">
      <w:start w:val="1"/>
      <w:numFmt w:val="lowerLetter"/>
      <w:lvlText w:val="%2)"/>
      <w:lvlJc w:val="left"/>
      <w:pPr>
        <w:tabs>
          <w:tab w:pos="2433" w:val="num"/>
        </w:tabs>
        <w:ind w:hanging="360" w:left="1440"/>
      </w:pPr>
      <w:rPr/>
    </w:lvl>
    <w:lvl w:ilvl="2">
      <w:start w:val="1"/>
      <w:numFmt w:val="decimal"/>
      <w:lvlText w:val="%3."/>
      <w:lvlJc w:val="left"/>
      <w:pPr>
        <w:tabs>
          <w:tab w:pos="3333" w:val="num"/>
        </w:tabs>
        <w:ind w:hanging="360" w:left="2340"/>
      </w:pPr>
      <w:rPr/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abstractNum w:abstractNumId="2">
    <w:lvl w:ilvl="0">
      <w:start w:val="1"/>
      <w:numFmt w:val="decimal"/>
      <w:lvlText w:val="(%1)"/>
      <w:lvlJc w:val="left"/>
      <w:pPr>
        <w:ind w:hanging="360" w:left="720"/>
      </w:pPr>
      <w:rPr/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ind w:hanging="360" w:left="644"/>
      </w:pPr>
      <w:rPr/>
    </w:lvl>
    <w:lvl w:ilvl="1">
      <w:start w:val="1"/>
      <w:numFmt w:val="lowerLetter"/>
      <w:lvlText w:val="%2."/>
      <w:lvlJc w:val="left"/>
      <w:pPr>
        <w:ind w:hanging="360" w:left="1364"/>
      </w:pPr>
      <w:rPr/>
    </w:lvl>
    <w:lvl w:ilvl="2">
      <w:start w:val="1"/>
      <w:numFmt w:val="lowerRoman"/>
      <w:lvlText w:val="%3."/>
      <w:lvlJc w:val="right"/>
      <w:pPr>
        <w:ind w:hanging="180" w:left="2084"/>
      </w:pPr>
      <w:rPr/>
    </w:lvl>
    <w:lvl w:ilvl="3">
      <w:start w:val="1"/>
      <w:numFmt w:val="decimal"/>
      <w:lvlText w:val="%4."/>
      <w:lvlJc w:val="left"/>
      <w:pPr>
        <w:ind w:hanging="360" w:left="2804"/>
      </w:pPr>
      <w:rPr/>
    </w:lvl>
    <w:lvl w:ilvl="4">
      <w:start w:val="1"/>
      <w:numFmt w:val="lowerLetter"/>
      <w:lvlText w:val="%5."/>
      <w:lvlJc w:val="left"/>
      <w:pPr>
        <w:ind w:hanging="360" w:left="3524"/>
      </w:pPr>
      <w:rPr/>
    </w:lvl>
    <w:lvl w:ilvl="5">
      <w:start w:val="1"/>
      <w:numFmt w:val="lowerRoman"/>
      <w:lvlText w:val="%6."/>
      <w:lvlJc w:val="right"/>
      <w:pPr>
        <w:ind w:hanging="180" w:left="4244"/>
      </w:pPr>
      <w:rPr/>
    </w:lvl>
    <w:lvl w:ilvl="6">
      <w:start w:val="1"/>
      <w:numFmt w:val="decimal"/>
      <w:lvlText w:val="%7."/>
      <w:lvlJc w:val="left"/>
      <w:pPr>
        <w:ind w:hanging="360" w:left="4964"/>
      </w:pPr>
      <w:rPr/>
    </w:lvl>
    <w:lvl w:ilvl="7">
      <w:start w:val="1"/>
      <w:numFmt w:val="lowerLetter"/>
      <w:lvlText w:val="%8."/>
      <w:lvlJc w:val="left"/>
      <w:pPr>
        <w:ind w:hanging="360" w:left="5684"/>
      </w:pPr>
      <w:rPr/>
    </w:lvl>
    <w:lvl w:ilvl="8">
      <w:start w:val="1"/>
      <w:numFmt w:val="lowerRoman"/>
      <w:lvlText w:val="%9."/>
      <w:lvlJc w:val="right"/>
      <w:pPr>
        <w:ind w:hanging="180" w:left="6404"/>
      </w:pPr>
      <w:rPr/>
    </w:lvl>
  </w:abstractNum>
  <w:abstractNum w:abstractNumId="4">
    <w:lvl w:ilvl="0">
      <w:start w:val="1"/>
      <w:numFmt w:val="bullet"/>
      <w:lvlText w:val="-"/>
      <w:lvlJc w:val="left"/>
      <w:pPr>
        <w:ind w:hanging="360" w:left="1257"/>
      </w:pPr>
      <w:rPr>
        <w:rFonts w:ascii="Arial Narrow" w:cs="Arial Narrow" w:hAnsi="Arial Narrow" w:hint="default"/>
      </w:rPr>
    </w:lvl>
    <w:lvl w:ilvl="1">
      <w:start w:val="1"/>
      <w:numFmt w:val="bullet"/>
      <w:lvlText w:val="o"/>
      <w:lvlJc w:val="left"/>
      <w:pPr>
        <w:ind w:hanging="360" w:left="1977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697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3417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4137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857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577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6297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7017"/>
      </w:pPr>
      <w:rPr>
        <w:rFonts w:ascii="Wingdings" w:cs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>
        <w:tab w:leader="none" w:pos="709" w:val="left"/>
      </w:tabs>
      <w:suppressAutoHyphens w:val="true"/>
      <w:spacing w:after="120" w:before="120" w:line="360" w:lineRule="auto"/>
      <w:jc w:val="both"/>
    </w:pPr>
    <w:rPr>
      <w:rFonts w:ascii="Arial Narrow" w:cs="Arial" w:eastAsia="Times New Roman" w:hAnsi="Arial Narrow"/>
      <w:color w:val="auto"/>
      <w:sz w:val="20"/>
      <w:szCs w:val="24"/>
      <w:lang w:bidi="ar-SA" w:eastAsia="cs-CZ" w:val="sk-SK"/>
    </w:rPr>
  </w:style>
  <w:style w:styleId="style1" w:type="paragraph">
    <w:name w:val="Nadpis 1"/>
    <w:basedOn w:val="style0"/>
    <w:next w:val="style33"/>
    <w:pPr>
      <w:keepNext/>
      <w:spacing w:line="100" w:lineRule="atLeast"/>
      <w:jc w:val="center"/>
    </w:pPr>
    <w:rPr>
      <w:b/>
      <w:bCs/>
      <w:lang w:eastAsia="sk-SK"/>
    </w:rPr>
  </w:style>
  <w:style w:styleId="style2" w:type="paragraph">
    <w:name w:val="Nadpis 2"/>
    <w:basedOn w:val="style0"/>
    <w:next w:val="style33"/>
    <w:pPr>
      <w:keepNext/>
      <w:numPr>
        <w:ilvl w:val="0"/>
        <w:numId w:val="1"/>
      </w:numPr>
      <w:spacing w:after="60" w:before="240"/>
    </w:pPr>
    <w:rPr>
      <w:b/>
      <w:bCs/>
      <w:i/>
      <w:iCs/>
      <w:sz w:val="28"/>
      <w:szCs w:val="28"/>
    </w:rPr>
  </w:style>
  <w:style w:styleId="style3" w:type="paragraph">
    <w:name w:val="Nadpis 3"/>
    <w:basedOn w:val="style0"/>
    <w:next w:val="style33"/>
    <w:pPr>
      <w:keepNext/>
      <w:numPr>
        <w:ilvl w:val="0"/>
        <w:numId w:val="1"/>
      </w:numPr>
      <w:spacing w:after="60" w:before="240"/>
    </w:pPr>
    <w:rPr>
      <w:rFonts w:ascii="Cambria" w:cs="Times New Roman" w:hAnsi="Cambria"/>
      <w:b/>
      <w:bCs/>
      <w:sz w:val="26"/>
      <w:szCs w:val="26"/>
    </w:rPr>
  </w:style>
  <w:style w:styleId="style15" w:type="character">
    <w:name w:val="Default Paragraph Font"/>
    <w:next w:val="style15"/>
    <w:rPr/>
  </w:style>
  <w:style w:styleId="style16" w:type="character">
    <w:name w:val="Címsor 1 Char"/>
    <w:next w:val="style16"/>
    <w:rPr>
      <w:rFonts w:ascii="Cambria" w:cs="Times New Roman" w:eastAsia="Times New Roman" w:hAnsi="Cambria"/>
      <w:b/>
      <w:bCs/>
      <w:sz w:val="32"/>
      <w:szCs w:val="32"/>
      <w:lang w:eastAsia="cs-CZ"/>
    </w:rPr>
  </w:style>
  <w:style w:styleId="style17" w:type="character">
    <w:name w:val="Címsor 2 Char"/>
    <w:next w:val="style17"/>
    <w:rPr>
      <w:rFonts w:ascii="Cambria" w:cs="Times New Roman" w:eastAsia="Times New Roman" w:hAnsi="Cambria"/>
      <w:b/>
      <w:bCs/>
      <w:i/>
      <w:iCs/>
      <w:sz w:val="28"/>
      <w:szCs w:val="28"/>
      <w:lang w:eastAsia="cs-CZ"/>
    </w:rPr>
  </w:style>
  <w:style w:styleId="style18" w:type="character">
    <w:name w:val="Címsor 3 Char"/>
    <w:next w:val="style18"/>
    <w:rPr>
      <w:rFonts w:ascii="Cambria" w:cs="Times New Roman" w:eastAsia="Times New Roman" w:hAnsi="Cambria"/>
      <w:b/>
      <w:bCs/>
      <w:sz w:val="26"/>
      <w:szCs w:val="26"/>
      <w:lang w:eastAsia="cs-CZ"/>
    </w:rPr>
  </w:style>
  <w:style w:styleId="style19" w:type="character">
    <w:name w:val="Štýl Štýl § názov Char + 115 pt + Antique Olive Nie je Tučné"/>
    <w:next w:val="style19"/>
    <w:rPr>
      <w:rFonts w:ascii="Arial" w:cs="Arial" w:hAnsi="Arial"/>
      <w:b/>
      <w:bCs/>
      <w:sz w:val="20"/>
      <w:szCs w:val="20"/>
      <w:lang w:eastAsia="sk-SK" w:val="sk-SK"/>
    </w:rPr>
  </w:style>
  <w:style w:styleId="style20" w:type="character">
    <w:name w:val="Élőláb Char"/>
    <w:next w:val="style20"/>
    <w:rPr>
      <w:rFonts w:ascii="Arial" w:cs="Arial" w:hAnsi="Arial"/>
      <w:sz w:val="24"/>
      <w:szCs w:val="24"/>
      <w:lang w:eastAsia="cs-CZ"/>
    </w:rPr>
  </w:style>
  <w:style w:styleId="style21" w:type="character">
    <w:name w:val="page number"/>
    <w:next w:val="style21"/>
    <w:rPr>
      <w:rFonts w:cs="Times New Roman"/>
    </w:rPr>
  </w:style>
  <w:style w:styleId="style22" w:type="character">
    <w:name w:val="Silné zvýraznenie"/>
    <w:next w:val="style22"/>
    <w:rPr>
      <w:rFonts w:cs="Times New Roman"/>
      <w:b/>
      <w:bCs/>
    </w:rPr>
  </w:style>
  <w:style w:styleId="style23" w:type="character">
    <w:name w:val="Buborékszöveg Char"/>
    <w:next w:val="style23"/>
    <w:rPr>
      <w:rFonts w:ascii="Tahoma" w:cs="Tahoma" w:hAnsi="Tahoma"/>
      <w:sz w:val="16"/>
      <w:szCs w:val="16"/>
      <w:lang w:eastAsia="cs-CZ"/>
    </w:rPr>
  </w:style>
  <w:style w:styleId="style24" w:type="character">
    <w:name w:val="Élőfej Char"/>
    <w:next w:val="style24"/>
    <w:rPr>
      <w:rFonts w:ascii="Arial Narrow" w:cs="Arial" w:hAnsi="Arial Narrow"/>
      <w:sz w:val="24"/>
      <w:szCs w:val="24"/>
      <w:lang w:eastAsia="cs-CZ"/>
    </w:rPr>
  </w:style>
  <w:style w:styleId="style25" w:type="character">
    <w:name w:val="ListLabel 1"/>
    <w:next w:val="style25"/>
    <w:rPr>
      <w:rFonts w:cs="Arial"/>
      <w:b/>
      <w:bCs/>
      <w:i w:val="false"/>
      <w:iCs w:val="false"/>
      <w:sz w:val="24"/>
      <w:szCs w:val="24"/>
    </w:rPr>
  </w:style>
  <w:style w:styleId="style26" w:type="character">
    <w:name w:val="ListLabel 2"/>
    <w:next w:val="style26"/>
    <w:rPr>
      <w:rFonts w:cs="Times New Roman"/>
      <w:b/>
      <w:bCs/>
      <w:i w:val="false"/>
      <w:iCs w:val="false"/>
    </w:rPr>
  </w:style>
  <w:style w:styleId="style27" w:type="character">
    <w:name w:val="ListLabel 3"/>
    <w:next w:val="style27"/>
    <w:rPr>
      <w:rFonts w:cs="Times New Roman"/>
    </w:rPr>
  </w:style>
  <w:style w:styleId="style28" w:type="character">
    <w:name w:val="ListLabel 4"/>
    <w:next w:val="style28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styleId="style29" w:type="character">
    <w:name w:val="ListLabel 5"/>
    <w:next w:val="style29"/>
    <w:rPr>
      <w:rFonts w:cs="Arial Narrow" w:eastAsia="Times New Roman"/>
    </w:rPr>
  </w:style>
  <w:style w:styleId="style30" w:type="character">
    <w:name w:val="ListLabel 6"/>
    <w:next w:val="style30"/>
    <w:rPr>
      <w:rFonts w:cs="Courier New"/>
    </w:rPr>
  </w:style>
  <w:style w:styleId="style31" w:type="character">
    <w:name w:val="ListLabel 7"/>
    <w:next w:val="style31"/>
    <w:rPr>
      <w:rFonts w:cs="Arial" w:eastAsia="Times New Roman"/>
    </w:rPr>
  </w:style>
  <w:style w:styleId="style32" w:type="paragraph">
    <w:name w:val="Nadpis"/>
    <w:basedOn w:val="style0"/>
    <w:next w:val="style33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33" w:type="paragraph">
    <w:name w:val="Telo textu"/>
    <w:basedOn w:val="style0"/>
    <w:next w:val="style33"/>
    <w:pPr>
      <w:spacing w:after="120" w:before="0"/>
    </w:pPr>
    <w:rPr/>
  </w:style>
  <w:style w:styleId="style34" w:type="paragraph">
    <w:name w:val="Zoznam"/>
    <w:basedOn w:val="style33"/>
    <w:next w:val="style34"/>
    <w:pPr/>
    <w:rPr>
      <w:rFonts w:cs="Mangal"/>
    </w:rPr>
  </w:style>
  <w:style w:styleId="style35" w:type="paragraph">
    <w:name w:val="Popis"/>
    <w:basedOn w:val="style0"/>
    <w:next w:val="style35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36" w:type="paragraph">
    <w:name w:val="Index"/>
    <w:basedOn w:val="style0"/>
    <w:next w:val="style36"/>
    <w:pPr>
      <w:suppressLineNumbers/>
    </w:pPr>
    <w:rPr>
      <w:rFonts w:cs="Mangal"/>
    </w:rPr>
  </w:style>
  <w:style w:styleId="style37" w:type="paragraph">
    <w:name w:val="Štýl 11 pt Tučné Čierna Podľa okraja Vľavo:  019 cm Riadkova..."/>
    <w:next w:val="style37"/>
    <w:pPr>
      <w:widowControl/>
      <w:tabs>
        <w:tab w:leader="none" w:pos="709" w:val="left"/>
      </w:tabs>
      <w:suppressAutoHyphens w:val="true"/>
      <w:spacing w:line="360" w:lineRule="auto"/>
      <w:jc w:val="both"/>
    </w:pPr>
    <w:rPr>
      <w:rFonts w:ascii="Arial" w:cs="Arial" w:eastAsia="Times New Roman" w:hAnsi="Arial"/>
      <w:color w:val="000000"/>
      <w:sz w:val="24"/>
      <w:szCs w:val="24"/>
      <w:lang w:bidi="ar-SA" w:eastAsia="cs-CZ" w:val="sk-SK"/>
    </w:rPr>
  </w:style>
  <w:style w:styleId="style38" w:type="paragraph">
    <w:name w:val="Štýl Podľa okraja Vľavo:  019 cm Riadkovanie:  15 riadka"/>
    <w:basedOn w:val="style0"/>
    <w:next w:val="style38"/>
    <w:pPr>
      <w:ind w:hanging="0" w:left="108" w:right="0"/>
    </w:pPr>
    <w:rPr/>
  </w:style>
  <w:style w:styleId="style39" w:type="paragraph">
    <w:name w:val="Bod odôvodnenie"/>
    <w:next w:val="style39"/>
    <w:pPr>
      <w:widowControl/>
      <w:numPr>
        <w:ilvl w:val="0"/>
        <w:numId w:val="1"/>
      </w:numPr>
      <w:tabs>
        <w:tab w:leader="none" w:pos="709" w:val="left"/>
      </w:tabs>
      <w:suppressAutoHyphens w:val="true"/>
      <w:spacing w:after="120" w:before="120"/>
    </w:pPr>
    <w:rPr>
      <w:rFonts w:ascii="Arial" w:cs="Arial" w:eastAsia="Times New Roman" w:hAnsi="Arial"/>
      <w:b/>
      <w:bCs/>
      <w:color w:val="auto"/>
      <w:sz w:val="24"/>
      <w:szCs w:val="24"/>
      <w:lang w:bidi="ar-SA" w:eastAsia="cs-CZ" w:val="sk-SK"/>
    </w:rPr>
  </w:style>
  <w:style w:styleId="style40" w:type="paragraph">
    <w:name w:val="Štýl Arial Podľa okraja"/>
    <w:next w:val="style40"/>
    <w:pPr>
      <w:widowControl/>
      <w:tabs>
        <w:tab w:leader="none" w:pos="709" w:val="left"/>
      </w:tabs>
      <w:suppressAutoHyphens w:val="true"/>
      <w:jc w:val="both"/>
    </w:pPr>
    <w:rPr>
      <w:rFonts w:ascii="Arial" w:cs="Arial" w:eastAsia="Times New Roman" w:hAnsi="Arial"/>
      <w:color w:val="auto"/>
      <w:sz w:val="16"/>
      <w:szCs w:val="16"/>
      <w:lang w:bidi="ar-SA" w:eastAsia="cs-CZ" w:val="sk-SK"/>
    </w:rPr>
  </w:style>
  <w:style w:styleId="style41" w:type="paragraph">
    <w:name w:val="Text poznámky"/>
    <w:basedOn w:val="style0"/>
    <w:next w:val="style41"/>
    <w:pPr>
      <w:numPr>
        <w:ilvl w:val="0"/>
        <w:numId w:val="1"/>
      </w:numPr>
      <w:spacing w:line="100" w:lineRule="atLeast"/>
    </w:pPr>
    <w:rPr/>
  </w:style>
  <w:style w:styleId="style42" w:type="paragraph">
    <w:name w:val="Päta"/>
    <w:basedOn w:val="style0"/>
    <w:next w:val="style42"/>
    <w:pPr>
      <w:suppressLineNumbers/>
      <w:tabs>
        <w:tab w:leader="none" w:pos="4536" w:val="center"/>
        <w:tab w:leader="none" w:pos="9072" w:val="right"/>
      </w:tabs>
    </w:pPr>
    <w:rPr/>
  </w:style>
  <w:style w:styleId="style43" w:type="paragraph">
    <w:name w:val="Normálny1"/>
    <w:next w:val="style43"/>
    <w:pPr>
      <w:widowControl/>
      <w:tabs>
        <w:tab w:leader="none" w:pos="709" w:val="left"/>
      </w:tabs>
      <w:suppressAutoHyphens w:val="true"/>
      <w:spacing w:after="120" w:before="120" w:line="360" w:lineRule="auto"/>
      <w:ind w:firstLine="709" w:left="0" w:right="0"/>
      <w:jc w:val="both"/>
    </w:pPr>
    <w:rPr>
      <w:rFonts w:ascii="Arial" w:cs="Arial" w:eastAsia="Times New Roman" w:hAnsi="Arial"/>
      <w:color w:val="auto"/>
      <w:sz w:val="24"/>
      <w:szCs w:val="24"/>
      <w:lang w:bidi="ar-SA" w:eastAsia="cs-CZ" w:val="sk-SK"/>
    </w:rPr>
  </w:style>
  <w:style w:styleId="style44" w:type="paragraph">
    <w:name w:val="Text opatrenia"/>
    <w:next w:val="style44"/>
    <w:pPr>
      <w:widowControl/>
      <w:tabs>
        <w:tab w:leader="none" w:pos="709" w:val="left"/>
      </w:tabs>
      <w:suppressAutoHyphens w:val="true"/>
      <w:spacing w:after="120" w:before="120"/>
      <w:jc w:val="both"/>
    </w:pPr>
    <w:rPr>
      <w:rFonts w:ascii="Arial Narrow" w:cs="Arial" w:eastAsia="Times New Roman" w:hAnsi="Arial Narrow"/>
      <w:color w:val="auto"/>
      <w:sz w:val="22"/>
      <w:szCs w:val="22"/>
      <w:lang w:bidi="ar-SA" w:eastAsia="cs-CZ" w:val="sk-SK"/>
    </w:rPr>
  </w:style>
  <w:style w:styleId="style45" w:type="paragraph">
    <w:name w:val="Top Header"/>
    <w:basedOn w:val="style0"/>
    <w:next w:val="style45"/>
    <w:pPr>
      <w:spacing w:after="0" w:before="0" w:line="100" w:lineRule="atLeast"/>
      <w:jc w:val="center"/>
    </w:pPr>
    <w:rPr>
      <w:rFonts w:cs="Times New Roman"/>
      <w:b/>
      <w:bCs/>
      <w:sz w:val="22"/>
      <w:szCs w:val="22"/>
      <w:lang w:eastAsia="en-US"/>
    </w:rPr>
  </w:style>
  <w:style w:styleId="style46" w:type="paragraph">
    <w:name w:val="Balloon Text"/>
    <w:basedOn w:val="style0"/>
    <w:next w:val="style46"/>
    <w:pPr>
      <w:spacing w:after="0" w:before="0" w:line="100" w:lineRule="atLeast"/>
    </w:pPr>
    <w:rPr>
      <w:rFonts w:ascii="Tahoma" w:cs="Tahoma" w:hAnsi="Tahoma"/>
      <w:sz w:val="16"/>
      <w:szCs w:val="16"/>
    </w:rPr>
  </w:style>
  <w:style w:styleId="style47" w:type="paragraph">
    <w:name w:val="Hlavička"/>
    <w:basedOn w:val="style0"/>
    <w:next w:val="style47"/>
    <w:pPr>
      <w:suppressLineNumbers/>
      <w:tabs>
        <w:tab w:leader="none" w:pos="4536" w:val="center"/>
        <w:tab w:leader="none" w:pos="9072" w:val="right"/>
      </w:tabs>
    </w:pPr>
    <w:rPr/>
  </w:style>
  <w:style w:styleId="style48" w:type="paragraph">
    <w:name w:val="Styl1"/>
    <w:basedOn w:val="style1"/>
    <w:next w:val="style48"/>
    <w:pPr>
      <w:numPr>
        <w:ilvl w:val="0"/>
        <w:numId w:val="1"/>
      </w:numPr>
      <w:tabs>
        <w:tab w:leader="none" w:pos="1440" w:val="left"/>
        <w:tab w:leader="none" w:pos="2149" w:val="left"/>
      </w:tabs>
      <w:spacing w:after="0" w:before="0"/>
      <w:ind w:hanging="0" w:left="720" w:right="0"/>
      <w:jc w:val="left"/>
      <w:outlineLvl w:val="0"/>
    </w:pPr>
    <w:rPr>
      <w:rFonts w:cs="Arial Narrow"/>
      <w:sz w:val="22"/>
      <w:szCs w:val="22"/>
      <w:lang w:eastAsia="cs-CZ"/>
    </w:rPr>
  </w:style>
  <w:style w:styleId="style49" w:type="paragraph">
    <w:name w:val="Normal"/>
    <w:next w:val="style49"/>
    <w:pPr>
      <w:widowControl/>
      <w:tabs>
        <w:tab w:leader="none" w:pos="709" w:val="left"/>
      </w:tabs>
      <w:suppressAutoHyphens w:val="true"/>
    </w:pPr>
    <w:rPr>
      <w:rFonts w:ascii="Times New Roman" w:cs="Times New Roman" w:eastAsia="Times New Roman" w:hAnsi="Times New Roman"/>
      <w:color w:val="000000"/>
      <w:sz w:val="24"/>
      <w:szCs w:val="24"/>
      <w:lang w:bidi="ar-SA" w:eastAsia="sk-SK" w:val="sk-SK"/>
    </w:rPr>
  </w:style>
  <w:style w:styleId="style50" w:type="paragraph">
    <w:name w:val="Styl2"/>
    <w:basedOn w:val="style2"/>
    <w:next w:val="style50"/>
    <w:pPr>
      <w:numPr>
        <w:ilvl w:val="1"/>
        <w:numId w:val="1"/>
      </w:numPr>
      <w:tabs>
        <w:tab w:leader="none" w:pos="2880" w:val="left"/>
        <w:tab w:leader="none" w:pos="3589" w:val="left"/>
      </w:tabs>
      <w:spacing w:after="0" w:before="0" w:line="100" w:lineRule="atLeast"/>
      <w:ind w:hanging="0" w:left="1440" w:right="0"/>
      <w:jc w:val="left"/>
      <w:outlineLvl w:val="1"/>
    </w:pPr>
    <w:rPr>
      <w:rFonts w:cs="Arial Narrow"/>
      <w:sz w:val="20"/>
      <w:szCs w:val="20"/>
    </w:rPr>
  </w:style>
  <w:style w:styleId="style51" w:type="paragraph">
    <w:name w:val="Styl3"/>
    <w:basedOn w:val="style3"/>
    <w:next w:val="style51"/>
    <w:pPr>
      <w:numPr>
        <w:ilvl w:val="2"/>
        <w:numId w:val="1"/>
      </w:numPr>
      <w:tabs>
        <w:tab w:leader="none" w:pos="4680" w:val="left"/>
        <w:tab w:leader="none" w:pos="5389" w:val="left"/>
      </w:tabs>
      <w:spacing w:after="0" w:before="0" w:line="100" w:lineRule="atLeast"/>
      <w:ind w:hanging="0" w:left="2340" w:right="0"/>
      <w:jc w:val="center"/>
      <w:outlineLvl w:val="2"/>
    </w:pPr>
    <w:rPr>
      <w:rFonts w:ascii="Arial Narrow" w:cs="Arial Narrow" w:hAnsi="Arial Narrow"/>
      <w:caps/>
      <w:sz w:val="18"/>
      <w:szCs w:val="18"/>
    </w:rPr>
  </w:style>
  <w:style w:styleId="style52" w:type="paragraph">
    <w:name w:val="List Paragraph"/>
    <w:basedOn w:val="style0"/>
    <w:next w:val="style52"/>
    <w:pPr>
      <w:ind w:hanging="0" w:left="708" w:right="0"/>
    </w:pPr>
    <w:rPr/>
  </w:style>
  <w:style w:styleId="style53" w:type="paragraph">
    <w:name w:val="Obsah rámca"/>
    <w:basedOn w:val="style33"/>
    <w:next w:val="style53"/>
    <w:pPr/>
    <w:rPr/>
  </w:style>
  <w:style w:styleId="style54" w:type="paragraph">
    <w:name w:val="Obsah tabuľky"/>
    <w:basedOn w:val="style0"/>
    <w:next w:val="style54"/>
    <w:pPr>
      <w:suppressLineNumbers/>
    </w:pPr>
    <w:rPr/>
  </w:style>
  <w:style w:styleId="style55" w:type="paragraph">
    <w:name w:val="Nadpis tabuľky"/>
    <w:basedOn w:val="style54"/>
    <w:next w:val="style55"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2018-06-12T12:03:00.00Z</dcterms:created>
  <dc:creator>Rastislav.Burza@csw.sk</dc:creator>
  <dc:description>&gt;</dc:description>
  <cp:lastModifiedBy>Komtrax</cp:lastModifiedBy>
  <cp:lastPrinted>2014-01-07T07:24:00.00Z</cp:lastPrinted>
  <dcterms:modified xsi:type="dcterms:W3CDTF">2018-06-12T12:03:00.00Z</dcterms:modified>
  <cp:revision>2</cp:revision>
  <dc:title>Poznámky Úč MÚJ</dc:title>
</cp:coreProperties>
</file>