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bookmarkStart w:id="0" w:name="_GoBack"/>
      <w:bookmarkEnd w:id="0"/>
      <w:r>
        <w:rPr>
          <w:color w:val="auto"/>
        </w:rPr>
        <w:t xml:space="preserve"> </w:t>
      </w:r>
      <w:r>
        <w:rPr>
          <w:b/>
          <w:bCs/>
          <w:color w:val="auto"/>
          <w:sz w:val="23"/>
          <w:szCs w:val="23"/>
        </w:rPr>
        <w:t xml:space="preserve">Čl. I </w:t>
      </w: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b/>
          <w:bCs/>
          <w:color w:val="auto"/>
          <w:sz w:val="23"/>
          <w:szCs w:val="23"/>
        </w:rPr>
        <w:t xml:space="preserve">Všeobecné údaje </w:t>
      </w: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(1) Názov právnickej osoby a jej sídlo alebo meno a priezvisko fyzickej osoby. </w:t>
      </w:r>
    </w:p>
    <w:p w:rsidR="005D536A" w:rsidRPr="00902D97" w:rsidRDefault="00902D97" w:rsidP="005D536A">
      <w:pPr>
        <w:pStyle w:val="Default"/>
        <w:jc w:val="both"/>
        <w:rPr>
          <w:b/>
          <w:color w:val="auto"/>
          <w:sz w:val="23"/>
          <w:szCs w:val="23"/>
        </w:rPr>
      </w:pPr>
      <w:r w:rsidRPr="00902D97">
        <w:rPr>
          <w:b/>
          <w:color w:val="auto"/>
          <w:sz w:val="23"/>
          <w:szCs w:val="23"/>
        </w:rPr>
        <w:t>M. J. – Ideal Trade, s.r.o.</w:t>
      </w:r>
    </w:p>
    <w:p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(2) Údaje o konsolidovanom celku, a to </w:t>
      </w:r>
    </w:p>
    <w:p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a) obchodné meno a sídlo konsolidujúcej účtovnej jednotky, ktorá zostavuje konsolidovanú účtovnú závierku za tú skupinu účtovných jednotiek konsolidovaného celku, ktorého súčasťou je aj účtovná jednotka; uvádza sa aj obchodné meno a sídlo účtovnej jednotky, ktorá je bezprostredne konsolidujúcou účtovnou jednotkou, </w:t>
      </w:r>
    </w:p>
    <w:p w:rsidR="00536B52" w:rsidRDefault="00536B5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:rsidR="00536B52" w:rsidRPr="00902D97" w:rsidRDefault="00902D97" w:rsidP="005D536A">
      <w:pPr>
        <w:pStyle w:val="Default"/>
        <w:spacing w:after="27"/>
        <w:jc w:val="both"/>
        <w:rPr>
          <w:b/>
          <w:color w:val="auto"/>
          <w:sz w:val="23"/>
          <w:szCs w:val="23"/>
        </w:rPr>
      </w:pPr>
      <w:r>
        <w:rPr>
          <w:b/>
          <w:color w:val="auto"/>
          <w:sz w:val="23"/>
          <w:szCs w:val="23"/>
        </w:rPr>
        <w:t>Spoločnosť nie je konsolidovaná.</w:t>
      </w:r>
    </w:p>
    <w:p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b) údaj, či účtovná jednotka je materskou účtovnou jednotkou a údaj, či je oslobodená od povinnosti zostaviť konsolidovanú účtovnú závierku a konsolidovanú výročnú správu podľa § 22 zákona, pričom sa uvádzajú </w:t>
      </w:r>
    </w:p>
    <w:p w:rsidR="00536B52" w:rsidRDefault="00536B5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spacing w:after="27"/>
        <w:jc w:val="both"/>
        <w:rPr>
          <w:color w:val="auto"/>
          <w:sz w:val="16"/>
          <w:szCs w:val="16"/>
        </w:rPr>
      </w:pPr>
      <w:r>
        <w:rPr>
          <w:color w:val="auto"/>
          <w:sz w:val="23"/>
          <w:szCs w:val="23"/>
        </w:rPr>
        <w:t>1. pri oslobodení podľa § 22 ods. 8 zákona obchodné meno a sídlo materskej účtovnej jednotky zostavujúcej konsolidovanú účtovnú závierku podľa osobitných predpisov,</w:t>
      </w:r>
      <w:r>
        <w:rPr>
          <w:color w:val="auto"/>
          <w:sz w:val="16"/>
          <w:szCs w:val="16"/>
        </w:rPr>
        <w:t xml:space="preserve">4) </w:t>
      </w:r>
    </w:p>
    <w:p w:rsidR="00536B52" w:rsidRDefault="00536B52" w:rsidP="005D536A">
      <w:pPr>
        <w:pStyle w:val="Default"/>
        <w:spacing w:after="27"/>
        <w:jc w:val="both"/>
        <w:rPr>
          <w:color w:val="auto"/>
          <w:sz w:val="16"/>
          <w:szCs w:val="16"/>
        </w:rPr>
      </w:pPr>
    </w:p>
    <w:p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p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2. pri oslobodení podľa § 22 ods. 12 zákona obchodné meno a sídlo dcérskych účtovných jednotiek. </w:t>
      </w: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</w:p>
    <w:tbl>
      <w:tblPr>
        <w:tblW w:w="9184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592"/>
        <w:gridCol w:w="4592"/>
      </w:tblGrid>
      <w:tr w:rsidR="008420B2" w:rsidRPr="00536B52" w:rsidTr="008420B2">
        <w:trPr>
          <w:trHeight w:val="283"/>
          <w:jc w:val="center"/>
        </w:trPr>
        <w:tc>
          <w:tcPr>
            <w:tcW w:w="459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Obchodné meno dcérskej spoločnosti</w:t>
            </w:r>
          </w:p>
        </w:tc>
        <w:tc>
          <w:tcPr>
            <w:tcW w:w="459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Sídlo dcérskej spoločnosti</w:t>
            </w:r>
          </w:p>
        </w:tc>
      </w:tr>
      <w:tr w:rsidR="008420B2" w:rsidRPr="00536B52" w:rsidTr="008420B2">
        <w:trPr>
          <w:trHeight w:val="283"/>
          <w:jc w:val="center"/>
        </w:trPr>
        <w:tc>
          <w:tcPr>
            <w:tcW w:w="459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ind w:firstLineChars="100" w:firstLine="220"/>
              <w:rPr>
                <w:rFonts w:eastAsia="Times New Roman"/>
                <w:bCs/>
                <w:lang w:eastAsia="sk-SK"/>
              </w:rPr>
            </w:pPr>
            <w:r w:rsidRPr="00536B52">
              <w:rPr>
                <w:rFonts w:eastAsia="Times New Roman"/>
                <w:bCs/>
                <w:sz w:val="22"/>
                <w:lang w:eastAsia="sk-SK"/>
              </w:rPr>
              <w:t> </w:t>
            </w:r>
          </w:p>
        </w:tc>
        <w:tc>
          <w:tcPr>
            <w:tcW w:w="4592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536B5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8420B2" w:rsidRPr="00536B52" w:rsidTr="008420B2">
        <w:trPr>
          <w:trHeight w:val="283"/>
          <w:jc w:val="center"/>
        </w:trPr>
        <w:tc>
          <w:tcPr>
            <w:tcW w:w="459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ind w:firstLineChars="100" w:firstLine="220"/>
              <w:rPr>
                <w:rFonts w:eastAsia="Times New Roman"/>
                <w:bCs/>
                <w:lang w:eastAsia="sk-SK"/>
              </w:rPr>
            </w:pPr>
            <w:r w:rsidRPr="00536B52">
              <w:rPr>
                <w:rFonts w:eastAsia="Times New Roman"/>
                <w:bCs/>
                <w:sz w:val="22"/>
                <w:lang w:eastAsia="sk-SK"/>
              </w:rPr>
              <w:t> </w:t>
            </w:r>
          </w:p>
        </w:tc>
        <w:tc>
          <w:tcPr>
            <w:tcW w:w="45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536B5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8420B2" w:rsidRPr="00536B52" w:rsidTr="008420B2">
        <w:trPr>
          <w:trHeight w:val="283"/>
          <w:jc w:val="center"/>
        </w:trPr>
        <w:tc>
          <w:tcPr>
            <w:tcW w:w="459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ind w:firstLineChars="100" w:firstLine="220"/>
              <w:rPr>
                <w:rFonts w:eastAsia="Times New Roman"/>
                <w:bCs/>
                <w:lang w:eastAsia="sk-SK"/>
              </w:rPr>
            </w:pPr>
            <w:r w:rsidRPr="00536B52">
              <w:rPr>
                <w:rFonts w:eastAsia="Times New Roman"/>
                <w:bCs/>
                <w:sz w:val="22"/>
                <w:lang w:eastAsia="sk-SK"/>
              </w:rPr>
              <w:t> </w:t>
            </w:r>
          </w:p>
        </w:tc>
        <w:tc>
          <w:tcPr>
            <w:tcW w:w="45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536B5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8420B2" w:rsidRPr="00536B52" w:rsidTr="008420B2">
        <w:trPr>
          <w:trHeight w:val="283"/>
          <w:jc w:val="center"/>
        </w:trPr>
        <w:tc>
          <w:tcPr>
            <w:tcW w:w="4592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ind w:firstLineChars="100" w:firstLine="220"/>
              <w:rPr>
                <w:rFonts w:eastAsia="Times New Roman"/>
                <w:bCs/>
                <w:lang w:eastAsia="sk-SK"/>
              </w:rPr>
            </w:pPr>
            <w:r w:rsidRPr="00536B52">
              <w:rPr>
                <w:rFonts w:eastAsia="Times New Roman"/>
                <w:bCs/>
                <w:sz w:val="22"/>
                <w:lang w:eastAsia="sk-SK"/>
              </w:rPr>
              <w:t> </w:t>
            </w:r>
          </w:p>
        </w:tc>
        <w:tc>
          <w:tcPr>
            <w:tcW w:w="4592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536B5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</w:tbl>
    <w:p w:rsidR="00536B52" w:rsidRDefault="00536B52" w:rsidP="005D536A">
      <w:pPr>
        <w:pStyle w:val="Default"/>
        <w:jc w:val="both"/>
        <w:rPr>
          <w:sz w:val="23"/>
          <w:szCs w:val="23"/>
        </w:rPr>
      </w:pPr>
    </w:p>
    <w:p w:rsidR="00536B52" w:rsidRPr="00536B52" w:rsidRDefault="00536B52" w:rsidP="00536B52">
      <w:pPr>
        <w:pStyle w:val="Default"/>
        <w:jc w:val="both"/>
        <w:rPr>
          <w:sz w:val="16"/>
          <w:szCs w:val="16"/>
        </w:rPr>
      </w:pPr>
      <w:r>
        <w:rPr>
          <w:sz w:val="13"/>
          <w:szCs w:val="13"/>
        </w:rPr>
        <w:t xml:space="preserve">4 </w:t>
      </w:r>
      <w:r>
        <w:rPr>
          <w:sz w:val="16"/>
          <w:szCs w:val="16"/>
        </w:rPr>
        <w:t xml:space="preserve">) </w:t>
      </w:r>
      <w:r w:rsidRPr="00536B52">
        <w:rPr>
          <w:sz w:val="16"/>
          <w:szCs w:val="16"/>
        </w:rPr>
        <w:t xml:space="preserve">Nariadenie Európskeho parlamentu a Rady (ES) č. 1606/2002 z 19. júla 2002 o uplatňovaní medzinárodných účtovných noriem (Mimoriadne vydanie Ú. v. EÚ, kap. 13/zv. 29) v znení nariadenia Európskeho parlamentu a Rady (ES) č. 297/2008 z 11. marca 2008 (Ú. v. EÚ L 97, 9. 4. 2008). </w:t>
      </w:r>
    </w:p>
    <w:p w:rsidR="00536B52" w:rsidRPr="00536B52" w:rsidRDefault="00536B52" w:rsidP="00536B52">
      <w:pPr>
        <w:pStyle w:val="Default"/>
        <w:jc w:val="both"/>
        <w:rPr>
          <w:sz w:val="16"/>
          <w:szCs w:val="16"/>
        </w:rPr>
      </w:pPr>
      <w:r w:rsidRPr="00536B52">
        <w:rPr>
          <w:sz w:val="16"/>
          <w:szCs w:val="16"/>
        </w:rPr>
        <w:t xml:space="preserve">Nariadenie Komisie (ES) č. 1126/2008 z 3. novembra 2008, ktorým sa v súlade s nariadením Európskeho parlamentu a Rady (ES) č. 1606/2002 prijímajú určité medzinárodné účtovné štandardy (Ú. v. EÚ L 320, 29. 11. 2008) v platnom znení. </w:t>
      </w:r>
    </w:p>
    <w:p w:rsidR="00536B52" w:rsidRDefault="00536B52" w:rsidP="005D536A">
      <w:pPr>
        <w:pStyle w:val="Default"/>
        <w:jc w:val="both"/>
        <w:rPr>
          <w:sz w:val="23"/>
          <w:szCs w:val="23"/>
        </w:rPr>
      </w:pP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(3) Priemerný prepočítaný počet zamestnancov. </w:t>
      </w:r>
    </w:p>
    <w:p w:rsidR="00902D97" w:rsidRPr="00902D97" w:rsidRDefault="00902D97" w:rsidP="005D536A">
      <w:pPr>
        <w:pStyle w:val="Default"/>
        <w:jc w:val="both"/>
        <w:rPr>
          <w:b/>
          <w:color w:val="auto"/>
          <w:sz w:val="23"/>
          <w:szCs w:val="23"/>
        </w:rPr>
      </w:pPr>
      <w:r>
        <w:rPr>
          <w:b/>
          <w:color w:val="auto"/>
          <w:sz w:val="23"/>
          <w:szCs w:val="23"/>
        </w:rPr>
        <w:t>V priebehu zdaňovacieho obdobia spoločnosť nemala zamestnancov.</w:t>
      </w:r>
    </w:p>
    <w:p w:rsidR="0011611B" w:rsidRDefault="0011611B">
      <w:pPr>
        <w:rPr>
          <w:sz w:val="23"/>
          <w:szCs w:val="23"/>
        </w:rPr>
      </w:pPr>
      <w:r>
        <w:rPr>
          <w:sz w:val="23"/>
          <w:szCs w:val="23"/>
        </w:rPr>
        <w:br w:type="page"/>
      </w: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b/>
          <w:bCs/>
          <w:color w:val="auto"/>
          <w:sz w:val="23"/>
          <w:szCs w:val="23"/>
        </w:rPr>
        <w:t xml:space="preserve">Čl. II </w:t>
      </w: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b/>
          <w:bCs/>
          <w:color w:val="auto"/>
          <w:sz w:val="23"/>
          <w:szCs w:val="23"/>
        </w:rPr>
        <w:t xml:space="preserve">Informácie o prijatých postupoch </w:t>
      </w: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(1) Informácia, či je účtovná závierka zostavená za splnenia predpokladu, že účtovná jednotka bude nepretržite pokračovať vo svojej činnosti. </w:t>
      </w:r>
    </w:p>
    <w:p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p w:rsidR="005D536A" w:rsidRDefault="00536B52" w:rsidP="00536B52">
      <w:pPr>
        <w:pStyle w:val="Default"/>
        <w:ind w:firstLine="708"/>
        <w:jc w:val="both"/>
        <w:rPr>
          <w:color w:val="auto"/>
          <w:sz w:val="23"/>
          <w:szCs w:val="23"/>
        </w:rPr>
      </w:pPr>
      <w:r w:rsidRPr="00902D97">
        <w:rPr>
          <w:b/>
          <w:color w:val="auto"/>
          <w:sz w:val="23"/>
          <w:szCs w:val="23"/>
        </w:rPr>
        <w:t>Áno</w:t>
      </w:r>
      <w:r>
        <w:rPr>
          <w:color w:val="auto"/>
          <w:sz w:val="23"/>
          <w:szCs w:val="23"/>
        </w:rPr>
        <w:t xml:space="preserve"> </w:t>
      </w:r>
      <w:r>
        <w:rPr>
          <w:color w:val="auto"/>
          <w:sz w:val="23"/>
          <w:szCs w:val="23"/>
        </w:rPr>
        <w:tab/>
      </w:r>
      <w:r w:rsidRPr="00902D97">
        <w:rPr>
          <w:strike/>
          <w:color w:val="auto"/>
          <w:sz w:val="23"/>
          <w:szCs w:val="23"/>
        </w:rPr>
        <w:t xml:space="preserve">Nie </w:t>
      </w:r>
    </w:p>
    <w:p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p w:rsidR="005D536A" w:rsidRDefault="005D536A" w:rsidP="00536B52">
      <w:pPr>
        <w:pStyle w:val="Default"/>
        <w:keepNext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(2) Spôsob oceňovania jednotlivých položiek majetku a záväzkov, a to </w:t>
      </w: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</w:p>
    <w:tbl>
      <w:tblPr>
        <w:tblW w:w="9864" w:type="dxa"/>
        <w:jc w:val="center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288"/>
        <w:gridCol w:w="3288"/>
        <w:gridCol w:w="3288"/>
      </w:tblGrid>
      <w:tr w:rsidR="008420B2" w:rsidRPr="00536B52" w:rsidTr="008420B2">
        <w:trPr>
          <w:trHeight w:val="283"/>
          <w:jc w:val="center"/>
        </w:trPr>
        <w:tc>
          <w:tcPr>
            <w:tcW w:w="328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 xml:space="preserve">Druh majetku </w:t>
            </w:r>
            <w:r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a</w:t>
            </w: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 xml:space="preserve"> záväzkov</w:t>
            </w:r>
          </w:p>
        </w:tc>
        <w:tc>
          <w:tcPr>
            <w:tcW w:w="3288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Spôsob ocenenia</w:t>
            </w:r>
          </w:p>
        </w:tc>
        <w:tc>
          <w:tcPr>
            <w:tcW w:w="328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 xml:space="preserve">Náklady spojené </w:t>
            </w: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br/>
              <w:t>s obstaraním</w:t>
            </w:r>
          </w:p>
        </w:tc>
      </w:tr>
      <w:tr w:rsidR="008420B2" w:rsidRPr="00536B52" w:rsidTr="008420B2">
        <w:trPr>
          <w:trHeight w:val="283"/>
          <w:jc w:val="center"/>
        </w:trPr>
        <w:tc>
          <w:tcPr>
            <w:tcW w:w="328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536B52">
              <w:rPr>
                <w:rFonts w:eastAsia="Times New Roman"/>
                <w:color w:val="000000"/>
                <w:sz w:val="22"/>
                <w:lang w:eastAsia="sk-SK"/>
              </w:rPr>
              <w:t xml:space="preserve">Dlhodobý nehmotný majetok </w:t>
            </w:r>
          </w:p>
        </w:tc>
        <w:tc>
          <w:tcPr>
            <w:tcW w:w="3288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902D97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>
              <w:rPr>
                <w:rFonts w:eastAsia="Times New Roman"/>
                <w:sz w:val="20"/>
                <w:szCs w:val="20"/>
                <w:lang w:eastAsia="sk-SK"/>
              </w:rPr>
              <w:t>xxx</w:t>
            </w:r>
            <w:r w:rsidR="00536B52"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288" w:type="dxa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902D97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>
              <w:rPr>
                <w:rFonts w:eastAsia="Times New Roman"/>
                <w:sz w:val="20"/>
                <w:szCs w:val="20"/>
                <w:lang w:eastAsia="sk-SK"/>
              </w:rPr>
              <w:t>xxx</w:t>
            </w:r>
            <w:r w:rsidR="00536B52"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  <w:tr w:rsidR="008420B2" w:rsidRPr="00536B52" w:rsidTr="008420B2">
        <w:trPr>
          <w:trHeight w:val="283"/>
          <w:jc w:val="center"/>
        </w:trPr>
        <w:tc>
          <w:tcPr>
            <w:tcW w:w="328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536B52">
              <w:rPr>
                <w:rFonts w:eastAsia="Times New Roman"/>
                <w:color w:val="000000"/>
                <w:sz w:val="22"/>
                <w:lang w:eastAsia="sk-SK"/>
              </w:rPr>
              <w:t xml:space="preserve">Dlhodobý hmotný majetok </w:t>
            </w:r>
          </w:p>
        </w:tc>
        <w:tc>
          <w:tcPr>
            <w:tcW w:w="32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  <w:r w:rsidR="00902D97">
              <w:rPr>
                <w:rFonts w:eastAsia="Times New Roman"/>
                <w:sz w:val="20"/>
                <w:szCs w:val="20"/>
                <w:lang w:eastAsia="sk-SK"/>
              </w:rPr>
              <w:t>Obstarávacia cena</w:t>
            </w:r>
          </w:p>
        </w:tc>
        <w:tc>
          <w:tcPr>
            <w:tcW w:w="3288" w:type="dxa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902D97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>
              <w:rPr>
                <w:rFonts w:eastAsia="Times New Roman"/>
                <w:sz w:val="20"/>
                <w:szCs w:val="20"/>
                <w:lang w:eastAsia="sk-SK"/>
              </w:rPr>
              <w:t>xxx</w:t>
            </w:r>
            <w:r w:rsidR="00536B52"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  <w:tr w:rsidR="008420B2" w:rsidRPr="00536B52" w:rsidTr="008420B2">
        <w:trPr>
          <w:trHeight w:val="283"/>
          <w:jc w:val="center"/>
        </w:trPr>
        <w:tc>
          <w:tcPr>
            <w:tcW w:w="328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536B52">
              <w:rPr>
                <w:rFonts w:eastAsia="Times New Roman"/>
                <w:color w:val="000000"/>
                <w:sz w:val="22"/>
                <w:lang w:eastAsia="sk-SK"/>
              </w:rPr>
              <w:t>Dlhodobý finančný majetok</w:t>
            </w:r>
          </w:p>
        </w:tc>
        <w:tc>
          <w:tcPr>
            <w:tcW w:w="3288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902D97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>
              <w:rPr>
                <w:rFonts w:eastAsia="Times New Roman"/>
                <w:sz w:val="20"/>
                <w:szCs w:val="20"/>
                <w:lang w:eastAsia="sk-SK"/>
              </w:rPr>
              <w:t>xxx</w:t>
            </w:r>
            <w:r w:rsidR="00536B52"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288" w:type="dxa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902D97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>
              <w:rPr>
                <w:rFonts w:eastAsia="Times New Roman"/>
                <w:sz w:val="20"/>
                <w:szCs w:val="20"/>
                <w:lang w:eastAsia="sk-SK"/>
              </w:rPr>
              <w:t>xxx</w:t>
            </w:r>
            <w:r w:rsidR="00536B52"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  <w:tr w:rsidR="008420B2" w:rsidRPr="00536B52" w:rsidTr="008420B2">
        <w:trPr>
          <w:trHeight w:val="283"/>
          <w:jc w:val="center"/>
        </w:trPr>
        <w:tc>
          <w:tcPr>
            <w:tcW w:w="328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536B52">
              <w:rPr>
                <w:rFonts w:eastAsia="Times New Roman"/>
                <w:color w:val="000000"/>
                <w:sz w:val="22"/>
                <w:lang w:eastAsia="sk-SK"/>
              </w:rPr>
              <w:t>Zásoby obstarané kúpou</w:t>
            </w:r>
          </w:p>
        </w:tc>
        <w:tc>
          <w:tcPr>
            <w:tcW w:w="32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902D97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>
              <w:rPr>
                <w:rFonts w:eastAsia="Times New Roman"/>
                <w:sz w:val="20"/>
                <w:szCs w:val="20"/>
                <w:lang w:eastAsia="sk-SK"/>
              </w:rPr>
              <w:t>xxx</w:t>
            </w:r>
            <w:r w:rsidR="00536B52"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28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902D97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>
              <w:rPr>
                <w:rFonts w:eastAsia="Times New Roman"/>
                <w:sz w:val="20"/>
                <w:szCs w:val="20"/>
                <w:lang w:eastAsia="sk-SK"/>
              </w:rPr>
              <w:t>xxx</w:t>
            </w:r>
            <w:r w:rsidR="00536B52"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  <w:tr w:rsidR="008420B2" w:rsidRPr="00536B52" w:rsidTr="008420B2">
        <w:trPr>
          <w:trHeight w:val="283"/>
          <w:jc w:val="center"/>
        </w:trPr>
        <w:tc>
          <w:tcPr>
            <w:tcW w:w="328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536B52">
              <w:rPr>
                <w:rFonts w:eastAsia="Times New Roman"/>
                <w:color w:val="000000"/>
                <w:sz w:val="22"/>
                <w:lang w:eastAsia="sk-SK"/>
              </w:rPr>
              <w:t>Zásoby obstarané vlastnou činnosťou</w:t>
            </w:r>
          </w:p>
        </w:tc>
        <w:tc>
          <w:tcPr>
            <w:tcW w:w="3288" w:type="dxa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902D97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>
              <w:rPr>
                <w:rFonts w:eastAsia="Times New Roman"/>
                <w:sz w:val="20"/>
                <w:szCs w:val="20"/>
                <w:lang w:eastAsia="sk-SK"/>
              </w:rPr>
              <w:t>xxx</w:t>
            </w:r>
            <w:r w:rsidR="00536B52"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288" w:type="dxa"/>
            <w:tcBorders>
              <w:top w:val="single" w:sz="8" w:space="0" w:color="auto"/>
              <w:left w:val="single" w:sz="4" w:space="0" w:color="auto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902D97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>
              <w:rPr>
                <w:rFonts w:eastAsia="Times New Roman"/>
                <w:sz w:val="20"/>
                <w:szCs w:val="20"/>
                <w:lang w:eastAsia="sk-SK"/>
              </w:rPr>
              <w:t>xxx</w:t>
            </w:r>
            <w:r w:rsidR="00536B52"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  <w:tr w:rsidR="008420B2" w:rsidRPr="00536B52" w:rsidTr="008420B2">
        <w:trPr>
          <w:trHeight w:val="283"/>
          <w:jc w:val="center"/>
        </w:trPr>
        <w:tc>
          <w:tcPr>
            <w:tcW w:w="328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536B52">
              <w:rPr>
                <w:rFonts w:eastAsia="Times New Roman"/>
                <w:color w:val="000000"/>
                <w:sz w:val="22"/>
                <w:lang w:eastAsia="sk-SK"/>
              </w:rPr>
              <w:t>Pohľadávky</w:t>
            </w:r>
          </w:p>
        </w:tc>
        <w:tc>
          <w:tcPr>
            <w:tcW w:w="32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902D97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>
              <w:rPr>
                <w:rFonts w:eastAsia="Times New Roman"/>
                <w:sz w:val="20"/>
                <w:szCs w:val="20"/>
                <w:lang w:eastAsia="sk-SK"/>
              </w:rPr>
              <w:t>Menovitá hodnota</w:t>
            </w:r>
            <w:r w:rsidR="00536B52"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288" w:type="dxa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902D97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>
              <w:rPr>
                <w:rFonts w:eastAsia="Times New Roman"/>
                <w:sz w:val="20"/>
                <w:szCs w:val="20"/>
                <w:lang w:eastAsia="sk-SK"/>
              </w:rPr>
              <w:t>Menovitá hodnota</w:t>
            </w:r>
            <w:r w:rsidR="00536B52"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  <w:tr w:rsidR="008420B2" w:rsidRPr="00536B52" w:rsidTr="008420B2">
        <w:trPr>
          <w:trHeight w:val="283"/>
          <w:jc w:val="center"/>
        </w:trPr>
        <w:tc>
          <w:tcPr>
            <w:tcW w:w="328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536B52">
              <w:rPr>
                <w:rFonts w:eastAsia="Times New Roman"/>
                <w:color w:val="000000"/>
                <w:sz w:val="22"/>
                <w:lang w:eastAsia="sk-SK"/>
              </w:rPr>
              <w:t>Krátkodobý finančný majetok</w:t>
            </w:r>
          </w:p>
        </w:tc>
        <w:tc>
          <w:tcPr>
            <w:tcW w:w="32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902D97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>
              <w:rPr>
                <w:rFonts w:eastAsia="Times New Roman"/>
                <w:sz w:val="20"/>
                <w:szCs w:val="20"/>
                <w:lang w:eastAsia="sk-SK"/>
              </w:rPr>
              <w:t>xxx</w:t>
            </w:r>
            <w:r w:rsidR="00536B52"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288" w:type="dxa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  <w:r w:rsidR="00902D97">
              <w:rPr>
                <w:rFonts w:eastAsia="Times New Roman"/>
                <w:sz w:val="20"/>
                <w:szCs w:val="20"/>
                <w:lang w:eastAsia="sk-SK"/>
              </w:rPr>
              <w:t>xxx</w:t>
            </w:r>
          </w:p>
        </w:tc>
      </w:tr>
      <w:tr w:rsidR="008420B2" w:rsidRPr="00536B52" w:rsidTr="008420B2">
        <w:trPr>
          <w:trHeight w:val="283"/>
          <w:jc w:val="center"/>
        </w:trPr>
        <w:tc>
          <w:tcPr>
            <w:tcW w:w="328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536B52">
              <w:rPr>
                <w:rFonts w:eastAsia="Times New Roman"/>
                <w:color w:val="000000"/>
                <w:sz w:val="22"/>
                <w:lang w:eastAsia="sk-SK"/>
              </w:rPr>
              <w:t>Záväzky vr. rezerv, dlhopisov, pôžičiek...</w:t>
            </w:r>
          </w:p>
        </w:tc>
        <w:tc>
          <w:tcPr>
            <w:tcW w:w="32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902D97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>
              <w:rPr>
                <w:rFonts w:eastAsia="Times New Roman"/>
                <w:sz w:val="20"/>
                <w:szCs w:val="20"/>
                <w:lang w:eastAsia="sk-SK"/>
              </w:rPr>
              <w:t>Menovitá hodnota</w:t>
            </w: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  <w:r w:rsidR="00536B52"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288" w:type="dxa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902D97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>
              <w:rPr>
                <w:rFonts w:eastAsia="Times New Roman"/>
                <w:sz w:val="20"/>
                <w:szCs w:val="20"/>
                <w:lang w:eastAsia="sk-SK"/>
              </w:rPr>
              <w:t>Menovitá hodnota</w:t>
            </w: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  <w:r w:rsidR="00536B52"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  <w:tr w:rsidR="008420B2" w:rsidRPr="00536B52" w:rsidTr="008420B2">
        <w:trPr>
          <w:trHeight w:val="283"/>
          <w:jc w:val="center"/>
        </w:trPr>
        <w:tc>
          <w:tcPr>
            <w:tcW w:w="328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536B52">
              <w:rPr>
                <w:rFonts w:eastAsia="Times New Roman"/>
                <w:color w:val="000000"/>
                <w:sz w:val="22"/>
                <w:lang w:eastAsia="sk-SK"/>
              </w:rPr>
              <w:t>Derivátové operácie</w:t>
            </w:r>
          </w:p>
        </w:tc>
        <w:tc>
          <w:tcPr>
            <w:tcW w:w="3288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  <w:r w:rsidR="00902D97">
              <w:rPr>
                <w:rFonts w:eastAsia="Times New Roman"/>
                <w:sz w:val="20"/>
                <w:szCs w:val="20"/>
                <w:lang w:eastAsia="sk-SK"/>
              </w:rPr>
              <w:t>xxx</w:t>
            </w:r>
          </w:p>
        </w:tc>
        <w:tc>
          <w:tcPr>
            <w:tcW w:w="3288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902D97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>
              <w:rPr>
                <w:rFonts w:eastAsia="Times New Roman"/>
                <w:sz w:val="20"/>
                <w:szCs w:val="20"/>
                <w:lang w:eastAsia="sk-SK"/>
              </w:rPr>
              <w:t>xxx</w:t>
            </w:r>
            <w:r w:rsidR="00536B52"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</w:tbl>
    <w:p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p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(3) Spôsob zostavenia odpisového plánu pre jednotlivé druhy dlhodobého hmotného majetku a dlhodobého nehmotného majetku, pričom sa uvádza doba odpisovania, použité sadzby odpisov a odpisové metódy pri určení odpisov. </w:t>
      </w:r>
    </w:p>
    <w:p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tbl>
      <w:tblPr>
        <w:tblW w:w="926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40"/>
        <w:gridCol w:w="1920"/>
        <w:gridCol w:w="1920"/>
        <w:gridCol w:w="2980"/>
      </w:tblGrid>
      <w:tr w:rsidR="00536B52" w:rsidRPr="00536B52" w:rsidTr="008420B2">
        <w:trPr>
          <w:trHeight w:val="283"/>
          <w:jc w:val="center"/>
        </w:trPr>
        <w:tc>
          <w:tcPr>
            <w:tcW w:w="24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Druh majetku</w:t>
            </w:r>
          </w:p>
        </w:tc>
        <w:tc>
          <w:tcPr>
            <w:tcW w:w="192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Doba odpisovania</w:t>
            </w:r>
          </w:p>
        </w:tc>
        <w:tc>
          <w:tcPr>
            <w:tcW w:w="192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Sadzba odpisov</w:t>
            </w:r>
          </w:p>
        </w:tc>
        <w:tc>
          <w:tcPr>
            <w:tcW w:w="298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Odpisová metóda</w:t>
            </w:r>
          </w:p>
        </w:tc>
      </w:tr>
      <w:tr w:rsidR="00536B52" w:rsidRPr="00536B52" w:rsidTr="008420B2">
        <w:trPr>
          <w:trHeight w:val="283"/>
          <w:jc w:val="center"/>
        </w:trPr>
        <w:tc>
          <w:tcPr>
            <w:tcW w:w="244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  <w:t> </w:t>
            </w:r>
            <w:r w:rsidR="00902D97"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  <w:t>Dlhodobý hmotný majetok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902D97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>
              <w:rPr>
                <w:rFonts w:eastAsia="Times New Roman"/>
                <w:sz w:val="20"/>
                <w:szCs w:val="20"/>
                <w:lang w:eastAsia="sk-SK"/>
              </w:rPr>
              <w:t>4</w:t>
            </w:r>
            <w:r w:rsidR="00536B52"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902D97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>
              <w:rPr>
                <w:rFonts w:eastAsia="Times New Roman"/>
                <w:sz w:val="20"/>
                <w:szCs w:val="20"/>
                <w:lang w:eastAsia="sk-SK"/>
              </w:rPr>
              <w:t>UO=DO</w:t>
            </w:r>
            <w:r w:rsidR="00536B52"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902D97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>
              <w:rPr>
                <w:rFonts w:eastAsia="Times New Roman"/>
                <w:sz w:val="20"/>
                <w:szCs w:val="20"/>
                <w:lang w:eastAsia="sk-SK"/>
              </w:rPr>
              <w:t>lineárna</w:t>
            </w:r>
            <w:r w:rsidR="00536B52"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  <w:tr w:rsidR="00536B52" w:rsidRPr="00536B52" w:rsidTr="008420B2">
        <w:trPr>
          <w:trHeight w:val="283"/>
          <w:jc w:val="center"/>
        </w:trPr>
        <w:tc>
          <w:tcPr>
            <w:tcW w:w="244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ind w:firstLineChars="100" w:firstLine="221"/>
              <w:rPr>
                <w:rFonts w:eastAsia="Times New Roman"/>
                <w:b/>
                <w:bCs/>
                <w:lang w:eastAsia="sk-SK"/>
              </w:rPr>
            </w:pPr>
            <w:r w:rsidRPr="00536B5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  <w:tr w:rsidR="00536B52" w:rsidRPr="00536B52" w:rsidTr="008420B2">
        <w:trPr>
          <w:trHeight w:val="283"/>
          <w:jc w:val="center"/>
        </w:trPr>
        <w:tc>
          <w:tcPr>
            <w:tcW w:w="244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ind w:firstLineChars="100" w:firstLine="221"/>
              <w:rPr>
                <w:rFonts w:eastAsia="Times New Roman"/>
                <w:b/>
                <w:bCs/>
                <w:lang w:eastAsia="sk-SK"/>
              </w:rPr>
            </w:pPr>
            <w:r w:rsidRPr="00536B5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lang w:eastAsia="sk-SK"/>
              </w:rPr>
            </w:pPr>
            <w:r w:rsidRPr="00536B5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lang w:eastAsia="sk-SK"/>
              </w:rPr>
            </w:pPr>
            <w:r w:rsidRPr="00536B5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lang w:eastAsia="sk-SK"/>
              </w:rPr>
            </w:pPr>
            <w:r w:rsidRPr="00536B5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</w:tbl>
    <w:p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p w:rsidR="00536B52" w:rsidRDefault="008E74DF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noProof/>
          <w:color w:val="auto"/>
          <w:sz w:val="23"/>
          <w:szCs w:val="23"/>
          <w:lang w:eastAsia="sk-SK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183515</wp:posOffset>
                </wp:positionH>
                <wp:positionV relativeFrom="paragraph">
                  <wp:posOffset>165735</wp:posOffset>
                </wp:positionV>
                <wp:extent cx="6191250" cy="2362200"/>
                <wp:effectExtent l="9525" t="9525" r="9525" b="9525"/>
                <wp:wrapNone/>
                <wp:docPr id="10" name="AutoShap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6191250" cy="236220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 type="none" w="med" len="med"/>
                          <a:tailEnd type="non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type w14:anchorId="0651DAF6" id="_x0000_t32" coordsize="21600,21600" o:spt="32" o:oned="t" path="m,l21600,21600e" filled="f">
                <v:path arrowok="t" fillok="f" o:connecttype="none"/>
                <o:lock v:ext="edit" shapetype="t"/>
              </v:shapetype>
              <v:shape id="AutoShape 2" o:spid="_x0000_s1026" type="#_x0000_t32" style="position:absolute;margin-left:14.45pt;margin-top:13.05pt;width:487.5pt;height:186pt;flip:y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"/>
            </w:pict>
          </mc:Fallback>
        </mc:AlternateContent>
      </w: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(4) Zmeny účtovných zásad a zmeny účtovných metód s uvedením dôvodu týchto zmien a vyčíslením ich vplyvu na finančnú hodnotu majetku, záväzkov, základného imania a výsledku hospodárenia účtovnej jednotky. </w:t>
      </w:r>
    </w:p>
    <w:p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tbl>
      <w:tblPr>
        <w:tblW w:w="926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400"/>
        <w:gridCol w:w="2880"/>
        <w:gridCol w:w="2980"/>
      </w:tblGrid>
      <w:tr w:rsidR="00536B52" w:rsidRPr="00536B52" w:rsidTr="008420B2">
        <w:trPr>
          <w:trHeight w:val="283"/>
          <w:jc w:val="center"/>
        </w:trPr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Druh zmeny účtovnej zásady                   alebo účtovnej metódy</w:t>
            </w:r>
          </w:p>
        </w:tc>
        <w:tc>
          <w:tcPr>
            <w:tcW w:w="288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Dôvod zmeny</w:t>
            </w:r>
          </w:p>
        </w:tc>
        <w:tc>
          <w:tcPr>
            <w:tcW w:w="298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Hodnota vplyvu na príslušnú zložku majetku, záväzkov, vlastného imania a výsledku hospodárenia účtovnej jednotky</w:t>
            </w:r>
          </w:p>
        </w:tc>
      </w:tr>
      <w:tr w:rsidR="00536B52" w:rsidRPr="00536B52" w:rsidTr="008420B2">
        <w:trPr>
          <w:trHeight w:val="283"/>
          <w:jc w:val="center"/>
        </w:trPr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88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rPr>
                <w:rFonts w:eastAsia="Times New Roman"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rPr>
                <w:rFonts w:eastAsia="Times New Roman"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sz w:val="18"/>
                <w:szCs w:val="18"/>
                <w:lang w:eastAsia="sk-SK"/>
              </w:rPr>
              <w:t> </w:t>
            </w:r>
          </w:p>
        </w:tc>
      </w:tr>
      <w:tr w:rsidR="00536B52" w:rsidRPr="00536B52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88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rPr>
                <w:rFonts w:eastAsia="Times New Roman"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ind w:firstLineChars="400" w:firstLine="720"/>
              <w:jc w:val="right"/>
              <w:rPr>
                <w:rFonts w:eastAsia="Times New Roman"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sz w:val="18"/>
                <w:szCs w:val="18"/>
                <w:lang w:eastAsia="sk-SK"/>
              </w:rPr>
              <w:t> </w:t>
            </w:r>
          </w:p>
        </w:tc>
      </w:tr>
      <w:tr w:rsidR="00536B52" w:rsidRPr="00536B52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ind w:firstLineChars="100" w:firstLine="181"/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ind w:firstLineChars="100" w:firstLine="180"/>
              <w:rPr>
                <w:rFonts w:eastAsia="Times New Roman"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ind w:firstLineChars="400" w:firstLine="720"/>
              <w:jc w:val="right"/>
              <w:rPr>
                <w:rFonts w:eastAsia="Times New Roman"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sz w:val="18"/>
                <w:szCs w:val="18"/>
                <w:lang w:eastAsia="sk-SK"/>
              </w:rPr>
              <w:t> </w:t>
            </w:r>
          </w:p>
        </w:tc>
      </w:tr>
      <w:tr w:rsidR="00536B52" w:rsidRPr="00536B52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ind w:firstLineChars="100" w:firstLine="181"/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ind w:firstLineChars="100" w:firstLine="180"/>
              <w:rPr>
                <w:rFonts w:eastAsia="Times New Roman"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ind w:firstLineChars="400" w:firstLine="720"/>
              <w:jc w:val="right"/>
              <w:rPr>
                <w:rFonts w:eastAsia="Times New Roman"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sz w:val="18"/>
                <w:szCs w:val="18"/>
                <w:lang w:eastAsia="sk-SK"/>
              </w:rPr>
              <w:t> </w:t>
            </w:r>
          </w:p>
        </w:tc>
      </w:tr>
    </w:tbl>
    <w:p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jc w:val="both"/>
        <w:rPr>
          <w:color w:val="auto"/>
          <w:sz w:val="22"/>
          <w:szCs w:val="22"/>
        </w:rPr>
      </w:pPr>
      <w:r>
        <w:rPr>
          <w:color w:val="auto"/>
          <w:sz w:val="23"/>
          <w:szCs w:val="23"/>
        </w:rPr>
        <w:t>(5) Informácie o dotáciách a ich oceňovanie v účtovníctve</w:t>
      </w:r>
      <w:r>
        <w:rPr>
          <w:color w:val="auto"/>
          <w:sz w:val="22"/>
          <w:szCs w:val="22"/>
        </w:rPr>
        <w:t xml:space="preserve">. </w:t>
      </w:r>
    </w:p>
    <w:p w:rsidR="00E23D62" w:rsidRDefault="00E23D62" w:rsidP="005D536A">
      <w:pPr>
        <w:pStyle w:val="Default"/>
        <w:jc w:val="both"/>
        <w:rPr>
          <w:color w:val="auto"/>
          <w:sz w:val="22"/>
          <w:szCs w:val="22"/>
        </w:rPr>
      </w:pPr>
    </w:p>
    <w:p w:rsidR="0098325B" w:rsidRPr="00902D97" w:rsidRDefault="00902D97" w:rsidP="005D536A">
      <w:pPr>
        <w:pStyle w:val="Default"/>
        <w:jc w:val="both"/>
        <w:rPr>
          <w:b/>
          <w:color w:val="auto"/>
          <w:sz w:val="22"/>
          <w:szCs w:val="22"/>
        </w:rPr>
      </w:pPr>
      <w:r>
        <w:rPr>
          <w:b/>
          <w:color w:val="auto"/>
          <w:sz w:val="22"/>
          <w:szCs w:val="22"/>
        </w:rPr>
        <w:t>Spoločnosť nedisponuje prijatými ani poskytnutými dotáciami.</w:t>
      </w:r>
    </w:p>
    <w:p w:rsidR="0098325B" w:rsidRDefault="0098325B" w:rsidP="005D536A">
      <w:pPr>
        <w:pStyle w:val="Default"/>
        <w:jc w:val="both"/>
        <w:rPr>
          <w:color w:val="auto"/>
          <w:sz w:val="22"/>
          <w:szCs w:val="22"/>
        </w:rPr>
      </w:pPr>
    </w:p>
    <w:p w:rsidR="00E23D62" w:rsidRDefault="00E23D62" w:rsidP="005D536A">
      <w:pPr>
        <w:pStyle w:val="Default"/>
        <w:jc w:val="both"/>
        <w:rPr>
          <w:color w:val="auto"/>
          <w:sz w:val="22"/>
          <w:szCs w:val="22"/>
        </w:rPr>
      </w:pPr>
    </w:p>
    <w:p w:rsidR="005D536A" w:rsidRDefault="008E74DF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noProof/>
          <w:color w:val="auto"/>
          <w:sz w:val="23"/>
          <w:szCs w:val="23"/>
          <w:lang w:eastAsia="sk-SK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12065</wp:posOffset>
                </wp:positionH>
                <wp:positionV relativeFrom="paragraph">
                  <wp:posOffset>101600</wp:posOffset>
                </wp:positionV>
                <wp:extent cx="6534150" cy="1809750"/>
                <wp:effectExtent l="9525" t="9525" r="9525" b="9525"/>
                <wp:wrapNone/>
                <wp:docPr id="9" name="AutoShap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6534150" cy="180975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 type="none" w="med" len="med"/>
                          <a:tailEnd type="non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2132975F" id="AutoShape 3" o:spid="_x0000_s1026" type="#_x0000_t32" style="position:absolute;margin-left:.95pt;margin-top:8pt;width:514.5pt;height:142.5pt;flip:y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"/>
            </w:pict>
          </mc:Fallback>
        </mc:AlternateContent>
      </w:r>
      <w:r w:rsidR="005D536A">
        <w:rPr>
          <w:color w:val="auto"/>
          <w:sz w:val="23"/>
          <w:szCs w:val="23"/>
        </w:rPr>
        <w:t xml:space="preserve">(6) Informácie o účtovaní významných opráv chýb minulých účtovných období v bežnom účtovnom období s uvedením vplyvu na nerozdelený zisk minulých rokov alebo neuhradenú stratu minulých rokov; súčasne sa môže </w:t>
      </w:r>
      <w:r w:rsidR="005D536A">
        <w:rPr>
          <w:color w:val="auto"/>
          <w:sz w:val="23"/>
          <w:szCs w:val="23"/>
        </w:rPr>
        <w:lastRenderedPageBreak/>
        <w:t xml:space="preserve">uviesť aj účtovanie nevýznamných chýb minulých účtovných období v bežnom účtovnom období s uvedením vplyvu na výsledok hospodárenia bežného účtovného obdobia. </w:t>
      </w:r>
    </w:p>
    <w:p w:rsidR="00E23D62" w:rsidRDefault="00E23D62" w:rsidP="005D536A">
      <w:pPr>
        <w:pStyle w:val="Default"/>
        <w:jc w:val="both"/>
        <w:rPr>
          <w:color w:val="auto"/>
          <w:sz w:val="23"/>
          <w:szCs w:val="23"/>
        </w:rPr>
      </w:pPr>
    </w:p>
    <w:tbl>
      <w:tblPr>
        <w:tblW w:w="926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400"/>
        <w:gridCol w:w="1920"/>
        <w:gridCol w:w="3940"/>
      </w:tblGrid>
      <w:tr w:rsidR="00E23D62" w:rsidRPr="00E23D62" w:rsidTr="008420B2">
        <w:trPr>
          <w:trHeight w:val="283"/>
          <w:jc w:val="center"/>
        </w:trPr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Druh opravy</w:t>
            </w:r>
          </w:p>
        </w:tc>
        <w:tc>
          <w:tcPr>
            <w:tcW w:w="192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Suma</w:t>
            </w:r>
          </w:p>
        </w:tc>
        <w:tc>
          <w:tcPr>
            <w:tcW w:w="3940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Popis chyby a vplyvu opravy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 xml:space="preserve">Oprava </w:t>
            </w: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významných</w:t>
            </w: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 xml:space="preserve"> chýb minulých účtovných období</w:t>
            </w:r>
          </w:p>
        </w:tc>
        <w:tc>
          <w:tcPr>
            <w:tcW w:w="192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394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 xml:space="preserve">Oprava </w:t>
            </w: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nevýznamných</w:t>
            </w: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 xml:space="preserve"> chýb minulých účtovných období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394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</w:tr>
    </w:tbl>
    <w:p w:rsidR="00E23D62" w:rsidRDefault="00E23D62" w:rsidP="005D536A">
      <w:pPr>
        <w:pStyle w:val="Default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</w:p>
    <w:p w:rsidR="0011611B" w:rsidRDefault="0011611B" w:rsidP="005D536A">
      <w:pPr>
        <w:pStyle w:val="Default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b/>
          <w:bCs/>
          <w:color w:val="auto"/>
          <w:sz w:val="23"/>
          <w:szCs w:val="23"/>
        </w:rPr>
        <w:t xml:space="preserve">Čl. III </w:t>
      </w:r>
    </w:p>
    <w:p w:rsidR="005D536A" w:rsidRDefault="008E74DF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b/>
          <w:bCs/>
          <w:noProof/>
          <w:color w:val="auto"/>
          <w:sz w:val="23"/>
          <w:szCs w:val="23"/>
          <w:lang w:eastAsia="sk-SK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-16510</wp:posOffset>
                </wp:positionH>
                <wp:positionV relativeFrom="paragraph">
                  <wp:posOffset>66675</wp:posOffset>
                </wp:positionV>
                <wp:extent cx="6124575" cy="2438400"/>
                <wp:effectExtent l="9525" t="9525" r="9525" b="9525"/>
                <wp:wrapNone/>
                <wp:docPr id="8" name="AutoShap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6124575" cy="243840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 type="none" w="med" len="med"/>
                          <a:tailEnd type="non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7201102B" id="AutoShape 4" o:spid="_x0000_s1026" type="#_x0000_t32" style="position:absolute;margin-left:-1.3pt;margin-top:5.25pt;width:482.25pt;height:192pt;flip:y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"/>
            </w:pict>
          </mc:Fallback>
        </mc:AlternateContent>
      </w:r>
      <w:r w:rsidR="005D536A">
        <w:rPr>
          <w:b/>
          <w:bCs/>
          <w:color w:val="auto"/>
          <w:sz w:val="23"/>
          <w:szCs w:val="23"/>
        </w:rPr>
        <w:t xml:space="preserve">Informácie, ktoré vysvetľujú a dopĺňajú súvahu a výkaz ziskov a strát </w:t>
      </w:r>
    </w:p>
    <w:p w:rsidR="005D536A" w:rsidRDefault="005D536A" w:rsidP="0011611B">
      <w:pPr>
        <w:pStyle w:val="Default"/>
        <w:keepNext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(1) Informácia o sume a dôvodoch vzniku jednotlivých položiek nákladov alebo výnosov, ktoré majú výnimočný rozsah alebo výskyt, napríklad výnosy z predaja podniku alebo časti podniku, náklady z dôvodu predaja podniku alebo časti podniku, škody z dôvodu živelných pohrôm. </w:t>
      </w: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</w:p>
    <w:tbl>
      <w:tblPr>
        <w:tblW w:w="926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360"/>
        <w:gridCol w:w="2880"/>
        <w:gridCol w:w="2020"/>
      </w:tblGrid>
      <w:tr w:rsidR="00E23D62" w:rsidRPr="00E23D62" w:rsidTr="008420B2">
        <w:trPr>
          <w:trHeight w:val="517"/>
          <w:jc w:val="center"/>
        </w:trPr>
        <w:tc>
          <w:tcPr>
            <w:tcW w:w="436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Udalosť</w:t>
            </w:r>
          </w:p>
        </w:tc>
        <w:tc>
          <w:tcPr>
            <w:tcW w:w="2880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Dôvod</w:t>
            </w:r>
          </w:p>
        </w:tc>
        <w:tc>
          <w:tcPr>
            <w:tcW w:w="2020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Hodnota</w:t>
            </w:r>
          </w:p>
        </w:tc>
      </w:tr>
      <w:tr w:rsidR="00E23D62" w:rsidRPr="00E23D62" w:rsidTr="008420B2">
        <w:trPr>
          <w:trHeight w:val="517"/>
          <w:jc w:val="center"/>
        </w:trPr>
        <w:tc>
          <w:tcPr>
            <w:tcW w:w="436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288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20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43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43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43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43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</w:tbl>
    <w:p w:rsidR="00E23D62" w:rsidRDefault="00E23D62" w:rsidP="005D536A">
      <w:pPr>
        <w:pStyle w:val="Default"/>
        <w:jc w:val="both"/>
        <w:rPr>
          <w:color w:val="auto"/>
          <w:sz w:val="23"/>
          <w:szCs w:val="23"/>
        </w:rPr>
      </w:pPr>
    </w:p>
    <w:p w:rsidR="00E23D62" w:rsidRDefault="00E23D62" w:rsidP="005D536A">
      <w:pPr>
        <w:pStyle w:val="Default"/>
        <w:jc w:val="both"/>
        <w:rPr>
          <w:color w:val="auto"/>
          <w:sz w:val="23"/>
          <w:szCs w:val="23"/>
        </w:rPr>
      </w:pPr>
    </w:p>
    <w:p w:rsidR="005D536A" w:rsidRDefault="008E74DF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noProof/>
          <w:color w:val="auto"/>
          <w:sz w:val="23"/>
          <w:szCs w:val="23"/>
          <w:lang w:eastAsia="sk-SK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193040</wp:posOffset>
                </wp:positionH>
                <wp:positionV relativeFrom="paragraph">
                  <wp:posOffset>156845</wp:posOffset>
                </wp:positionV>
                <wp:extent cx="6000750" cy="1800225"/>
                <wp:effectExtent l="9525" t="9525" r="9525" b="9525"/>
                <wp:wrapNone/>
                <wp:docPr id="7" name="AutoShap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6000750" cy="180022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 type="none" w="med" len="med"/>
                          <a:tailEnd type="non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1DBE4C8D" id="AutoShape 5" o:spid="_x0000_s1026" type="#_x0000_t32" style="position:absolute;margin-left:15.2pt;margin-top:12.35pt;width:472.5pt;height:141.75pt;flip:y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"/>
            </w:pict>
          </mc:Fallback>
        </mc:AlternateContent>
      </w:r>
      <w:r w:rsidR="005D536A">
        <w:rPr>
          <w:color w:val="auto"/>
          <w:sz w:val="23"/>
          <w:szCs w:val="23"/>
        </w:rPr>
        <w:t xml:space="preserve">(2) Informácie o záväzkoch, a to </w:t>
      </w:r>
    </w:p>
    <w:p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a) celkovej sume záväzkov so zostatkovou dobou splatnosti dlhšou ako päť rokov, </w:t>
      </w:r>
    </w:p>
    <w:p w:rsidR="00E23D62" w:rsidRDefault="00E23D6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tbl>
      <w:tblPr>
        <w:tblW w:w="933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450"/>
        <w:gridCol w:w="2880"/>
      </w:tblGrid>
      <w:tr w:rsidR="008420B2" w:rsidRPr="00E23D62" w:rsidTr="008420B2">
        <w:trPr>
          <w:trHeight w:val="283"/>
          <w:jc w:val="center"/>
        </w:trPr>
        <w:tc>
          <w:tcPr>
            <w:tcW w:w="64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20B2" w:rsidRPr="00E23D62" w:rsidRDefault="008420B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Názov položky</w:t>
            </w:r>
          </w:p>
        </w:tc>
        <w:tc>
          <w:tcPr>
            <w:tcW w:w="288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20B2" w:rsidRPr="00E23D62" w:rsidRDefault="008420B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Bežné účtovné obdobie</w:t>
            </w:r>
          </w:p>
        </w:tc>
      </w:tr>
      <w:tr w:rsidR="008420B2" w:rsidRPr="00E23D62" w:rsidTr="008420B2">
        <w:trPr>
          <w:trHeight w:val="283"/>
          <w:jc w:val="center"/>
        </w:trPr>
        <w:tc>
          <w:tcPr>
            <w:tcW w:w="64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20B2" w:rsidRPr="00E23D62" w:rsidRDefault="008420B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Dlhodobé záväzky spolu</w:t>
            </w:r>
          </w:p>
        </w:tc>
        <w:tc>
          <w:tcPr>
            <w:tcW w:w="288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20B2" w:rsidRPr="00E23D62" w:rsidRDefault="008420B2" w:rsidP="00E23D62">
            <w:pPr>
              <w:spacing w:after="0" w:line="240" w:lineRule="auto"/>
              <w:ind w:firstLineChars="400" w:firstLine="88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</w:tr>
      <w:tr w:rsidR="008420B2" w:rsidRPr="00E23D62" w:rsidTr="008420B2">
        <w:trPr>
          <w:trHeight w:val="283"/>
          <w:jc w:val="center"/>
        </w:trPr>
        <w:tc>
          <w:tcPr>
            <w:tcW w:w="645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420B2" w:rsidRPr="00E23D62" w:rsidRDefault="008420B2" w:rsidP="00E23D6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Záväzky so zostatkovou dobou splatnosti nad päť rokov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420B2" w:rsidRPr="00E23D62" w:rsidRDefault="008420B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8420B2" w:rsidRPr="00E23D62" w:rsidTr="008420B2">
        <w:trPr>
          <w:trHeight w:val="283"/>
          <w:jc w:val="center"/>
        </w:trPr>
        <w:tc>
          <w:tcPr>
            <w:tcW w:w="6450" w:type="dxa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420B2" w:rsidRPr="00E23D62" w:rsidRDefault="008420B2" w:rsidP="00E23D6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Záväzky so zostatkovou dobou splatnosti jeden rok až päť rokov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420B2" w:rsidRPr="00E23D62" w:rsidRDefault="008420B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8420B2" w:rsidRPr="00E23D62" w:rsidTr="008420B2">
        <w:trPr>
          <w:trHeight w:val="283"/>
          <w:jc w:val="center"/>
        </w:trPr>
        <w:tc>
          <w:tcPr>
            <w:tcW w:w="64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20B2" w:rsidRPr="00E23D62" w:rsidRDefault="008420B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Krátkodobé záväzky spolu</w:t>
            </w:r>
          </w:p>
        </w:tc>
        <w:tc>
          <w:tcPr>
            <w:tcW w:w="288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20B2" w:rsidRPr="00E23D62" w:rsidRDefault="008420B2" w:rsidP="00E23D62">
            <w:pPr>
              <w:spacing w:after="0" w:line="240" w:lineRule="auto"/>
              <w:ind w:firstLineChars="400" w:firstLine="88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</w:tr>
      <w:tr w:rsidR="008420B2" w:rsidRPr="00E23D62" w:rsidTr="008420B2">
        <w:trPr>
          <w:trHeight w:val="283"/>
          <w:jc w:val="center"/>
        </w:trPr>
        <w:tc>
          <w:tcPr>
            <w:tcW w:w="645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420B2" w:rsidRPr="00E23D62" w:rsidRDefault="008420B2" w:rsidP="00E23D6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Záväzky so zostatkovou dobou splatnosti do jedného roka vrátane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420B2" w:rsidRPr="00E23D62" w:rsidRDefault="008420B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8420B2" w:rsidRPr="00E23D62" w:rsidTr="008420B2">
        <w:trPr>
          <w:trHeight w:val="283"/>
          <w:jc w:val="center"/>
        </w:trPr>
        <w:tc>
          <w:tcPr>
            <w:tcW w:w="645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420B2" w:rsidRPr="00E23D62" w:rsidRDefault="008420B2" w:rsidP="00E23D6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Záväzky po lehote splatnosti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420B2" w:rsidRPr="00E23D62" w:rsidRDefault="008420B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</w:tbl>
    <w:p w:rsidR="00E23D62" w:rsidRDefault="00E23D6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:rsidR="005D536A" w:rsidRDefault="008E74DF" w:rsidP="00E23D62">
      <w:pPr>
        <w:pStyle w:val="Default"/>
        <w:keepNext/>
        <w:jc w:val="both"/>
        <w:rPr>
          <w:color w:val="auto"/>
          <w:sz w:val="23"/>
          <w:szCs w:val="23"/>
        </w:rPr>
      </w:pPr>
      <w:r>
        <w:rPr>
          <w:noProof/>
          <w:color w:val="auto"/>
          <w:sz w:val="23"/>
          <w:szCs w:val="23"/>
          <w:lang w:eastAsia="sk-SK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40640</wp:posOffset>
                </wp:positionH>
                <wp:positionV relativeFrom="paragraph">
                  <wp:posOffset>108585</wp:posOffset>
                </wp:positionV>
                <wp:extent cx="6362700" cy="1838325"/>
                <wp:effectExtent l="9525" t="9525" r="9525" b="9525"/>
                <wp:wrapNone/>
                <wp:docPr id="6" name="AutoShap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6362700" cy="183832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 type="none" w="med" len="med"/>
                          <a:tailEnd type="non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4CC9C897" id="AutoShape 6" o:spid="_x0000_s1026" type="#_x0000_t32" style="position:absolute;margin-left:3.2pt;margin-top:8.55pt;width:501pt;height:144.75pt;flip:y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"/>
            </w:pict>
          </mc:Fallback>
        </mc:AlternateContent>
      </w:r>
      <w:r w:rsidR="005D536A">
        <w:rPr>
          <w:color w:val="auto"/>
          <w:sz w:val="23"/>
          <w:szCs w:val="23"/>
        </w:rPr>
        <w:t xml:space="preserve">b) celkovej sume zabezpečených záväzkov, opis a spôsoby zabezpečenia záväzkov. </w:t>
      </w:r>
    </w:p>
    <w:p w:rsidR="00E23D62" w:rsidRDefault="00E23D62" w:rsidP="005D536A">
      <w:pPr>
        <w:pStyle w:val="Default"/>
        <w:jc w:val="both"/>
        <w:rPr>
          <w:color w:val="auto"/>
          <w:sz w:val="23"/>
          <w:szCs w:val="23"/>
        </w:rPr>
      </w:pPr>
    </w:p>
    <w:tbl>
      <w:tblPr>
        <w:tblW w:w="926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320"/>
        <w:gridCol w:w="1920"/>
        <w:gridCol w:w="2020"/>
      </w:tblGrid>
      <w:tr w:rsidR="00E23D62" w:rsidRPr="00E23D62" w:rsidTr="008420B2">
        <w:trPr>
          <w:trHeight w:val="283"/>
          <w:jc w:val="center"/>
        </w:trPr>
        <w:tc>
          <w:tcPr>
            <w:tcW w:w="5320" w:type="dxa"/>
            <w:vMerge w:val="restart"/>
            <w:tcBorders>
              <w:top w:val="single" w:sz="8" w:space="0" w:color="auto"/>
              <w:left w:val="single" w:sz="8" w:space="0" w:color="auto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Druh formy zabezpečenia záväzku</w:t>
            </w:r>
          </w:p>
        </w:tc>
        <w:tc>
          <w:tcPr>
            <w:tcW w:w="394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Hodnota záväzku zabezpečená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5320" w:type="dxa"/>
            <w:vMerge/>
            <w:tcBorders>
              <w:top w:val="single" w:sz="8" w:space="0" w:color="auto"/>
              <w:left w:val="single" w:sz="8" w:space="0" w:color="auto"/>
              <w:bottom w:val="nil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Záložným právom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Inou formou zabezpečenia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532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532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532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532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532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</w:tbl>
    <w:p w:rsidR="00E23D62" w:rsidRDefault="00E23D62" w:rsidP="005D536A">
      <w:pPr>
        <w:pStyle w:val="Default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spacing w:after="2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(3) Informácie o vlastných akciách, a to </w:t>
      </w:r>
    </w:p>
    <w:p w:rsidR="005D536A" w:rsidRDefault="005D536A" w:rsidP="005D536A">
      <w:pPr>
        <w:pStyle w:val="Default"/>
        <w:spacing w:after="2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a) dôvode nadobudnutia vlastných akcií počas účtovného obdobia, </w:t>
      </w:r>
    </w:p>
    <w:p w:rsidR="005D536A" w:rsidRDefault="005D536A" w:rsidP="005D536A">
      <w:pPr>
        <w:pStyle w:val="Default"/>
        <w:spacing w:after="2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b) informáciách, ktorými sú </w:t>
      </w:r>
    </w:p>
    <w:p w:rsidR="00E23D62" w:rsidRDefault="008E74DF" w:rsidP="00E23D62">
      <w:pPr>
        <w:pStyle w:val="Default"/>
        <w:spacing w:after="28"/>
        <w:ind w:left="708"/>
        <w:jc w:val="both"/>
        <w:rPr>
          <w:color w:val="auto"/>
          <w:sz w:val="23"/>
          <w:szCs w:val="23"/>
        </w:rPr>
      </w:pPr>
      <w:r>
        <w:rPr>
          <w:noProof/>
          <w:color w:val="auto"/>
          <w:sz w:val="23"/>
          <w:szCs w:val="23"/>
          <w:lang w:eastAsia="sk-SK"/>
        </w:rPr>
        <w:lastRenderedPageBreak/>
        <mc:AlternateContent>
          <mc:Choice Requires="wps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column">
                  <wp:posOffset>164465</wp:posOffset>
                </wp:positionH>
                <wp:positionV relativeFrom="paragraph">
                  <wp:posOffset>6350</wp:posOffset>
                </wp:positionV>
                <wp:extent cx="6515100" cy="4133850"/>
                <wp:effectExtent l="9525" t="9525" r="9525" b="9525"/>
                <wp:wrapNone/>
                <wp:docPr id="5" name="AutoShape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6515100" cy="413385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 type="none" w="med" len="med"/>
                          <a:tailEnd type="non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20FD0107" id="AutoShape 7" o:spid="_x0000_s1026" type="#_x0000_t32" style="position:absolute;margin-left:12.95pt;margin-top:.5pt;width:513pt;height:325.5pt;flip:y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"/>
            </w:pict>
          </mc:Fallback>
        </mc:AlternateContent>
      </w:r>
      <w:r w:rsidR="00E23D62">
        <w:rPr>
          <w:color w:val="auto"/>
          <w:sz w:val="23"/>
          <w:szCs w:val="23"/>
        </w:rPr>
        <w:t xml:space="preserve">1. počet a menovitá hodnota nadobudnutých vlastných akcií počas účtovného obdobia a počet a menovitá hodnota prevedených vlastných akcií počas účtovného obdobia, pričom sa uvádza percentuálna hodnota týchto vlastných akcií na upísanom základnom imaní, </w:t>
      </w:r>
    </w:p>
    <w:p w:rsidR="00E23D62" w:rsidRDefault="00E23D62" w:rsidP="00E23D62">
      <w:pPr>
        <w:pStyle w:val="Default"/>
        <w:spacing w:after="28"/>
        <w:ind w:left="70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2. počet a hodnota, za ktorú sa vlastné akcie počas účtovného obdobia nadobudli a počet a hodnota, za ktorú sa vlastné akcie počas účtovného obdobia previedli na inú osobu, </w:t>
      </w:r>
    </w:p>
    <w:p w:rsidR="00E23D62" w:rsidRDefault="00E23D62" w:rsidP="00E23D62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c) počte, menovitej hodnote a hodnote, za ktorú sa vlastné akcie nadobudli a ktoré účtovná jednotka má v držbe k poslednému dňu účtovného obdobia; uvádza sa aj ich percentuálny podiel na upísanom základnom imaní. </w:t>
      </w:r>
    </w:p>
    <w:p w:rsidR="00E23D62" w:rsidRDefault="00E23D62" w:rsidP="005D536A">
      <w:pPr>
        <w:pStyle w:val="Default"/>
        <w:spacing w:after="28"/>
        <w:jc w:val="both"/>
        <w:rPr>
          <w:color w:val="auto"/>
          <w:sz w:val="23"/>
          <w:szCs w:val="23"/>
        </w:rPr>
      </w:pPr>
    </w:p>
    <w:tbl>
      <w:tblPr>
        <w:tblW w:w="926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480"/>
        <w:gridCol w:w="1920"/>
        <w:gridCol w:w="1920"/>
        <w:gridCol w:w="1920"/>
        <w:gridCol w:w="2020"/>
      </w:tblGrid>
      <w:tr w:rsidR="00E23D62" w:rsidRPr="00E23D62" w:rsidTr="008420B2">
        <w:trPr>
          <w:trHeight w:val="283"/>
          <w:jc w:val="center"/>
        </w:trPr>
        <w:tc>
          <w:tcPr>
            <w:tcW w:w="148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Dôvod nadobudnu-tia vlastných akcií počas účtovného obdobia</w:t>
            </w:r>
          </w:p>
        </w:tc>
        <w:tc>
          <w:tcPr>
            <w:tcW w:w="7780" w:type="dxa"/>
            <w:gridSpan w:val="4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Bežné účtovné obdobie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Stav na začiatku účtovného obdobia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Prírastky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Úbytky</w:t>
            </w:r>
          </w:p>
        </w:tc>
        <w:tc>
          <w:tcPr>
            <w:tcW w:w="2020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Stav na konci účtovného obdobia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Počet akcií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Počet akcií</w:t>
            </w:r>
          </w:p>
        </w:tc>
        <w:tc>
          <w:tcPr>
            <w:tcW w:w="202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Podiel na ZI v %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Podiel na ZI v %</w:t>
            </w:r>
          </w:p>
        </w:tc>
        <w:tc>
          <w:tcPr>
            <w:tcW w:w="202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 xml:space="preserve"> Menovitá hodnota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Menovitá hodnota</w:t>
            </w:r>
          </w:p>
        </w:tc>
        <w:tc>
          <w:tcPr>
            <w:tcW w:w="202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tcBorders>
              <w:top w:val="nil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Hodnota nadobudn.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Hodnota za prevod</w:t>
            </w:r>
          </w:p>
        </w:tc>
        <w:tc>
          <w:tcPr>
            <w:tcW w:w="202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148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148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</w:tr>
    </w:tbl>
    <w:p w:rsidR="00E23D62" w:rsidRPr="00E23D62" w:rsidRDefault="00E23D62" w:rsidP="005D536A">
      <w:pPr>
        <w:pStyle w:val="Default"/>
        <w:spacing w:after="28"/>
        <w:jc w:val="both"/>
        <w:rPr>
          <w:color w:val="auto"/>
          <w:sz w:val="23"/>
          <w:szCs w:val="23"/>
        </w:rPr>
      </w:pPr>
    </w:p>
    <w:p w:rsidR="005D536A" w:rsidRDefault="008E74DF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noProof/>
          <w:color w:val="auto"/>
          <w:sz w:val="23"/>
          <w:szCs w:val="23"/>
          <w:lang w:eastAsia="sk-SK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>
                <wp:simplePos x="0" y="0"/>
                <wp:positionH relativeFrom="column">
                  <wp:posOffset>173990</wp:posOffset>
                </wp:positionH>
                <wp:positionV relativeFrom="paragraph">
                  <wp:posOffset>118110</wp:posOffset>
                </wp:positionV>
                <wp:extent cx="6305550" cy="4295775"/>
                <wp:effectExtent l="9525" t="9525" r="9525" b="9525"/>
                <wp:wrapNone/>
                <wp:docPr id="4" name="AutoShap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6305550" cy="429577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 type="none" w="med" len="med"/>
                          <a:tailEnd type="non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162744BA" id="AutoShape 8" o:spid="_x0000_s1026" type="#_x0000_t32" style="position:absolute;margin-left:13.7pt;margin-top:9.3pt;width:496.5pt;height:338.25pt;flip:y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"/>
            </w:pict>
          </mc:Fallback>
        </mc:AlternateContent>
      </w:r>
      <w:r w:rsidR="005D536A">
        <w:rPr>
          <w:color w:val="auto"/>
          <w:sz w:val="23"/>
          <w:szCs w:val="23"/>
        </w:rPr>
        <w:t xml:space="preserve">(4) Informácie o orgánoch účtovnej jednotky, a to </w:t>
      </w:r>
    </w:p>
    <w:p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a) výške jednotlivých druhov záruk alebo iných zabezpečení poskytnutých pre členov štatutárneho orgánu, dozorného orgánu a iného orgánu účtovnej jednotky, a to v členení za jednotlivé orgány, </w:t>
      </w:r>
    </w:p>
    <w:p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b) pôžičkách poskytnutých členom štatutárneho orgánu, dozorného orgánu a iného orgánu účtovnej jednotky a to </w:t>
      </w:r>
    </w:p>
    <w:p w:rsidR="005D536A" w:rsidRDefault="005D536A" w:rsidP="00E23D62">
      <w:pPr>
        <w:pStyle w:val="Default"/>
        <w:spacing w:after="27"/>
        <w:ind w:left="70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1. celková suma poskytnutých pôžičiek k poslednému dňu účtovného obdobia v členení za jednotlivé orgány, </w:t>
      </w:r>
    </w:p>
    <w:p w:rsidR="005D536A" w:rsidRDefault="005D536A" w:rsidP="00E23D62">
      <w:pPr>
        <w:pStyle w:val="Default"/>
        <w:ind w:left="70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2. celková suma splatených pôžičiek k poslednému dňu účtovného obdobia v členení za jednotlivé orgány, </w:t>
      </w:r>
    </w:p>
    <w:p w:rsidR="005D536A" w:rsidRDefault="005D536A" w:rsidP="00E23D62">
      <w:pPr>
        <w:pStyle w:val="Default"/>
        <w:spacing w:after="27"/>
        <w:ind w:left="70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3. celková suma odpustených pôžičiek a odpísaných pôžičiek k poslednému dňu účtovného obdobia v členení za jednotlivé orgány, </w:t>
      </w:r>
    </w:p>
    <w:p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c) hlavných podmienkach, na základe ktorých im boli záruky alebo iné zabezpečenie a pôžičky poskytnuté; pri pôžičkách sa uvádzajú úrokové sadzby, </w:t>
      </w:r>
    </w:p>
    <w:p w:rsidR="008420B2" w:rsidRDefault="008420B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tbl>
      <w:tblPr>
        <w:tblW w:w="9644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400"/>
        <w:gridCol w:w="1338"/>
        <w:gridCol w:w="1130"/>
        <w:gridCol w:w="654"/>
        <w:gridCol w:w="1338"/>
        <w:gridCol w:w="1130"/>
        <w:gridCol w:w="654"/>
      </w:tblGrid>
      <w:tr w:rsidR="00E23D62" w:rsidRPr="00E23D62" w:rsidTr="008420B2">
        <w:trPr>
          <w:trHeight w:val="283"/>
          <w:jc w:val="center"/>
        </w:trPr>
        <w:tc>
          <w:tcPr>
            <w:tcW w:w="340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Druh príjmu, výhody</w:t>
            </w:r>
          </w:p>
        </w:tc>
        <w:tc>
          <w:tcPr>
            <w:tcW w:w="3122" w:type="dxa"/>
            <w:gridSpan w:val="3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Hodnota príjmu, výhody súčasných členov orgánov</w:t>
            </w:r>
          </w:p>
        </w:tc>
        <w:tc>
          <w:tcPr>
            <w:tcW w:w="3122" w:type="dxa"/>
            <w:gridSpan w:val="3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Hodnota príjmu, výhody bývalých členov orgánov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340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nil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338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štatutárnych</w:t>
            </w:r>
          </w:p>
        </w:tc>
        <w:tc>
          <w:tcPr>
            <w:tcW w:w="1130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dozorných</w:t>
            </w:r>
          </w:p>
        </w:tc>
        <w:tc>
          <w:tcPr>
            <w:tcW w:w="6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iných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štatutárnych</w:t>
            </w:r>
          </w:p>
        </w:tc>
        <w:tc>
          <w:tcPr>
            <w:tcW w:w="1130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dozorných</w:t>
            </w:r>
          </w:p>
        </w:tc>
        <w:tc>
          <w:tcPr>
            <w:tcW w:w="6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iných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340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Poskytnuté záruky alebo zabezp.</w:t>
            </w:r>
          </w:p>
        </w:tc>
        <w:tc>
          <w:tcPr>
            <w:tcW w:w="133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Poskytnuté pôžičky (ku dňu ÚZ)</w:t>
            </w:r>
          </w:p>
        </w:tc>
        <w:tc>
          <w:tcPr>
            <w:tcW w:w="133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Splatené pôžičky (ku dňu ÚZ)</w:t>
            </w:r>
          </w:p>
        </w:tc>
        <w:tc>
          <w:tcPr>
            <w:tcW w:w="133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Odpustné alebo odpísané pôžičky</w:t>
            </w:r>
          </w:p>
        </w:tc>
        <w:tc>
          <w:tcPr>
            <w:tcW w:w="133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Finančné prostriedky a iné plnenie použité na súkromné účely na vyúčtovanie</w:t>
            </w:r>
          </w:p>
        </w:tc>
        <w:tc>
          <w:tcPr>
            <w:tcW w:w="1338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</w:tbl>
    <w:p w:rsidR="00E23D62" w:rsidRPr="00E23D62" w:rsidRDefault="00E23D6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:rsidR="00E23D62" w:rsidRDefault="00E23D6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d) celkovej sume použitých finančných prostriedkov alebo iného plnenia na súkromné účely členmi štatutárneho orgánu, dozorného orgánu a iného orgánu účtovnej jednotky, ktoré je potrebné vyúčtovať. </w:t>
      </w:r>
    </w:p>
    <w:p w:rsidR="00E23D62" w:rsidRDefault="00E23D62" w:rsidP="005D536A">
      <w:pPr>
        <w:pStyle w:val="Default"/>
        <w:jc w:val="both"/>
        <w:rPr>
          <w:color w:val="auto"/>
          <w:sz w:val="23"/>
          <w:szCs w:val="23"/>
        </w:rPr>
      </w:pPr>
    </w:p>
    <w:p w:rsidR="00E23D62" w:rsidRDefault="00E23D62" w:rsidP="005D536A">
      <w:pPr>
        <w:pStyle w:val="Default"/>
        <w:jc w:val="both"/>
        <w:rPr>
          <w:color w:val="auto"/>
          <w:sz w:val="23"/>
          <w:szCs w:val="23"/>
        </w:rPr>
      </w:pPr>
    </w:p>
    <w:p w:rsidR="00E23D62" w:rsidRDefault="00E23D62" w:rsidP="005D536A">
      <w:pPr>
        <w:pStyle w:val="Default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</w:p>
    <w:p w:rsidR="005D536A" w:rsidRDefault="008E74DF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noProof/>
          <w:color w:val="auto"/>
          <w:sz w:val="23"/>
          <w:szCs w:val="23"/>
          <w:lang w:eastAsia="sk-SK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>
                <wp:simplePos x="0" y="0"/>
                <wp:positionH relativeFrom="column">
                  <wp:posOffset>69215</wp:posOffset>
                </wp:positionH>
                <wp:positionV relativeFrom="paragraph">
                  <wp:posOffset>95885</wp:posOffset>
                </wp:positionV>
                <wp:extent cx="6086475" cy="3095625"/>
                <wp:effectExtent l="9525" t="9525" r="9525" b="9525"/>
                <wp:wrapNone/>
                <wp:docPr id="3" name="AutoShape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6086475" cy="309562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 type="none" w="med" len="med"/>
                          <a:tailEnd type="non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0EED8C5F" id="AutoShape 9" o:spid="_x0000_s1026" type="#_x0000_t32" style="position:absolute;margin-left:5.45pt;margin-top:7.55pt;width:479.25pt;height:243.75pt;flip:y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"/>
            </w:pict>
          </mc:Fallback>
        </mc:AlternateContent>
      </w:r>
      <w:r w:rsidR="005D536A">
        <w:rPr>
          <w:color w:val="auto"/>
          <w:sz w:val="23"/>
          <w:szCs w:val="23"/>
        </w:rPr>
        <w:t xml:space="preserve">(5) Informácie o povinnostiach účtovnej jednotky, a to </w:t>
      </w:r>
    </w:p>
    <w:p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a) celkovej sume finančných povinností, ktoré sa nevykazujú v súvahe, ale sú významné na posúdenie finančnej situácie účtovnej jednotky, napríklad povinnosti nájomcu vyplývajúce z operatívneho prenájmu, z uzatvorených zmlúv na poskytnutie úveru alebo pôžičky, ktoré ešte neboli poskytnuté, finančné povinnosti vyplývajúce z licenčných a koncesionárskych zmlúv s uvedením sumy poplatku za celé zostávajúce obdobie platnosti zmluvy, </w:t>
      </w:r>
    </w:p>
    <w:p w:rsidR="00E23D62" w:rsidRDefault="00E23D6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tbl>
      <w:tblPr>
        <w:tblW w:w="926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400"/>
        <w:gridCol w:w="2880"/>
        <w:gridCol w:w="2980"/>
      </w:tblGrid>
      <w:tr w:rsidR="00E23D62" w:rsidRPr="00E23D62" w:rsidTr="008420B2">
        <w:trPr>
          <w:trHeight w:val="283"/>
          <w:jc w:val="center"/>
        </w:trPr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Názov položky</w:t>
            </w:r>
          </w:p>
        </w:tc>
        <w:tc>
          <w:tcPr>
            <w:tcW w:w="288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Hodnota celkom</w:t>
            </w:r>
          </w:p>
        </w:tc>
        <w:tc>
          <w:tcPr>
            <w:tcW w:w="298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Hodnota voči dcérskej ÚJ                a ÚJ s podstatným vplyvom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23D62" w:rsidRPr="00E23D62" w:rsidRDefault="00E23D62" w:rsidP="008420B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Povinnosti nájomcu z operat</w:t>
            </w:r>
            <w:r w:rsidR="008420B2">
              <w:rPr>
                <w:rFonts w:eastAsia="Times New Roman"/>
                <w:color w:val="000000"/>
                <w:sz w:val="22"/>
                <w:lang w:eastAsia="sk-SK"/>
              </w:rPr>
              <w:t>ívneho</w:t>
            </w: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 xml:space="preserve"> pren</w:t>
            </w:r>
            <w:r w:rsidR="008420B2">
              <w:rPr>
                <w:rFonts w:eastAsia="Times New Roman"/>
                <w:color w:val="000000"/>
                <w:sz w:val="22"/>
                <w:lang w:eastAsia="sk-SK"/>
              </w:rPr>
              <w:t>ájmu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23D62" w:rsidRPr="00E23D62" w:rsidRDefault="00E23D62" w:rsidP="008420B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Povinnosti z uzatv</w:t>
            </w:r>
            <w:r w:rsidR="008420B2">
              <w:rPr>
                <w:rFonts w:eastAsia="Times New Roman"/>
                <w:color w:val="000000"/>
                <w:sz w:val="22"/>
                <w:lang w:eastAsia="sk-SK"/>
              </w:rPr>
              <w:t>orených</w:t>
            </w: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 xml:space="preserve"> úverov</w:t>
            </w:r>
            <w:r w:rsidR="008420B2">
              <w:rPr>
                <w:rFonts w:eastAsia="Times New Roman"/>
                <w:color w:val="000000"/>
                <w:sz w:val="22"/>
                <w:lang w:eastAsia="sk-SK"/>
              </w:rPr>
              <w:t>ých</w:t>
            </w: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 xml:space="preserve"> zmlúv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Povinnosti z licenčných zmlúv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Povinnosti z koncesionársk</w:t>
            </w:r>
            <w:r w:rsidR="008420B2">
              <w:rPr>
                <w:rFonts w:eastAsia="Times New Roman"/>
                <w:color w:val="000000"/>
                <w:sz w:val="22"/>
                <w:lang w:eastAsia="sk-SK"/>
              </w:rPr>
              <w:t>ych</w:t>
            </w: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. zmlúv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Ostatné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</w:tbl>
    <w:p w:rsidR="00E23D62" w:rsidRDefault="00E23D6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:rsidR="00E23D62" w:rsidRDefault="00E23D6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:rsidR="00E23D62" w:rsidRDefault="00E23D6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:rsidR="005D536A" w:rsidRDefault="008E74DF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noProof/>
          <w:color w:val="auto"/>
          <w:sz w:val="23"/>
          <w:szCs w:val="23"/>
          <w:lang w:eastAsia="sk-SK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>
                <wp:simplePos x="0" y="0"/>
                <wp:positionH relativeFrom="column">
                  <wp:posOffset>183515</wp:posOffset>
                </wp:positionH>
                <wp:positionV relativeFrom="paragraph">
                  <wp:posOffset>78740</wp:posOffset>
                </wp:positionV>
                <wp:extent cx="5934075" cy="3695700"/>
                <wp:effectExtent l="9525" t="9525" r="9525" b="9525"/>
                <wp:wrapNone/>
                <wp:docPr id="2" name="AutoShape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5934075" cy="369570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 type="none" w="med" len="med"/>
                          <a:tailEnd type="non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61DB1C9C" id="AutoShape 10" o:spid="_x0000_s1026" type="#_x0000_t32" style="position:absolute;margin-left:14.45pt;margin-top:6.2pt;width:467.25pt;height:291pt;flip:y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"/>
            </w:pict>
          </mc:Fallback>
        </mc:AlternateContent>
      </w:r>
      <w:r w:rsidR="005D536A">
        <w:rPr>
          <w:color w:val="auto"/>
          <w:sz w:val="23"/>
          <w:szCs w:val="23"/>
        </w:rPr>
        <w:t xml:space="preserve">b) celkovej sume významných podmienených záväzkov, ktorými sa rozumie </w:t>
      </w:r>
    </w:p>
    <w:p w:rsidR="005D536A" w:rsidRDefault="005D536A" w:rsidP="008420B2">
      <w:pPr>
        <w:pStyle w:val="Default"/>
        <w:spacing w:after="27"/>
        <w:ind w:left="70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1. možná povinnosť, ktorá vznikla ako dôsledok minulej udalosti a ktorej existencia závisí od toho, či nastane alebo nenastane jedna alebo viac neistých udalostí v budúcnosti, ktorých vznik nezávisí od účtovnej jednotky, alebo </w:t>
      </w:r>
    </w:p>
    <w:p w:rsidR="005D536A" w:rsidRDefault="005D536A" w:rsidP="008420B2">
      <w:pPr>
        <w:pStyle w:val="Default"/>
        <w:spacing w:after="27"/>
        <w:ind w:left="70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2. existujúca povinnosť, ktorá vznikla ako dôsledok minulej udalosti, ale ktorá sa nevykazuje v súvahe, pretože </w:t>
      </w:r>
    </w:p>
    <w:p w:rsidR="005D536A" w:rsidRDefault="005D536A" w:rsidP="008420B2">
      <w:pPr>
        <w:pStyle w:val="Default"/>
        <w:spacing w:after="27"/>
        <w:ind w:left="70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2a. nie je pravdepodobné, že na splnenie tejto povinnosti bude potrebný úbytok ekonomických úžitkov, alebo </w:t>
      </w:r>
    </w:p>
    <w:p w:rsidR="005D536A" w:rsidRDefault="005D536A" w:rsidP="008420B2">
      <w:pPr>
        <w:pStyle w:val="Default"/>
        <w:spacing w:after="27"/>
        <w:ind w:firstLine="70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2b. výška tejto povinnosti sa nedá spoľahlivo oceniť, </w:t>
      </w:r>
    </w:p>
    <w:p w:rsidR="008420B2" w:rsidRDefault="008420B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:rsidR="008420B2" w:rsidRDefault="008420B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tbl>
      <w:tblPr>
        <w:tblW w:w="9275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415"/>
        <w:gridCol w:w="2626"/>
        <w:gridCol w:w="3234"/>
      </w:tblGrid>
      <w:tr w:rsidR="008420B2" w:rsidRPr="008420B2" w:rsidTr="008420B2">
        <w:trPr>
          <w:trHeight w:val="283"/>
          <w:jc w:val="center"/>
        </w:trPr>
        <w:tc>
          <w:tcPr>
            <w:tcW w:w="3415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420B2" w:rsidRPr="008420B2" w:rsidRDefault="008420B2" w:rsidP="008420B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8420B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Druh podmieneného záväzku</w:t>
            </w:r>
          </w:p>
        </w:tc>
        <w:tc>
          <w:tcPr>
            <w:tcW w:w="586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8420B2" w:rsidRPr="008420B2" w:rsidRDefault="008420B2" w:rsidP="008420B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8420B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Bežné účtovné obdobie</w:t>
            </w:r>
          </w:p>
        </w:tc>
      </w:tr>
      <w:tr w:rsidR="008420B2" w:rsidRPr="008420B2" w:rsidTr="008420B2">
        <w:trPr>
          <w:trHeight w:val="283"/>
          <w:jc w:val="center"/>
        </w:trPr>
        <w:tc>
          <w:tcPr>
            <w:tcW w:w="3415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8420B2" w:rsidRPr="008420B2" w:rsidRDefault="008420B2" w:rsidP="008420B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2626" w:type="dxa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420B2" w:rsidRPr="008420B2" w:rsidRDefault="008420B2" w:rsidP="008420B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8420B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Hodnota celkom</w:t>
            </w:r>
          </w:p>
        </w:tc>
        <w:tc>
          <w:tcPr>
            <w:tcW w:w="3234" w:type="dxa"/>
            <w:tcBorders>
              <w:top w:val="single" w:sz="4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8420B2" w:rsidRPr="008420B2" w:rsidRDefault="008420B2" w:rsidP="008420B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8420B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Hodnota voči dcérskej ÚJ                a ÚJ s podstatným vplyvom</w:t>
            </w:r>
          </w:p>
        </w:tc>
      </w:tr>
      <w:tr w:rsidR="008420B2" w:rsidRPr="008420B2" w:rsidTr="008420B2">
        <w:trPr>
          <w:trHeight w:val="283"/>
          <w:jc w:val="center"/>
        </w:trPr>
        <w:tc>
          <w:tcPr>
            <w:tcW w:w="341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420B2" w:rsidRPr="008420B2" w:rsidRDefault="008420B2" w:rsidP="008420B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8420B2">
              <w:rPr>
                <w:rFonts w:eastAsia="Times New Roman"/>
                <w:color w:val="000000"/>
                <w:sz w:val="22"/>
                <w:lang w:eastAsia="sk-SK"/>
              </w:rPr>
              <w:t>Zo súdnych rozhodnutí</w:t>
            </w:r>
          </w:p>
        </w:tc>
        <w:tc>
          <w:tcPr>
            <w:tcW w:w="2626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3234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8420B2" w:rsidRPr="008420B2" w:rsidTr="008420B2">
        <w:trPr>
          <w:trHeight w:val="283"/>
          <w:jc w:val="center"/>
        </w:trPr>
        <w:tc>
          <w:tcPr>
            <w:tcW w:w="341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420B2" w:rsidRPr="008420B2" w:rsidRDefault="008420B2" w:rsidP="008420B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8420B2">
              <w:rPr>
                <w:rFonts w:eastAsia="Times New Roman"/>
                <w:color w:val="000000"/>
                <w:sz w:val="22"/>
                <w:lang w:eastAsia="sk-SK"/>
              </w:rPr>
              <w:t>Z poskytnutých záruk</w:t>
            </w:r>
          </w:p>
        </w:tc>
        <w:tc>
          <w:tcPr>
            <w:tcW w:w="26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323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8420B2" w:rsidRPr="008420B2" w:rsidTr="008420B2">
        <w:trPr>
          <w:trHeight w:val="283"/>
          <w:jc w:val="center"/>
        </w:trPr>
        <w:tc>
          <w:tcPr>
            <w:tcW w:w="341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8420B2" w:rsidRPr="008420B2" w:rsidRDefault="008420B2" w:rsidP="008420B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8420B2">
              <w:rPr>
                <w:rFonts w:eastAsia="Times New Roman"/>
                <w:color w:val="000000"/>
                <w:sz w:val="22"/>
                <w:lang w:eastAsia="sk-SK"/>
              </w:rPr>
              <w:t>Zo všeob</w:t>
            </w:r>
            <w:r>
              <w:rPr>
                <w:rFonts w:eastAsia="Times New Roman"/>
                <w:color w:val="000000"/>
                <w:sz w:val="22"/>
                <w:lang w:eastAsia="sk-SK"/>
              </w:rPr>
              <w:t>ecne</w:t>
            </w:r>
            <w:r w:rsidRPr="008420B2">
              <w:rPr>
                <w:rFonts w:eastAsia="Times New Roman"/>
                <w:color w:val="000000"/>
                <w:sz w:val="22"/>
                <w:lang w:eastAsia="sk-SK"/>
              </w:rPr>
              <w:t>. záväzn</w:t>
            </w:r>
            <w:r>
              <w:rPr>
                <w:rFonts w:eastAsia="Times New Roman"/>
                <w:color w:val="000000"/>
                <w:sz w:val="22"/>
                <w:lang w:eastAsia="sk-SK"/>
              </w:rPr>
              <w:t>ých</w:t>
            </w:r>
            <w:r w:rsidRPr="008420B2">
              <w:rPr>
                <w:rFonts w:eastAsia="Times New Roman"/>
                <w:color w:val="000000"/>
                <w:sz w:val="22"/>
                <w:lang w:eastAsia="sk-SK"/>
              </w:rPr>
              <w:t>. právn</w:t>
            </w:r>
            <w:r>
              <w:rPr>
                <w:rFonts w:eastAsia="Times New Roman"/>
                <w:color w:val="000000"/>
                <w:sz w:val="22"/>
                <w:lang w:eastAsia="sk-SK"/>
              </w:rPr>
              <w:t>ych</w:t>
            </w:r>
            <w:r w:rsidRPr="008420B2">
              <w:rPr>
                <w:rFonts w:eastAsia="Times New Roman"/>
                <w:color w:val="000000"/>
                <w:sz w:val="22"/>
                <w:lang w:eastAsia="sk-SK"/>
              </w:rPr>
              <w:t>. predp</w:t>
            </w:r>
            <w:r>
              <w:rPr>
                <w:rFonts w:eastAsia="Times New Roman"/>
                <w:color w:val="000000"/>
                <w:sz w:val="22"/>
                <w:lang w:eastAsia="sk-SK"/>
              </w:rPr>
              <w:t>isov</w:t>
            </w:r>
          </w:p>
        </w:tc>
        <w:tc>
          <w:tcPr>
            <w:tcW w:w="26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323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8420B2" w:rsidRPr="008420B2" w:rsidTr="008420B2">
        <w:trPr>
          <w:trHeight w:val="283"/>
          <w:jc w:val="center"/>
        </w:trPr>
        <w:tc>
          <w:tcPr>
            <w:tcW w:w="341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420B2" w:rsidRPr="008420B2" w:rsidRDefault="008420B2" w:rsidP="008420B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8420B2">
              <w:rPr>
                <w:rFonts w:eastAsia="Times New Roman"/>
                <w:color w:val="000000"/>
                <w:sz w:val="22"/>
                <w:lang w:eastAsia="sk-SK"/>
              </w:rPr>
              <w:t>Zo zmluvy o podriadenom záväzku</w:t>
            </w:r>
          </w:p>
        </w:tc>
        <w:tc>
          <w:tcPr>
            <w:tcW w:w="26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323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8420B2" w:rsidRPr="008420B2" w:rsidTr="008420B2">
        <w:trPr>
          <w:trHeight w:val="283"/>
          <w:jc w:val="center"/>
        </w:trPr>
        <w:tc>
          <w:tcPr>
            <w:tcW w:w="341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420B2" w:rsidRPr="008420B2" w:rsidRDefault="008420B2" w:rsidP="008420B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8420B2">
              <w:rPr>
                <w:rFonts w:eastAsia="Times New Roman"/>
                <w:color w:val="000000"/>
                <w:sz w:val="22"/>
                <w:lang w:eastAsia="sk-SK"/>
              </w:rPr>
              <w:t>Z ručenia</w:t>
            </w:r>
          </w:p>
        </w:tc>
        <w:tc>
          <w:tcPr>
            <w:tcW w:w="26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323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8420B2" w:rsidRPr="008420B2" w:rsidTr="008420B2">
        <w:trPr>
          <w:trHeight w:val="283"/>
          <w:jc w:val="center"/>
        </w:trPr>
        <w:tc>
          <w:tcPr>
            <w:tcW w:w="3415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420B2" w:rsidRPr="008420B2" w:rsidRDefault="008420B2" w:rsidP="008420B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8420B2">
              <w:rPr>
                <w:rFonts w:eastAsia="Times New Roman"/>
                <w:color w:val="000000"/>
                <w:sz w:val="22"/>
                <w:lang w:eastAsia="sk-SK"/>
              </w:rPr>
              <w:t>Iné podmienené záväzky</w:t>
            </w:r>
          </w:p>
        </w:tc>
        <w:tc>
          <w:tcPr>
            <w:tcW w:w="2626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3234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</w:tbl>
    <w:p w:rsidR="008420B2" w:rsidRDefault="008420B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:rsidR="008420B2" w:rsidRDefault="008E74DF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noProof/>
          <w:color w:val="auto"/>
          <w:sz w:val="23"/>
          <w:szCs w:val="23"/>
          <w:lang w:eastAsia="sk-SK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>
                <wp:simplePos x="0" y="0"/>
                <wp:positionH relativeFrom="column">
                  <wp:posOffset>21590</wp:posOffset>
                </wp:positionH>
                <wp:positionV relativeFrom="paragraph">
                  <wp:posOffset>180340</wp:posOffset>
                </wp:positionV>
                <wp:extent cx="5676900" cy="1771650"/>
                <wp:effectExtent l="9525" t="9525" r="9525" b="9525"/>
                <wp:wrapNone/>
                <wp:docPr id="1" name="AutoShape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5676900" cy="177165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 type="none" w="med" len="med"/>
                          <a:tailEnd type="non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5234B4CD" id="AutoShape 11" o:spid="_x0000_s1026" type="#_x0000_t32" style="position:absolute;margin-left:1.7pt;margin-top:14.2pt;width:447pt;height:139.5pt;flip:y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"/>
            </w:pict>
          </mc:Fallback>
        </mc:AlternateContent>
      </w:r>
    </w:p>
    <w:p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c) opise významných finančných povinností a významných podmienených záväzkov, </w:t>
      </w:r>
    </w:p>
    <w:p w:rsidR="008420B2" w:rsidRDefault="008420B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:rsidR="008420B2" w:rsidRDefault="008420B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d) celkovej sume významných finančných povinností a významných podmienených záväzkoch voči dcérskej účtovnej jednotke a účtovnej jednotke s podstatným vplyvom, </w:t>
      </w:r>
    </w:p>
    <w:p w:rsidR="008420B2" w:rsidRDefault="008420B2" w:rsidP="005D536A">
      <w:pPr>
        <w:pStyle w:val="Default"/>
        <w:jc w:val="both"/>
        <w:rPr>
          <w:color w:val="auto"/>
          <w:sz w:val="23"/>
          <w:szCs w:val="23"/>
        </w:rPr>
      </w:pPr>
    </w:p>
    <w:p w:rsidR="008420B2" w:rsidRDefault="008420B2" w:rsidP="005D536A">
      <w:pPr>
        <w:pStyle w:val="Default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e) opise významných povinností účtovnej jednotky vyplývajúcich z dôchodkových programov pre zamestnancov. </w:t>
      </w:r>
    </w:p>
    <w:p w:rsidR="00F450E6" w:rsidRDefault="00AB33D1" w:rsidP="005D536A">
      <w:pPr>
        <w:jc w:val="both"/>
      </w:pPr>
    </w:p>
    <w:sectPr w:rsidR="00F450E6" w:rsidSect="00E97F30">
      <w:headerReference w:type="default" r:id="rId7"/>
      <w:pgSz w:w="11906" w:h="17340"/>
      <w:pgMar w:top="993" w:right="843" w:bottom="505" w:left="791" w:header="708" w:footer="708" w:gutter="0"/>
      <w:cols w:space="708"/>
      <w:noEndnote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B33D1" w:rsidRDefault="00AB33D1" w:rsidP="00536B52">
      <w:pPr>
        <w:spacing w:after="0" w:line="240" w:lineRule="auto"/>
      </w:pPr>
      <w:r>
        <w:separator/>
      </w:r>
    </w:p>
  </w:endnote>
  <w:endnote w:type="continuationSeparator" w:id="0">
    <w:p w:rsidR="00AB33D1" w:rsidRDefault="00AB33D1" w:rsidP="00536B5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B33D1" w:rsidRDefault="00AB33D1" w:rsidP="00536B52">
      <w:pPr>
        <w:spacing w:after="0" w:line="240" w:lineRule="auto"/>
      </w:pPr>
      <w:r>
        <w:separator/>
      </w:r>
    </w:p>
  </w:footnote>
  <w:footnote w:type="continuationSeparator" w:id="0">
    <w:p w:rsidR="00AB33D1" w:rsidRDefault="00AB33D1" w:rsidP="00536B5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Style w:val="Mriekatabuky"/>
      <w:tblW w:w="0" w:type="auto"/>
      <w:tblLook w:val="04A0" w:firstRow="1" w:lastRow="0" w:firstColumn="1" w:lastColumn="0" w:noHBand="0" w:noVBand="1"/>
    </w:tblPr>
    <w:tblGrid>
      <w:gridCol w:w="2767"/>
      <w:gridCol w:w="613"/>
      <w:gridCol w:w="336"/>
      <w:gridCol w:w="336"/>
      <w:gridCol w:w="336"/>
      <w:gridCol w:w="336"/>
      <w:gridCol w:w="336"/>
      <w:gridCol w:w="336"/>
      <w:gridCol w:w="336"/>
      <w:gridCol w:w="336"/>
      <w:gridCol w:w="834"/>
      <w:gridCol w:w="336"/>
      <w:gridCol w:w="336"/>
      <w:gridCol w:w="336"/>
      <w:gridCol w:w="336"/>
      <w:gridCol w:w="336"/>
      <w:gridCol w:w="336"/>
      <w:gridCol w:w="336"/>
      <w:gridCol w:w="336"/>
      <w:gridCol w:w="336"/>
      <w:gridCol w:w="336"/>
    </w:tblGrid>
    <w:tr w:rsidR="00902D97" w:rsidTr="00185D24">
      <w:tc>
        <w:tcPr>
          <w:tcW w:w="3890" w:type="dxa"/>
        </w:tcPr>
        <w:p w:rsidR="00536B52" w:rsidRDefault="00536B52" w:rsidP="00185D24">
          <w:pPr>
            <w:pStyle w:val="Default"/>
            <w:rPr>
              <w:color w:val="auto"/>
            </w:rPr>
          </w:pPr>
          <w:r>
            <w:rPr>
              <w:sz w:val="23"/>
              <w:szCs w:val="23"/>
            </w:rPr>
            <w:t>Poznámky Úč MÚJ 3 - 01</w:t>
          </w:r>
        </w:p>
      </w:tc>
      <w:tc>
        <w:tcPr>
          <w:tcW w:w="613" w:type="dxa"/>
          <w:tcBorders>
            <w:top w:val="nil"/>
            <w:bottom w:val="nil"/>
          </w:tcBorders>
        </w:tcPr>
        <w:p w:rsidR="00536B52" w:rsidRDefault="00536B52" w:rsidP="00185D24">
          <w:pPr>
            <w:pStyle w:val="Default"/>
            <w:rPr>
              <w:color w:val="auto"/>
            </w:rPr>
          </w:pPr>
          <w:r>
            <w:rPr>
              <w:sz w:val="23"/>
              <w:szCs w:val="23"/>
            </w:rPr>
            <w:t>IČO</w:t>
          </w:r>
        </w:p>
      </w:tc>
      <w:tc>
        <w:tcPr>
          <w:tcW w:w="283" w:type="dxa"/>
        </w:tcPr>
        <w:p w:rsidR="00536B52" w:rsidRDefault="00902D97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4</w:t>
          </w:r>
        </w:p>
      </w:tc>
      <w:tc>
        <w:tcPr>
          <w:tcW w:w="284" w:type="dxa"/>
        </w:tcPr>
        <w:p w:rsidR="00536B52" w:rsidRDefault="00902D97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4</w:t>
          </w:r>
        </w:p>
      </w:tc>
      <w:tc>
        <w:tcPr>
          <w:tcW w:w="283" w:type="dxa"/>
        </w:tcPr>
        <w:p w:rsidR="00536B52" w:rsidRDefault="00902D97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6</w:t>
          </w:r>
        </w:p>
      </w:tc>
      <w:tc>
        <w:tcPr>
          <w:tcW w:w="284" w:type="dxa"/>
        </w:tcPr>
        <w:p w:rsidR="00536B52" w:rsidRDefault="00902D97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7</w:t>
          </w:r>
        </w:p>
      </w:tc>
      <w:tc>
        <w:tcPr>
          <w:tcW w:w="283" w:type="dxa"/>
        </w:tcPr>
        <w:p w:rsidR="00536B52" w:rsidRDefault="00902D97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1</w:t>
          </w:r>
        </w:p>
      </w:tc>
      <w:tc>
        <w:tcPr>
          <w:tcW w:w="236" w:type="dxa"/>
        </w:tcPr>
        <w:p w:rsidR="00536B52" w:rsidRDefault="00902D97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0</w:t>
          </w:r>
        </w:p>
      </w:tc>
      <w:tc>
        <w:tcPr>
          <w:tcW w:w="236" w:type="dxa"/>
        </w:tcPr>
        <w:p w:rsidR="00536B52" w:rsidRDefault="00902D97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9</w:t>
          </w:r>
        </w:p>
      </w:tc>
      <w:tc>
        <w:tcPr>
          <w:tcW w:w="237" w:type="dxa"/>
        </w:tcPr>
        <w:p w:rsidR="00536B52" w:rsidRDefault="00902D97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1</w:t>
          </w:r>
        </w:p>
      </w:tc>
      <w:tc>
        <w:tcPr>
          <w:tcW w:w="992" w:type="dxa"/>
          <w:tcBorders>
            <w:top w:val="nil"/>
            <w:bottom w:val="nil"/>
          </w:tcBorders>
        </w:tcPr>
        <w:p w:rsidR="00536B52" w:rsidRDefault="00536B52" w:rsidP="00185D24">
          <w:pPr>
            <w:pStyle w:val="Default"/>
            <w:rPr>
              <w:color w:val="auto"/>
            </w:rPr>
          </w:pPr>
          <w:r>
            <w:rPr>
              <w:sz w:val="23"/>
              <w:szCs w:val="23"/>
            </w:rPr>
            <w:t>DIČ</w:t>
          </w:r>
        </w:p>
      </w:tc>
      <w:tc>
        <w:tcPr>
          <w:tcW w:w="284" w:type="dxa"/>
        </w:tcPr>
        <w:p w:rsidR="00536B52" w:rsidRDefault="00902D97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2</w:t>
          </w:r>
        </w:p>
      </w:tc>
      <w:tc>
        <w:tcPr>
          <w:tcW w:w="283" w:type="dxa"/>
        </w:tcPr>
        <w:p w:rsidR="00536B52" w:rsidRDefault="00902D97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0</w:t>
          </w:r>
        </w:p>
      </w:tc>
      <w:tc>
        <w:tcPr>
          <w:tcW w:w="284" w:type="dxa"/>
        </w:tcPr>
        <w:p w:rsidR="00536B52" w:rsidRDefault="00902D97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2</w:t>
          </w:r>
        </w:p>
      </w:tc>
      <w:tc>
        <w:tcPr>
          <w:tcW w:w="283" w:type="dxa"/>
        </w:tcPr>
        <w:p w:rsidR="00536B52" w:rsidRDefault="00902D97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2</w:t>
          </w:r>
        </w:p>
      </w:tc>
      <w:tc>
        <w:tcPr>
          <w:tcW w:w="284" w:type="dxa"/>
        </w:tcPr>
        <w:p w:rsidR="00536B52" w:rsidRDefault="00902D97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8</w:t>
          </w:r>
        </w:p>
      </w:tc>
      <w:tc>
        <w:tcPr>
          <w:tcW w:w="283" w:type="dxa"/>
        </w:tcPr>
        <w:p w:rsidR="00536B52" w:rsidRDefault="00902D97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1</w:t>
          </w:r>
        </w:p>
      </w:tc>
      <w:tc>
        <w:tcPr>
          <w:tcW w:w="284" w:type="dxa"/>
        </w:tcPr>
        <w:p w:rsidR="00536B52" w:rsidRDefault="00902D97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0</w:t>
          </w:r>
        </w:p>
      </w:tc>
      <w:tc>
        <w:tcPr>
          <w:tcW w:w="283" w:type="dxa"/>
        </w:tcPr>
        <w:p w:rsidR="00536B52" w:rsidRDefault="00902D97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1</w:t>
          </w:r>
        </w:p>
      </w:tc>
      <w:tc>
        <w:tcPr>
          <w:tcW w:w="249" w:type="dxa"/>
        </w:tcPr>
        <w:p w:rsidR="00536B52" w:rsidRDefault="00902D97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6</w:t>
          </w:r>
        </w:p>
      </w:tc>
      <w:tc>
        <w:tcPr>
          <w:tcW w:w="236" w:type="dxa"/>
        </w:tcPr>
        <w:p w:rsidR="00536B52" w:rsidRDefault="00902D97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3</w:t>
          </w:r>
        </w:p>
      </w:tc>
    </w:tr>
  </w:tbl>
  <w:p w:rsidR="00536B52" w:rsidRDefault="00536B52">
    <w:pPr>
      <w:pStyle w:val="Hlavika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D536A"/>
    <w:rsid w:val="00014F35"/>
    <w:rsid w:val="00104CBE"/>
    <w:rsid w:val="00104CF6"/>
    <w:rsid w:val="0010796B"/>
    <w:rsid w:val="0011611B"/>
    <w:rsid w:val="00123F1F"/>
    <w:rsid w:val="00172443"/>
    <w:rsid w:val="002052C4"/>
    <w:rsid w:val="0031338E"/>
    <w:rsid w:val="003B69B1"/>
    <w:rsid w:val="0040300D"/>
    <w:rsid w:val="00426E80"/>
    <w:rsid w:val="00536B52"/>
    <w:rsid w:val="005D536A"/>
    <w:rsid w:val="005E1C8A"/>
    <w:rsid w:val="006171F8"/>
    <w:rsid w:val="006A0AB4"/>
    <w:rsid w:val="006A7C8A"/>
    <w:rsid w:val="007619D7"/>
    <w:rsid w:val="00786CB1"/>
    <w:rsid w:val="007A0F50"/>
    <w:rsid w:val="008420B2"/>
    <w:rsid w:val="008909E4"/>
    <w:rsid w:val="008948EC"/>
    <w:rsid w:val="008C12FE"/>
    <w:rsid w:val="008D018D"/>
    <w:rsid w:val="008E4934"/>
    <w:rsid w:val="008E74DF"/>
    <w:rsid w:val="00902D97"/>
    <w:rsid w:val="00962DA0"/>
    <w:rsid w:val="0098325B"/>
    <w:rsid w:val="009D09A4"/>
    <w:rsid w:val="00AB33D1"/>
    <w:rsid w:val="00AD23CF"/>
    <w:rsid w:val="00B202C7"/>
    <w:rsid w:val="00B7370E"/>
    <w:rsid w:val="00BD039E"/>
    <w:rsid w:val="00D10215"/>
    <w:rsid w:val="00D20B35"/>
    <w:rsid w:val="00D73AA9"/>
    <w:rsid w:val="00E23D62"/>
    <w:rsid w:val="00E77D78"/>
    <w:rsid w:val="00E93DD4"/>
    <w:rsid w:val="00EA5B96"/>
    <w:rsid w:val="00FE50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9E4F0EDC-F1AB-4EC1-9B84-56C859521C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="Calibr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104CBE"/>
    <w:rPr>
      <w:rFonts w:ascii="Times New Roman" w:hAnsi="Times New Roman" w:cs="Times New Roman"/>
      <w:sz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Default">
    <w:name w:val="Default"/>
    <w:rsid w:val="005D536A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styleId="Mriekatabuky">
    <w:name w:val="Table Grid"/>
    <w:basedOn w:val="Normlnatabuka"/>
    <w:uiPriority w:val="59"/>
    <w:rsid w:val="005D536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536B5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536B52"/>
    <w:rPr>
      <w:rFonts w:ascii="Times New Roman" w:hAnsi="Times New Roman" w:cs="Times New Roman"/>
      <w:sz w:val="24"/>
    </w:rPr>
  </w:style>
  <w:style w:type="paragraph" w:styleId="Pta">
    <w:name w:val="footer"/>
    <w:basedOn w:val="Normlny"/>
    <w:link w:val="PtaChar"/>
    <w:uiPriority w:val="99"/>
    <w:unhideWhenUsed/>
    <w:rsid w:val="00536B5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536B52"/>
    <w:rPr>
      <w:rFonts w:ascii="Times New Roman" w:hAnsi="Times New Roman" w:cs="Times New Roman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6122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771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105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368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523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490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027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938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942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369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201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856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646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124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839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5AA0D87-700F-49E8-879C-776F59E3D69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1437</Words>
  <Characters>8196</Characters>
  <Application>Microsoft Office Word</Application>
  <DocSecurity>0</DocSecurity>
  <Lines>68</Lines>
  <Paragraphs>19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HP</Company>
  <LinksUpToDate>false</LinksUpToDate>
  <CharactersWithSpaces>9614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Newton</dc:creator>
  <cp:lastModifiedBy>Viera Jdaieh</cp:lastModifiedBy>
  <cp:revision>2</cp:revision>
  <dcterms:created xsi:type="dcterms:W3CDTF">2019-05-12T15:38:00Z</dcterms:created>
  <dcterms:modified xsi:type="dcterms:W3CDTF">2019-05-12T15:38:00Z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6a0c4d74-2ddf-4a3f-9c85-3b2ab35ffe4a_Enabled">
    <vt:lpwstr>True</vt:lpwstr>
  </property>
  <property fmtid="{D5CDD505-2E9C-101B-9397-08002B2CF9AE}" pid="3" name="MSIP_Label_6a0c4d74-2ddf-4a3f-9c85-3b2ab35ffe4a_SiteId">
    <vt:lpwstr>95735dfb-83cb-4be7-9b78-61e3b2310d49</vt:lpwstr>
  </property>
  <property fmtid="{D5CDD505-2E9C-101B-9397-08002B2CF9AE}" pid="4" name="MSIP_Label_6a0c4d74-2ddf-4a3f-9c85-3b2ab35ffe4a_Owner">
    <vt:lpwstr>Michaela.Moravcova@zse.sk</vt:lpwstr>
  </property>
  <property fmtid="{D5CDD505-2E9C-101B-9397-08002B2CF9AE}" pid="5" name="MSIP_Label_6a0c4d74-2ddf-4a3f-9c85-3b2ab35ffe4a_SetDate">
    <vt:lpwstr>2019-05-02T09:38:50.6840863Z</vt:lpwstr>
  </property>
  <property fmtid="{D5CDD505-2E9C-101B-9397-08002B2CF9AE}" pid="6" name="MSIP_Label_6a0c4d74-2ddf-4a3f-9c85-3b2ab35ffe4a_Name">
    <vt:lpwstr>Interné (Internal)</vt:lpwstr>
  </property>
  <property fmtid="{D5CDD505-2E9C-101B-9397-08002B2CF9AE}" pid="7" name="MSIP_Label_6a0c4d74-2ddf-4a3f-9c85-3b2ab35ffe4a_Application">
    <vt:lpwstr>Microsoft Azure Information Protection</vt:lpwstr>
  </property>
  <property fmtid="{D5CDD505-2E9C-101B-9397-08002B2CF9AE}" pid="8" name="MSIP_Label_6a0c4d74-2ddf-4a3f-9c85-3b2ab35ffe4a_Extended_MSFT_Method">
    <vt:lpwstr>Automatic</vt:lpwstr>
  </property>
  <property fmtid="{D5CDD505-2E9C-101B-9397-08002B2CF9AE}" pid="9" name="Sensitivity">
    <vt:lpwstr>Interné (Internal)</vt:lpwstr>
  </property>
</Properties>
</file>