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426" w:hanging="426"/>
        <w:jc w:val="center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Článok I - Všeobecné údaje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I.1</w:t>
        <w:tab/>
        <w:t xml:space="preserve">Názov právnickej osoby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          Westudio s.r.o.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ab/>
        <w:t xml:space="preserve">Sídlo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čtovnej jednotky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: 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         Prachatická 1798/19, 96001 Zvolen     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i/>
          <w:color w:val="auto"/>
          <w:spacing w:val="0"/>
          <w:position w:val="0"/>
          <w:sz w:val="22"/>
          <w:shd w:fill="auto" w:val="clear"/>
        </w:rPr>
        <w:t xml:space="preserve">        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ab/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I.2</w:t>
        <w:tab/>
        <w:t xml:space="preserve">Údaje o konsolidovanom celku, ak je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čtovná jednotka jeho súčasťou: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Pre danú oblas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ť nemá účtovná jednotka obsahovú náplň.</w:t>
      </w:r>
    </w:p>
    <w:p>
      <w:pPr>
        <w:spacing w:before="0" w:after="0" w:line="276"/>
        <w:ind w:right="0" w:left="0" w:firstLine="0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I.3</w:t>
        <w:tab/>
        <w:t xml:space="preserve">Informácie o po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čte zamestnancov: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tbl>
      <w:tblPr>
        <w:tblInd w:w="108" w:type="dxa"/>
      </w:tblPr>
      <w:tblGrid>
        <w:gridCol w:w="4253"/>
        <w:gridCol w:w="2381"/>
        <w:gridCol w:w="2381"/>
      </w:tblGrid>
      <w:tr>
        <w:trPr>
          <w:trHeight w:val="1" w:hRule="atLeast"/>
          <w:jc w:val="left"/>
        </w:trPr>
        <w:tc>
          <w:tcPr>
            <w:tcW w:w="425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Názov položky</w:t>
            </w:r>
          </w:p>
        </w:tc>
        <w:tc>
          <w:tcPr>
            <w:tcW w:w="23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center"/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Bežné</w:t>
            </w:r>
          </w:p>
          <w:p>
            <w:pPr>
              <w:spacing w:before="0" w:after="0" w:line="240"/>
              <w:ind w:right="0" w:left="426" w:hanging="426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  <w:tc>
          <w:tcPr>
            <w:tcW w:w="23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center"/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Bezprostredne</w:t>
            </w:r>
          </w:p>
          <w:p>
            <w:pPr>
              <w:spacing w:before="0" w:after="0" w:line="240"/>
              <w:ind w:right="0" w:left="426" w:hanging="426"/>
              <w:jc w:val="center"/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predchádzajúce</w:t>
            </w:r>
          </w:p>
          <w:p>
            <w:pPr>
              <w:spacing w:before="0" w:after="0" w:line="240"/>
              <w:ind w:right="0" w:left="426" w:hanging="426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</w:tr>
      <w:tr>
        <w:trPr>
          <w:trHeight w:val="378" w:hRule="auto"/>
          <w:jc w:val="left"/>
        </w:trPr>
        <w:tc>
          <w:tcPr>
            <w:tcW w:w="425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34" w:hanging="1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Priemerný prepo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čítaný počet zamestnancov</w:t>
            </w:r>
          </w:p>
        </w:tc>
        <w:tc>
          <w:tcPr>
            <w:tcW w:w="23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38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426" w:hanging="426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Článok II – Informácie o prijatých postupoch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II. 1 Informácia o splnení predpokladu nepretržitého pokra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čovania činnosti účtovnej jednotky: 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mbria" w:hAnsi="Cambria" w:cs="Cambria" w:eastAsia="Cambria"/>
          <w:color w:val="auto"/>
          <w:spacing w:val="0"/>
          <w:position w:val="0"/>
          <w:sz w:val="22"/>
          <w:shd w:fill="auto" w:val="clear"/>
        </w:rPr>
        <w:t xml:space="preserve">čtovná jednotka bude nepretržite pokračovať vo svojej činnosti:  áno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II. 2 Spôsob oce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ňovania jednotlivých zložiek majetku a záväzkov: 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Pre danú oblas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ť nemá účtovná jednotka obsahovú náplň.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tbl>
      <w:tblPr>
        <w:tblInd w:w="108" w:type="dxa"/>
      </w:tblPr>
      <w:tblGrid>
        <w:gridCol w:w="4718"/>
        <w:gridCol w:w="2065"/>
        <w:gridCol w:w="2268"/>
      </w:tblGrid>
      <w:tr>
        <w:trPr>
          <w:trHeight w:val="1" w:hRule="atLeast"/>
          <w:jc w:val="left"/>
        </w:trPr>
        <w:tc>
          <w:tcPr>
            <w:tcW w:w="47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Druh majetku/záväzkov</w:t>
            </w:r>
          </w:p>
        </w:tc>
        <w:tc>
          <w:tcPr>
            <w:tcW w:w="20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Spôsob ocenenia</w:t>
            </w: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Náklady spojené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s obstaraním</w:t>
            </w:r>
          </w:p>
        </w:tc>
      </w:tr>
      <w:tr>
        <w:trPr>
          <w:trHeight w:val="340" w:hRule="auto"/>
          <w:jc w:val="left"/>
        </w:trPr>
        <w:tc>
          <w:tcPr>
            <w:tcW w:w="47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Dlhodobý nehmotný majetok</w:t>
            </w:r>
          </w:p>
        </w:tc>
        <w:tc>
          <w:tcPr>
            <w:tcW w:w="20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7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Dlhodobý hmotný majetok</w:t>
            </w:r>
          </w:p>
        </w:tc>
        <w:tc>
          <w:tcPr>
            <w:tcW w:w="20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7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Dlhodobý  finan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čný majetok</w:t>
            </w:r>
          </w:p>
        </w:tc>
        <w:tc>
          <w:tcPr>
            <w:tcW w:w="20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7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Zásoby obstarané kúpou</w:t>
            </w:r>
          </w:p>
        </w:tc>
        <w:tc>
          <w:tcPr>
            <w:tcW w:w="20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7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Zásoby vytvorené vlastnou 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činnosťou</w:t>
            </w:r>
          </w:p>
        </w:tc>
        <w:tc>
          <w:tcPr>
            <w:tcW w:w="20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7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Poh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ľadávky</w:t>
            </w:r>
          </w:p>
        </w:tc>
        <w:tc>
          <w:tcPr>
            <w:tcW w:w="20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7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Krátkodobý finan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čný majetok</w:t>
            </w:r>
          </w:p>
        </w:tc>
        <w:tc>
          <w:tcPr>
            <w:tcW w:w="20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7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Záväzky vrátane rezerv, dlhopisov, pôži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čiek a úverov</w:t>
            </w:r>
          </w:p>
        </w:tc>
        <w:tc>
          <w:tcPr>
            <w:tcW w:w="20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7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Derivátové operácie</w:t>
            </w:r>
          </w:p>
        </w:tc>
        <w:tc>
          <w:tcPr>
            <w:tcW w:w="20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II. 3 Spôsob zostavenia odpisového plánu dlhodobého majetku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Pre danú oblas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ť nemá účtovná jednotka obsahovú náplň.</w:t>
      </w: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Spôsob zostavenia ú</w:t>
      </w:r>
      <w:r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  <w:t xml:space="preserve">čtovného odpisového plánu pre dlhodobý hmotný majetok a dlhodobý nehmotný majetok, doba odpisovania a použité sadzby a odpisové metódy pri stanovení účtovných odpisov:</w:t>
      </w:r>
    </w:p>
    <w:tbl>
      <w:tblPr>
        <w:tblInd w:w="108" w:type="dxa"/>
      </w:tblPr>
      <w:tblGrid>
        <w:gridCol w:w="2195"/>
        <w:gridCol w:w="2303"/>
        <w:gridCol w:w="2303"/>
        <w:gridCol w:w="2303"/>
      </w:tblGrid>
      <w:tr>
        <w:trPr>
          <w:trHeight w:val="397" w:hRule="auto"/>
          <w:jc w:val="left"/>
        </w:trPr>
        <w:tc>
          <w:tcPr>
            <w:tcW w:w="219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Druh majetku</w:t>
            </w:r>
          </w:p>
        </w:tc>
        <w:tc>
          <w:tcPr>
            <w:tcW w:w="23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Doba odpisovania</w:t>
            </w:r>
          </w:p>
        </w:tc>
        <w:tc>
          <w:tcPr>
            <w:tcW w:w="23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Sadzba odpisov</w:t>
            </w:r>
          </w:p>
        </w:tc>
        <w:tc>
          <w:tcPr>
            <w:tcW w:w="23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Odpisová metóda</w:t>
            </w:r>
          </w:p>
        </w:tc>
      </w:tr>
      <w:tr>
        <w:trPr>
          <w:trHeight w:val="397" w:hRule="auto"/>
          <w:jc w:val="left"/>
        </w:trPr>
        <w:tc>
          <w:tcPr>
            <w:tcW w:w="219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19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19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19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19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0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II. 4  Zmeny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čtovných zásad a metód: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Pre danú oblas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ť nemá účtovná jednotka obsahovú náplň.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40"/>
        <w:ind w:right="0" w:left="426" w:hanging="426"/>
        <w:jc w:val="both"/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i/>
          <w:color w:val="auto"/>
          <w:spacing w:val="0"/>
          <w:position w:val="0"/>
          <w:sz w:val="20"/>
          <w:shd w:fill="auto" w:val="clear"/>
        </w:rPr>
        <w:t xml:space="preserve">.</w:t>
      </w:r>
    </w:p>
    <w:p>
      <w:pPr>
        <w:spacing w:before="0" w:after="20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II. 5 Dotácie poskytnuté na obstaranie majetku: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Pre danú oblas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ť nemá účtovná jednotka obsahovú náplň.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tbl>
      <w:tblPr>
        <w:tblInd w:w="108" w:type="dxa"/>
      </w:tblPr>
      <w:tblGrid>
        <w:gridCol w:w="2962"/>
        <w:gridCol w:w="3071"/>
        <w:gridCol w:w="3071"/>
      </w:tblGrid>
      <w:tr>
        <w:trPr>
          <w:trHeight w:val="394" w:hRule="auto"/>
          <w:jc w:val="left"/>
        </w:trPr>
        <w:tc>
          <w:tcPr>
            <w:tcW w:w="29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Majetok obstaraný z dotácie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Ocenenie majetku 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Výška dotácie</w:t>
            </w:r>
          </w:p>
        </w:tc>
      </w:tr>
      <w:tr>
        <w:trPr>
          <w:trHeight w:val="397" w:hRule="auto"/>
          <w:jc w:val="left"/>
        </w:trPr>
        <w:tc>
          <w:tcPr>
            <w:tcW w:w="29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9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9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II. 6 Oprava významných a nevýznamných chýb minulých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čtovných období vykonaných v bežnom účtovnom období: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Pre danú oblas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ť nemá účtovná jednotka obsahovú náplň.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</w:p>
    <w:tbl>
      <w:tblPr>
        <w:tblInd w:w="108" w:type="dxa"/>
      </w:tblPr>
      <w:tblGrid>
        <w:gridCol w:w="2962"/>
        <w:gridCol w:w="3071"/>
        <w:gridCol w:w="3071"/>
      </w:tblGrid>
      <w:tr>
        <w:trPr>
          <w:trHeight w:val="397" w:hRule="auto"/>
          <w:jc w:val="left"/>
        </w:trPr>
        <w:tc>
          <w:tcPr>
            <w:tcW w:w="29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Druh opravy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Suma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Popis chyby a vplyvu opravy na nerozdelený VH, resp. VH bežného ú. o.</w:t>
            </w:r>
          </w:p>
        </w:tc>
      </w:tr>
      <w:tr>
        <w:trPr>
          <w:trHeight w:val="397" w:hRule="auto"/>
          <w:jc w:val="left"/>
        </w:trPr>
        <w:tc>
          <w:tcPr>
            <w:tcW w:w="29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Oprava 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významných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 chýb minulých ú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čtovných období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left"/>
        </w:trPr>
        <w:tc>
          <w:tcPr>
            <w:tcW w:w="29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Oprava 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nevýznamných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 chýb minulých ú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čtovných období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Článok III – Informácie, ktoré vysvetľujú a dopĺňajú súvahu a výkaz ziskov a strát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Pre danú oblas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ť nemá účtovná jednotka obsahovú náplň.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  <w:t xml:space="preserve">III. 2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Informácie o záväzkoch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2 a) Záväzky so zostatkovou dobou splatnosti dlhšou ako pä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ť rokov:</w:t>
      </w:r>
    </w:p>
    <w:tbl>
      <w:tblPr/>
      <w:tblGrid>
        <w:gridCol w:w="3387"/>
        <w:gridCol w:w="2835"/>
        <w:gridCol w:w="2820"/>
      </w:tblGrid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Názov položky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Bežné 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  <w:tc>
          <w:tcPr>
            <w:tcW w:w="2820" w:type="dxa"/>
            <w:tcBorders>
              <w:top w:val="single" w:color="000000" w:sz="12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Bezprostredne predchádzajúce ú</w:t>
            </w: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Dlhodobé záväzky spolu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4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49890</w:t>
            </w:r>
          </w:p>
        </w:tc>
        <w:tc>
          <w:tcPr>
            <w:tcW w:w="2820" w:type="dxa"/>
            <w:tcBorders>
              <w:top w:val="single" w:color="000000" w:sz="12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51555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49890</w:t>
            </w:r>
          </w:p>
        </w:tc>
        <w:tc>
          <w:tcPr>
            <w:tcW w:w="282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46175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až pä</w:t>
            </w: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83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82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5380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Krátkodobé záväzky spolu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82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503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83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82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503</w:t>
            </w:r>
          </w:p>
        </w:tc>
      </w:tr>
      <w:tr>
        <w:trPr>
          <w:trHeight w:val="527" w:hRule="auto"/>
          <w:jc w:val="left"/>
        </w:trPr>
        <w:tc>
          <w:tcPr>
            <w:tcW w:w="338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Cambria" w:hAnsi="Cambria" w:cs="Cambria" w:eastAsia="Cambria"/>
                <w:color w:val="auto"/>
                <w:spacing w:val="0"/>
                <w:position w:val="0"/>
                <w:sz w:val="24"/>
                <w:shd w:fill="auto" w:val="clear"/>
              </w:rPr>
              <w:t xml:space="preserve">Záväzky po lehote splatnosti</w:t>
            </w:r>
          </w:p>
        </w:tc>
        <w:tc>
          <w:tcPr>
            <w:tcW w:w="283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2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2 b) Hodnota záväzkov zabezpe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čená záložným právom: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Pre danú oblas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ť nemá účtovná jednotka obsahovú náplň.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36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36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3 Informácie o vlastných akciách: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Pre danú oblas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ť nemá účtovná jednotka obsahovú náplň.</w:t>
      </w:r>
    </w:p>
    <w:p>
      <w:pPr>
        <w:spacing w:before="240" w:after="200" w:line="240"/>
        <w:ind w:right="-141" w:left="0" w:firstLine="0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Ďalšie dôležité informácie o vlastných akciách:</w:t>
      </w:r>
    </w:p>
    <w:p>
      <w:pPr>
        <w:spacing w:before="240" w:after="200" w:line="240"/>
        <w:ind w:right="-141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4 a), b), d) Informácie o orgánoch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čtovnej jednotky: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Pre danú oblas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ť nemá účtovná jednotka obsahovú náplň.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4 c) Hlavné podmienky, na základe ktorých boli záruky alebo iné zabezpe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čenia </w:t>
        <w:tab/>
        <w:t xml:space="preserve">poskytnuté (pri pôžičkách sa uvádzajú úrokové sadzby):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Pre danú oblas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ť nemá účtovná jednotka obsahovú náplň.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240" w:after="200" w:line="240"/>
        <w:ind w:right="-141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   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5 a) Informácie o celkovej sume finan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čných povinností, ktoré sa nevykazujú v súvahe: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Pre danú oblas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ť nemá účtovná jednotka obsahovú náplň.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5 b) Informácie o významných podmienených záväzkoch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Pre danú oblas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ť nemá účtovná jednotka obsahovú náplň.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5 e) Opis významných povinností ú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čtovnej jednotky vyplývajúcich z dôchodkových </w:t>
        <w:tab/>
        <w:t xml:space="preserve">programov pre zamestnancov: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 Pre danú oblas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ť nemá účtovná jednotka obsahovú náplň.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III. 6  Informácie o udelení výlu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  <w:t xml:space="preserve">čného práva alebo osobitného práva, ktorým sa udelilo </w:t>
        <w:tab/>
        <w:t xml:space="preserve">právo poskytovať služby vo verejnom záujme (uvádza sa aj náhrada za túto </w:t>
        <w:tab/>
        <w:t xml:space="preserve">činnosť v akejkoľvek forme):</w:t>
      </w:r>
    </w:p>
    <w:p>
      <w:pPr>
        <w:spacing w:before="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Pre danú oblas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ť nemá účtovná jednotka obsahovú náplň.</w:t>
      </w:r>
    </w:p>
    <w:p>
      <w:pPr>
        <w:spacing w:before="0" w:after="0" w:line="240"/>
        <w:ind w:right="0" w:left="426" w:hanging="426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240" w:after="200" w:line="240"/>
        <w:ind w:right="0" w:left="0" w:firstLine="0"/>
        <w:jc w:val="both"/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Vo Zvolene d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0"/>
          <w:shd w:fill="auto" w:val="clear"/>
        </w:rPr>
        <w:t xml:space="preserve">ňa 15.6.2018</w:t>
      </w:r>
    </w:p>
    <w:p>
      <w:pPr>
        <w:spacing w:before="240" w:after="200" w:line="240"/>
        <w:ind w:right="0" w:left="0" w:firstLine="0"/>
        <w:jc w:val="right"/>
        <w:rPr>
          <w:rFonts w:ascii="Cambria" w:hAnsi="Cambria" w:cs="Cambria" w:eastAsia="Cambria"/>
          <w:b/>
          <w:i/>
          <w:color w:val="auto"/>
          <w:spacing w:val="0"/>
          <w:position w:val="0"/>
          <w:sz w:val="20"/>
          <w:shd w:fill="auto" w:val="clear"/>
        </w:rPr>
      </w:pPr>
      <w:r>
        <w:rPr>
          <w:rFonts w:ascii="Cambria" w:hAnsi="Cambria" w:cs="Cambria" w:eastAsia="Cambria"/>
          <w:b/>
          <w:i/>
          <w:color w:val="auto"/>
          <w:spacing w:val="0"/>
          <w:position w:val="0"/>
          <w:sz w:val="20"/>
          <w:shd w:fill="auto" w:val="clear"/>
        </w:rPr>
        <w:t xml:space="preserve">Koniec dokumentu</w:t>
      </w: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