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</w:rPr>
        <w:t>Úč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</w:rPr>
        <w:t xml:space="preserve"> MÚJ 3-01                                                            IČO : 43915183</w:t>
      </w:r>
      <w:r>
        <w:rPr>
          <w:rFonts w:ascii="Times New Roman" w:eastAsia="Times New Roman" w:hAnsi="Times New Roman" w:cs="Times New Roman"/>
          <w:color w:val="000000"/>
          <w:sz w:val="20"/>
        </w:rPr>
        <w:t xml:space="preserve">     DIČ :     2022521908</w:t>
      </w:r>
      <w:r>
        <w:rPr>
          <w:rFonts w:ascii="Times New Roman" w:eastAsia="Times New Roman" w:hAnsi="Times New Roman" w:cs="Times New Roman"/>
          <w:color w:val="000000"/>
          <w:sz w:val="20"/>
        </w:rPr>
        <w:t xml:space="preserve">    </w:t>
      </w:r>
    </w:p>
    <w:p w:rsidR="00082E34" w:rsidRDefault="00082E34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color w:val="000000"/>
          <w:sz w:val="20"/>
        </w:rPr>
      </w:pPr>
    </w:p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   </w:t>
      </w:r>
    </w:p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>Čl. I Všeobecné údaje o účtovnej jednotke</w:t>
      </w:r>
    </w:p>
    <w:p w:rsidR="00082E34" w:rsidRDefault="00082E34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</w:p>
    <w:p w:rsidR="00082E34" w:rsidRDefault="00082E34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</w:p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>Čl. I (1) , (3) Všeobecné údaje</w:t>
      </w:r>
    </w:p>
    <w:p w:rsidR="00082E34" w:rsidRDefault="00082E34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</w:p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P Čl. I (1) Obchodné meno účtovnej jednotky:            </w:t>
      </w:r>
      <w:r>
        <w:rPr>
          <w:rFonts w:ascii="Times New Roman" w:eastAsia="Times New Roman" w:hAnsi="Times New Roman" w:cs="Times New Roman"/>
          <w:b/>
          <w:color w:val="000000"/>
          <w:sz w:val="20"/>
        </w:rPr>
        <w:t xml:space="preserve">HRV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</w:rPr>
        <w:t xml:space="preserve">.   Bratislavská 2078/27,   Trenčín 911 01 </w:t>
      </w:r>
    </w:p>
    <w:p w:rsidR="00082E34" w:rsidRDefault="00082E34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</w:p>
    <w:p w:rsidR="00082E34" w:rsidRDefault="00082E34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</w:p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 (3) Priemerný počet zamestnancov :           3   </w:t>
      </w:r>
    </w:p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         </w:t>
      </w:r>
    </w:p>
    <w:p w:rsidR="00082E34" w:rsidRDefault="001D0778">
      <w:pPr>
        <w:keepNext/>
        <w:keepLines/>
        <w:tabs>
          <w:tab w:val="left" w:pos="2865"/>
        </w:tabs>
        <w:spacing w:after="95" w:line="240" w:lineRule="auto"/>
        <w:ind w:left="82" w:hanging="82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>Čl. II Informácie o prijatých postupoch</w:t>
      </w:r>
    </w:p>
    <w:p w:rsidR="00082E34" w:rsidRDefault="001D0778">
      <w:pPr>
        <w:tabs>
          <w:tab w:val="left" w:pos="2865"/>
        </w:tabs>
        <w:spacing w:after="0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Východiská pre zostavenie účtovnej závierky</w:t>
      </w:r>
    </w:p>
    <w:p w:rsidR="00082E34" w:rsidRDefault="001D0778">
      <w:pPr>
        <w:tabs>
          <w:tab w:val="left" w:pos="2865"/>
        </w:tabs>
        <w:spacing w:after="0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Účtovná závierka Spoločnosti bola zostavená za predpokla</w:t>
      </w:r>
      <w:r>
        <w:rPr>
          <w:rFonts w:ascii="Times New Roman" w:eastAsia="Times New Roman" w:hAnsi="Times New Roman" w:cs="Times New Roman"/>
          <w:color w:val="000000"/>
          <w:sz w:val="20"/>
        </w:rPr>
        <w:t>du nepretržitého trvania jej činnosti v súlade so zákonom o účtovníctve platným v Slovenskej republike a nadväzujúcimi postupmi účtovania.</w:t>
      </w:r>
    </w:p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Účtovné metódy a všeobecné účtovné zásady Spoločnosť aplikovala konzistentne s predchádzajúcim účtovným obdobím.</w:t>
      </w:r>
    </w:p>
    <w:p w:rsidR="00082E34" w:rsidRDefault="00082E34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color w:val="000000"/>
          <w:sz w:val="20"/>
        </w:rPr>
      </w:pPr>
    </w:p>
    <w:p w:rsidR="00082E34" w:rsidRDefault="001D0778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>Čl.</w:t>
      </w:r>
      <w:r>
        <w:rPr>
          <w:rFonts w:ascii="Times New Roman" w:eastAsia="Times New Roman" w:hAnsi="Times New Roman" w:cs="Times New Roman"/>
          <w:b/>
          <w:color w:val="000000"/>
          <w:sz w:val="20"/>
        </w:rPr>
        <w:t xml:space="preserve"> II (1) Nepretržité pokračovanie účtovnej jednotky</w:t>
      </w:r>
    </w:p>
    <w:p w:rsidR="00082E34" w:rsidRDefault="00082E34">
      <w:pPr>
        <w:tabs>
          <w:tab w:val="left" w:pos="2865"/>
        </w:tabs>
        <w:spacing w:after="0" w:line="240" w:lineRule="auto"/>
        <w:ind w:left="80" w:hanging="80"/>
        <w:rPr>
          <w:rFonts w:ascii="Times New Roman" w:eastAsia="Times New Roman" w:hAnsi="Times New Roman" w:cs="Times New Roman"/>
          <w:b/>
          <w:color w:val="000000"/>
          <w:sz w:val="20"/>
        </w:rPr>
      </w:pPr>
    </w:p>
    <w:p w:rsidR="00082E34" w:rsidRDefault="001D0778">
      <w:pPr>
        <w:tabs>
          <w:tab w:val="left" w:pos="2865"/>
        </w:tabs>
        <w:spacing w:after="311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Čl. II (1) Účtovná uzávierka je zostavená za splnenie predpokladu, že účtovná jednotka bude nepretržite pokračovať vo svojej činnosti:</w:t>
      </w:r>
      <w:r>
        <w:rPr>
          <w:rFonts w:ascii="Times New Roman" w:eastAsia="Times New Roman" w:hAnsi="Times New Roman" w:cs="Times New Roman"/>
          <w:color w:val="000000"/>
          <w:sz w:val="20"/>
        </w:rPr>
        <w:tab/>
        <w:t xml:space="preserve"> X Áno</w:t>
      </w:r>
      <w:r>
        <w:rPr>
          <w:rFonts w:ascii="Times New Roman" w:eastAsia="Times New Roman" w:hAnsi="Times New Roman" w:cs="Times New Roman"/>
          <w:color w:val="000000"/>
          <w:sz w:val="20"/>
        </w:rPr>
        <w:tab/>
        <w:t xml:space="preserve">            Nie</w:t>
      </w:r>
    </w:p>
    <w:p w:rsidR="00082E34" w:rsidRDefault="001D0778">
      <w:pPr>
        <w:keepNext/>
        <w:keepLines/>
        <w:tabs>
          <w:tab w:val="left" w:pos="2865"/>
        </w:tabs>
        <w:spacing w:after="282" w:line="240" w:lineRule="auto"/>
        <w:ind w:left="82" w:hanging="82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>Čl. II (2) Spôsob oceňovania jednotlivých polo</w:t>
      </w:r>
      <w:r>
        <w:rPr>
          <w:rFonts w:ascii="Times New Roman" w:eastAsia="Times New Roman" w:hAnsi="Times New Roman" w:cs="Times New Roman"/>
          <w:b/>
          <w:color w:val="000000"/>
          <w:sz w:val="20"/>
        </w:rPr>
        <w:t>žiek majetku a záväzkov</w:t>
      </w:r>
    </w:p>
    <w:p w:rsidR="00082E34" w:rsidRDefault="001D0778">
      <w:pPr>
        <w:tabs>
          <w:tab w:val="left" w:pos="2865"/>
        </w:tabs>
        <w:spacing w:after="173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Čl. II (2) Spôsob oceňovania jednotlivých položiek majetku a záväzkov</w:t>
      </w:r>
    </w:p>
    <w:tbl>
      <w:tblPr>
        <w:tblW w:w="0" w:type="auto"/>
        <w:tblInd w:w="7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81"/>
        <w:gridCol w:w="2819"/>
        <w:gridCol w:w="2317"/>
      </w:tblGrid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7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66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67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Poznámka k oceneniu</w:t>
            </w:r>
          </w:p>
        </w:tc>
      </w:tr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11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11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11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11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11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11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ind w:left="11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  <w:tr w:rsidR="00082E34">
        <w:tblPrEx>
          <w:tblCellMar>
            <w:top w:w="0" w:type="dxa"/>
            <w:bottom w:w="0" w:type="dxa"/>
          </w:tblCellMar>
        </w:tblPrEx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1D0778">
            <w:pPr>
              <w:spacing w:after="0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</w:rP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9" w:type="dxa"/>
              <w:right w:w="79" w:type="dxa"/>
            </w:tcMar>
          </w:tcPr>
          <w:p w:rsidR="00082E34" w:rsidRDefault="00082E34">
            <w:pPr>
              <w:rPr>
                <w:rFonts w:ascii="Times New Roman" w:eastAsia="Times New Roman" w:hAnsi="Times New Roman" w:cs="Times New Roman"/>
                <w:sz w:val="18"/>
              </w:rPr>
            </w:pPr>
          </w:p>
        </w:tc>
      </w:tr>
    </w:tbl>
    <w:p w:rsidR="00082E34" w:rsidRDefault="00082E34">
      <w:pPr>
        <w:keepNext/>
        <w:keepLines/>
        <w:tabs>
          <w:tab w:val="left" w:pos="2865"/>
        </w:tabs>
        <w:spacing w:after="282" w:line="240" w:lineRule="auto"/>
        <w:ind w:left="82" w:hanging="82"/>
        <w:rPr>
          <w:rFonts w:ascii="Times New Roman" w:eastAsia="Times New Roman" w:hAnsi="Times New Roman" w:cs="Times New Roman"/>
          <w:b/>
          <w:color w:val="000000"/>
          <w:sz w:val="20"/>
        </w:rPr>
      </w:pPr>
    </w:p>
    <w:p w:rsidR="00082E34" w:rsidRDefault="001D0778">
      <w:pPr>
        <w:keepNext/>
        <w:keepLines/>
        <w:tabs>
          <w:tab w:val="left" w:pos="2865"/>
        </w:tabs>
        <w:spacing w:after="282" w:line="240" w:lineRule="auto"/>
        <w:ind w:left="82" w:hanging="82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>Čl. II (2) Spôsob oceňovania jednotlivých položiek majetku a záväzkov (účtovanie a úbytok zásob)</w:t>
      </w:r>
    </w:p>
    <w:p w:rsidR="00082E34" w:rsidRDefault="001D0778">
      <w:pPr>
        <w:tabs>
          <w:tab w:val="left" w:pos="2865"/>
        </w:tabs>
        <w:spacing w:after="401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Čl. II (2) Spôsob oceňovania jednotlivých položiek majetku a záväzkov (účtovanie a úbytok zásob)</w:t>
      </w:r>
    </w:p>
    <w:p w:rsidR="00082E34" w:rsidRDefault="001D0778">
      <w:pPr>
        <w:tabs>
          <w:tab w:val="left" w:pos="2865"/>
        </w:tabs>
        <w:spacing w:after="359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Pri účtovaní zásob postupovala účtovná jednotka podľa </w:t>
      </w:r>
      <w:r>
        <w:rPr>
          <w:rFonts w:ascii="Times New Roman" w:eastAsia="Times New Roman" w:hAnsi="Times New Roman" w:cs="Times New Roman"/>
          <w:color w:val="000000"/>
          <w:sz w:val="20"/>
        </w:rPr>
        <w:t>§ 43 postupov účtovania v PÚ:</w:t>
      </w:r>
    </w:p>
    <w:p w:rsidR="00082E34" w:rsidRDefault="001D0778">
      <w:pPr>
        <w:tabs>
          <w:tab w:val="left" w:pos="2865"/>
        </w:tabs>
        <w:spacing w:after="359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              spôsobom A účtovania zásob </w:t>
      </w:r>
    </w:p>
    <w:p w:rsidR="00082E34" w:rsidRDefault="001D0778">
      <w:pPr>
        <w:tabs>
          <w:tab w:val="left" w:pos="2865"/>
        </w:tabs>
        <w:spacing w:after="359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       X     spôsobom B účtovania zásob</w:t>
      </w:r>
    </w:p>
    <w:p w:rsidR="00082E34" w:rsidRDefault="001D0778">
      <w:pPr>
        <w:tabs>
          <w:tab w:val="left" w:pos="2865"/>
        </w:tabs>
        <w:spacing w:after="402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lastRenderedPageBreak/>
        <w:t xml:space="preserve">Poznámky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</w:rPr>
        <w:t>Úč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</w:rPr>
        <w:t xml:space="preserve"> MÚJ 3-01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sz w:val="20"/>
        </w:rPr>
        <w:t xml:space="preserve">IČO : 43915183     DIČ :     2022521908    </w:t>
      </w:r>
      <w:r>
        <w:rPr>
          <w:rFonts w:ascii="Times New Roman" w:eastAsia="Times New Roman" w:hAnsi="Times New Roman" w:cs="Times New Roman"/>
          <w:color w:val="000000"/>
          <w:sz w:val="20"/>
        </w:rPr>
        <w:t xml:space="preserve">         </w:t>
      </w:r>
    </w:p>
    <w:p w:rsidR="00082E34" w:rsidRDefault="001D0778">
      <w:pPr>
        <w:tabs>
          <w:tab w:val="left" w:pos="2865"/>
        </w:tabs>
        <w:spacing w:after="402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Úbytok zásob rovnakého druhu účtovná jednotka oceňovala:</w:t>
      </w:r>
    </w:p>
    <w:p w:rsidR="00082E34" w:rsidRDefault="001D0778">
      <w:pPr>
        <w:tabs>
          <w:tab w:val="left" w:pos="2865"/>
        </w:tabs>
        <w:spacing w:after="111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X    váženým aritmetickým priemerom z obstarávacích cien alebo vlastných náklad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0"/>
        </w:rPr>
        <w:t xml:space="preserve">ov </w:t>
      </w:r>
    </w:p>
    <w:p w:rsidR="00082E34" w:rsidRDefault="001D0778">
      <w:pPr>
        <w:tabs>
          <w:tab w:val="left" w:pos="2865"/>
        </w:tabs>
        <w:spacing w:after="111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       metódou FIFO (1. cena na ocenenie prírastku zásob sa použila ako 1. cena na ocenenie úbytku záso</w:t>
      </w:r>
      <w:r>
        <w:rPr>
          <w:rFonts w:ascii="Times New Roman" w:eastAsia="Times New Roman" w:hAnsi="Times New Roman" w:cs="Times New Roman"/>
          <w:color w:val="000000"/>
          <w:sz w:val="20"/>
        </w:rPr>
        <w:t>b) iným spôsobom:</w:t>
      </w:r>
    </w:p>
    <w:p w:rsidR="00082E34" w:rsidRDefault="00082E34">
      <w:pPr>
        <w:tabs>
          <w:tab w:val="left" w:pos="2865"/>
        </w:tabs>
        <w:spacing w:after="111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</w:p>
    <w:p w:rsidR="00082E34" w:rsidRDefault="001D0778">
      <w:pPr>
        <w:keepNext/>
        <w:keepLines/>
        <w:tabs>
          <w:tab w:val="left" w:pos="2865"/>
        </w:tabs>
        <w:spacing w:after="282" w:line="240" w:lineRule="auto"/>
        <w:ind w:left="82" w:hanging="82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>Čl. II (3) Spôsob zostavenia odpisového plánu pre jednotlivé druhy dlhodobého majetku</w:t>
      </w:r>
    </w:p>
    <w:p w:rsidR="00082E34" w:rsidRDefault="001D0778">
      <w:pPr>
        <w:tabs>
          <w:tab w:val="left" w:pos="2865"/>
        </w:tabs>
        <w:spacing w:after="199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Čl. II (3) Spôsob zostavenia odpisového plánu pre jednotlivé druhy dlhodobého majetku</w:t>
      </w:r>
    </w:p>
    <w:p w:rsidR="00082E34" w:rsidRDefault="00082E34">
      <w:pPr>
        <w:tabs>
          <w:tab w:val="left" w:pos="2865"/>
        </w:tabs>
        <w:spacing w:after="199" w:line="240" w:lineRule="auto"/>
        <w:ind w:left="82" w:hanging="82"/>
        <w:rPr>
          <w:rFonts w:ascii="Times New Roman" w:eastAsia="Times New Roman" w:hAnsi="Times New Roman" w:cs="Times New Roman"/>
          <w:b/>
          <w:color w:val="000000"/>
          <w:sz w:val="20"/>
        </w:rPr>
      </w:pPr>
    </w:p>
    <w:p w:rsidR="00082E34" w:rsidRDefault="001D0778">
      <w:pPr>
        <w:tabs>
          <w:tab w:val="left" w:pos="2865"/>
        </w:tabs>
        <w:spacing w:after="209" w:line="240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 xml:space="preserve">    X      Dlhodobý nehmotný majetok</w:t>
      </w:r>
      <w:r>
        <w:rPr>
          <w:rFonts w:ascii="Times New Roman" w:eastAsia="Times New Roman" w:hAnsi="Times New Roman" w:cs="Times New Roman"/>
          <w:color w:val="000000"/>
          <w:sz w:val="20"/>
        </w:rPr>
        <w:t>:</w:t>
      </w:r>
      <w:r>
        <w:rPr>
          <w:rFonts w:ascii="Times New Roman" w:eastAsia="Times New Roman" w:hAnsi="Times New Roman" w:cs="Times New Roman"/>
          <w:color w:val="000000"/>
          <w:sz w:val="20"/>
        </w:rPr>
        <w:tab/>
        <w:t>odpisový plán účtovných od</w:t>
      </w:r>
      <w:r>
        <w:rPr>
          <w:rFonts w:ascii="Times New Roman" w:eastAsia="Times New Roman" w:hAnsi="Times New Roman" w:cs="Times New Roman"/>
          <w:color w:val="000000"/>
          <w:sz w:val="20"/>
        </w:rPr>
        <w:t>pisov vychádzal z požiadavky zákona č. 431/2002 o účtovníctve. Majetok sa odpisoval počas predpokladanej doby používania zodpovedajúcej spotrebe budúcich ekonomických úžitkov z majetku. Odpisové sadzby pre účtovné a daňové odpisy dlhodobého nehmotného maje</w:t>
      </w:r>
      <w:r>
        <w:rPr>
          <w:rFonts w:ascii="Times New Roman" w:eastAsia="Times New Roman" w:hAnsi="Times New Roman" w:cs="Times New Roman"/>
          <w:color w:val="000000"/>
          <w:sz w:val="20"/>
        </w:rPr>
        <w:t>tku sa rovnajú.</w:t>
      </w:r>
    </w:p>
    <w:p w:rsidR="00082E34" w:rsidRDefault="001D0778">
      <w:pPr>
        <w:keepNext/>
        <w:keepLines/>
        <w:tabs>
          <w:tab w:val="left" w:pos="2865"/>
        </w:tabs>
        <w:spacing w:after="0" w:line="265" w:lineRule="auto"/>
        <w:ind w:left="82" w:hanging="82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ab/>
        <w:t xml:space="preserve">       </w:t>
      </w:r>
      <w:r>
        <w:rPr>
          <w:rFonts w:ascii="Times New Roman" w:eastAsia="Times New Roman" w:hAnsi="Times New Roman" w:cs="Times New Roman"/>
          <w:b/>
          <w:color w:val="000000"/>
          <w:sz w:val="20"/>
        </w:rPr>
        <w:t>Dlhodobý hmotný majetok:</w:t>
      </w:r>
      <w:r>
        <w:rPr>
          <w:rFonts w:ascii="Times New Roman" w:eastAsia="Times New Roman" w:hAnsi="Times New Roman" w:cs="Times New Roman"/>
          <w:b/>
          <w:color w:val="000000"/>
          <w:sz w:val="20"/>
        </w:rPr>
        <w:tab/>
      </w:r>
      <w:r>
        <w:rPr>
          <w:rFonts w:ascii="Times New Roman" w:eastAsia="Times New Roman" w:hAnsi="Times New Roman" w:cs="Times New Roman"/>
          <w:color w:val="000000"/>
          <w:sz w:val="20"/>
        </w:rPr>
        <w:t>odpisový plán účtovných odpisov sa zostavil interným predpisom, v ktorom sa vychádzalo z predpokladaného opotrebenia zaraďovaného majetku zodpovedajúceho bežným podmienkam jeho používania. Účtovné a daňov</w:t>
      </w:r>
      <w:r>
        <w:rPr>
          <w:rFonts w:ascii="Times New Roman" w:eastAsia="Times New Roman" w:hAnsi="Times New Roman" w:cs="Times New Roman"/>
          <w:color w:val="000000"/>
          <w:sz w:val="20"/>
        </w:rPr>
        <w:t>é odpisy sa nerovnajú.</w:t>
      </w:r>
    </w:p>
    <w:p w:rsidR="00082E34" w:rsidRDefault="001D0778">
      <w:pPr>
        <w:tabs>
          <w:tab w:val="left" w:pos="2865"/>
        </w:tabs>
        <w:spacing w:after="198" w:line="261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 xml:space="preserve">   X         Dlhodobý hmotný majetok:</w:t>
      </w:r>
      <w:r>
        <w:rPr>
          <w:rFonts w:ascii="Times New Roman" w:eastAsia="Times New Roman" w:hAnsi="Times New Roman" w:cs="Times New Roman"/>
          <w:b/>
          <w:color w:val="000000"/>
          <w:sz w:val="20"/>
        </w:rPr>
        <w:tab/>
      </w:r>
      <w:r>
        <w:rPr>
          <w:rFonts w:ascii="Times New Roman" w:eastAsia="Times New Roman" w:hAnsi="Times New Roman" w:cs="Times New Roman"/>
          <w:color w:val="000000"/>
          <w:sz w:val="20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082E34" w:rsidRDefault="001D0778">
      <w:pPr>
        <w:tabs>
          <w:tab w:val="left" w:pos="2865"/>
        </w:tabs>
        <w:spacing w:after="272" w:line="261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 xml:space="preserve">Odpisový plán bol </w:t>
      </w:r>
      <w:r>
        <w:rPr>
          <w:rFonts w:ascii="Times New Roman" w:eastAsia="Times New Roman" w:hAnsi="Times New Roman" w:cs="Times New Roman"/>
          <w:color w:val="000000"/>
          <w:sz w:val="20"/>
        </w:rPr>
        <w:t>ovplyvnený týmito skutočnosťami:</w:t>
      </w:r>
    </w:p>
    <w:p w:rsidR="00082E34" w:rsidRDefault="00082E34">
      <w:pPr>
        <w:tabs>
          <w:tab w:val="left" w:pos="2865"/>
        </w:tabs>
        <w:spacing w:after="272" w:line="261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</w:p>
    <w:p w:rsidR="00082E34" w:rsidRDefault="001D0778">
      <w:pPr>
        <w:tabs>
          <w:tab w:val="left" w:pos="2865"/>
        </w:tabs>
        <w:spacing w:after="0" w:line="261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Spôsob zostavenia odpisového plánu pre jednotlivé druhy dlhodobého nehmotného a hmotného majetku</w:t>
      </w:r>
    </w:p>
    <w:tbl>
      <w:tblPr>
        <w:tblW w:w="0" w:type="auto"/>
        <w:tblInd w:w="1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5"/>
        <w:gridCol w:w="2022"/>
        <w:gridCol w:w="1909"/>
        <w:gridCol w:w="1956"/>
      </w:tblGrid>
      <w:tr w:rsidR="00082E34">
        <w:tblPrEx>
          <w:tblCellMar>
            <w:top w:w="0" w:type="dxa"/>
            <w:bottom w:w="0" w:type="dxa"/>
          </w:tblCellMar>
        </w:tblPrEx>
        <w:tc>
          <w:tcPr>
            <w:tcW w:w="3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14" w:type="dxa"/>
              <w:right w:w="114" w:type="dxa"/>
            </w:tcMar>
          </w:tcPr>
          <w:p w:rsidR="00082E34" w:rsidRDefault="001D077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14" w:type="dxa"/>
              <w:right w:w="114" w:type="dxa"/>
            </w:tcMar>
          </w:tcPr>
          <w:p w:rsidR="00082E34" w:rsidRDefault="001D077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Doba odpisovania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14" w:type="dxa"/>
              <w:right w:w="114" w:type="dxa"/>
            </w:tcMar>
          </w:tcPr>
          <w:p w:rsidR="00082E34" w:rsidRDefault="001D077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Sadzba odpisov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14" w:type="dxa"/>
              <w:right w:w="114" w:type="dxa"/>
            </w:tcMar>
          </w:tcPr>
          <w:p w:rsidR="00082E34" w:rsidRDefault="001D077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Odpisová metóda</w:t>
            </w:r>
          </w:p>
        </w:tc>
      </w:tr>
    </w:tbl>
    <w:p w:rsidR="00082E34" w:rsidRDefault="001D0778">
      <w:pPr>
        <w:keepNext/>
        <w:keepLines/>
        <w:tabs>
          <w:tab w:val="left" w:pos="2865"/>
        </w:tabs>
        <w:spacing w:after="282" w:line="265" w:lineRule="auto"/>
        <w:ind w:left="82" w:hanging="82"/>
        <w:rPr>
          <w:rFonts w:ascii="Times New Roman" w:eastAsia="Times New Roman" w:hAnsi="Times New Roman" w:cs="Times New Roman"/>
          <w:b/>
          <w:color w:val="000000"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</w:rPr>
        <w:t>Miesto pre ďalšie záznamy</w:t>
      </w:r>
    </w:p>
    <w:p w:rsidR="00082E34" w:rsidRDefault="001D0778">
      <w:pPr>
        <w:tabs>
          <w:tab w:val="left" w:pos="2865"/>
        </w:tabs>
        <w:spacing w:after="8362" w:line="261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0"/>
        </w:rPr>
        <w:t>Miesto pre ďalšie záznamy</w:t>
      </w:r>
    </w:p>
    <w:p w:rsidR="00082E34" w:rsidRDefault="00082E34">
      <w:pPr>
        <w:tabs>
          <w:tab w:val="left" w:pos="2865"/>
        </w:tabs>
        <w:spacing w:after="8362" w:line="261" w:lineRule="auto"/>
        <w:ind w:left="82" w:hanging="82"/>
        <w:rPr>
          <w:rFonts w:ascii="Times New Roman" w:eastAsia="Times New Roman" w:hAnsi="Times New Roman" w:cs="Times New Roman"/>
          <w:color w:val="000000"/>
          <w:sz w:val="20"/>
        </w:rPr>
      </w:pPr>
    </w:p>
    <w:sectPr w:rsidR="00082E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E34"/>
    <w:rsid w:val="00082E34"/>
    <w:rsid w:val="001D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21929"/>
  <w15:docId w15:val="{2714B0A3-A200-489F-ADFF-80D1AF5CD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2019-06-11T06:28:00Z</dcterms:created>
  <dcterms:modified xsi:type="dcterms:W3CDTF">2019-06-11T06:28:00Z</dcterms:modified>
</cp:coreProperties>
</file>