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Poznámky 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Úč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 xml:space="preserve"> MÚJ 3 - 01</w:t>
      </w:r>
      <w:r>
        <w:rPr>
          <w:rFonts w:ascii="Calibri" w:eastAsia="Calibri" w:hAnsi="Calibri" w:cs="Calibri"/>
          <w:b/>
          <w:spacing w:val="3"/>
          <w:sz w:val="19"/>
        </w:rPr>
        <w:tab/>
      </w:r>
      <w:r>
        <w:rPr>
          <w:rFonts w:ascii="Calibri" w:eastAsia="Calibri" w:hAnsi="Calibri" w:cs="Calibri"/>
          <w:b/>
          <w:spacing w:val="3"/>
          <w:sz w:val="19"/>
        </w:rPr>
        <w:tab/>
        <w:t>IČO   47716037                                                  DIČ 2024056276</w:t>
      </w: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z w:val="20"/>
        </w:rPr>
        <w:t>1. Všeobecné údaje</w:t>
      </w: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>Názov Spoločnosti a jej sídlo</w:t>
      </w:r>
    </w:p>
    <w:p w:rsidR="00FF67E4" w:rsidRDefault="009D0883">
      <w:pPr>
        <w:tabs>
          <w:tab w:val="left" w:pos="3544"/>
        </w:tabs>
        <w:spacing w:after="0" w:line="298" w:lineRule="auto"/>
        <w:ind w:left="60" w:right="7367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LP CONSULT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s.r.o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>.</w:t>
      </w:r>
      <w:r>
        <w:rPr>
          <w:rFonts w:ascii="Calibri" w:eastAsia="Calibri" w:hAnsi="Calibri" w:cs="Calibri"/>
          <w:b/>
          <w:spacing w:val="3"/>
          <w:sz w:val="19"/>
        </w:rPr>
        <w:br/>
        <w:t>Medený Hámor 11, 97401 Banská Bystrica</w:t>
      </w:r>
    </w:p>
    <w:p w:rsidR="00FF67E4" w:rsidRDefault="00FF67E4">
      <w:pPr>
        <w:tabs>
          <w:tab w:val="left" w:pos="3544"/>
        </w:tabs>
        <w:spacing w:after="0" w:line="298" w:lineRule="auto"/>
        <w:ind w:left="60" w:right="7367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spacing w:after="328" w:line="240" w:lineRule="auto"/>
        <w:ind w:left="1320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>Informácie o konsolidovanom celku</w:t>
      </w:r>
    </w:p>
    <w:p w:rsidR="00FF67E4" w:rsidRDefault="009D0883">
      <w:pPr>
        <w:spacing w:after="0" w:line="240" w:lineRule="auto"/>
        <w:ind w:left="1320" w:hanging="1260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Spolo</w:t>
      </w:r>
      <w:r>
        <w:rPr>
          <w:rFonts w:ascii="Calibri" w:eastAsia="Calibri" w:hAnsi="Calibri" w:cs="Calibri"/>
          <w:spacing w:val="2"/>
          <w:sz w:val="19"/>
        </w:rPr>
        <w:t>čnosť</w:t>
      </w:r>
      <w:r>
        <w:rPr>
          <w:rFonts w:ascii="Calibri" w:eastAsia="Calibri" w:hAnsi="Calibri" w:cs="Calibri"/>
          <w:b/>
          <w:spacing w:val="3"/>
          <w:sz w:val="19"/>
          <w:shd w:val="clear" w:color="auto" w:fill="FFFFFF"/>
        </w:rPr>
        <w:t xml:space="preserve"> nie je</w:t>
      </w:r>
      <w:r>
        <w:rPr>
          <w:rFonts w:ascii="Calibri" w:eastAsia="Calibri" w:hAnsi="Calibri" w:cs="Calibri"/>
          <w:spacing w:val="2"/>
          <w:sz w:val="19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19"/>
        </w:rPr>
        <w:t>súčasťou konsolidovaného celku inej obchodnej spoločnosti.</w:t>
      </w:r>
    </w:p>
    <w:p w:rsidR="00FF67E4" w:rsidRDefault="009D0883">
      <w:pPr>
        <w:spacing w:after="0" w:line="240" w:lineRule="auto"/>
        <w:rPr>
          <w:rFonts w:ascii="Calibri" w:eastAsia="Calibri" w:hAnsi="Calibri" w:cs="Calibri"/>
          <w:spacing w:val="3"/>
          <w:sz w:val="19"/>
        </w:rPr>
      </w:pPr>
      <w:r>
        <w:rPr>
          <w:rFonts w:ascii="Calibri" w:eastAsia="Calibri" w:hAnsi="Calibri" w:cs="Calibri"/>
          <w:spacing w:val="3"/>
          <w:sz w:val="19"/>
        </w:rPr>
        <w:t>Údaje o počte zamestnancov:</w:t>
      </w: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7"/>
        <w:gridCol w:w="4745"/>
      </w:tblGrid>
      <w:tr w:rsidR="00FF67E4">
        <w:tblPrEx>
          <w:tblCellMar>
            <w:top w:w="0" w:type="dxa"/>
            <w:bottom w:w="0" w:type="dxa"/>
          </w:tblCellMar>
        </w:tblPrEx>
        <w:tc>
          <w:tcPr>
            <w:tcW w:w="4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17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Názov položky</w:t>
            </w: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26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pacing w:val="3"/>
                <w:sz w:val="20"/>
              </w:rPr>
              <w:t>2 017</w:t>
            </w: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4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Priemerný prepočítaný počet zamestnancov</w:t>
            </w:r>
          </w:p>
        </w:tc>
        <w:tc>
          <w:tcPr>
            <w:tcW w:w="5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28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0</w:t>
            </w:r>
          </w:p>
        </w:tc>
      </w:tr>
    </w:tbl>
    <w:p w:rsidR="00FF67E4" w:rsidRDefault="00FF67E4">
      <w:pPr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tabs>
          <w:tab w:val="left" w:pos="3408"/>
        </w:tabs>
        <w:spacing w:after="200" w:line="240" w:lineRule="auto"/>
        <w:ind w:left="80" w:right="5520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spacing w:val="3"/>
          <w:sz w:val="19"/>
        </w:rPr>
        <w:t>2. Informácie o prijatých postupoch</w:t>
      </w:r>
    </w:p>
    <w:p w:rsidR="00FF67E4" w:rsidRDefault="009D0883">
      <w:pPr>
        <w:spacing w:after="0" w:line="240" w:lineRule="auto"/>
        <w:ind w:left="80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Účtovná závierka</w:t>
      </w:r>
      <w:r>
        <w:rPr>
          <w:rFonts w:ascii="Calibri" w:eastAsia="Calibri" w:hAnsi="Calibri" w:cs="Calibri"/>
          <w:b/>
          <w:spacing w:val="3"/>
          <w:sz w:val="19"/>
          <w:shd w:val="clear" w:color="auto" w:fill="FFFFFF"/>
        </w:rPr>
        <w:t xml:space="preserve"> bola</w:t>
      </w:r>
      <w:r>
        <w:rPr>
          <w:rFonts w:ascii="Calibri" w:eastAsia="Calibri" w:hAnsi="Calibri" w:cs="Calibri"/>
          <w:spacing w:val="2"/>
          <w:sz w:val="19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19"/>
        </w:rPr>
        <w:t>zostavená za predpokladu nepretr</w:t>
      </w:r>
      <w:r>
        <w:rPr>
          <w:rFonts w:ascii="Calibri" w:eastAsia="Calibri" w:hAnsi="Calibri" w:cs="Calibri"/>
          <w:spacing w:val="2"/>
          <w:sz w:val="19"/>
        </w:rPr>
        <w:t>žitého trvania Spoločnosti.</w:t>
      </w:r>
    </w:p>
    <w:p w:rsidR="00FF67E4" w:rsidRDefault="009D0883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Spoločnosť oceňuje majetok a záväzky ku dňu uskutočneniu účtovného prípadu.</w:t>
      </w:r>
    </w:p>
    <w:p w:rsidR="00FF67E4" w:rsidRDefault="009D0883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Ku dňu uskutočnenia účtovného prípadu oceňovala spoločnosť dlhodobý hmotný majetok a finančný majetok nadobudnutý kúpou obstarávacou cenou.</w:t>
      </w:r>
    </w:p>
    <w:p w:rsidR="00FF67E4" w:rsidRDefault="009D0883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Ku dňu uskut</w:t>
      </w:r>
      <w:r>
        <w:rPr>
          <w:rFonts w:ascii="Calibri" w:eastAsia="Calibri" w:hAnsi="Calibri" w:cs="Calibri"/>
          <w:spacing w:val="2"/>
          <w:sz w:val="19"/>
        </w:rPr>
        <w:t>očnenia účtovného prípadu oceňovala spoločnosť menovitou hodnotou pohľadávky, záväzky a krátkodobý finančný majetok pri ich vzniku.</w:t>
      </w:r>
    </w:p>
    <w:p w:rsidR="00FF67E4" w:rsidRDefault="00FF67E4">
      <w:pPr>
        <w:tabs>
          <w:tab w:val="left" w:pos="4866"/>
        </w:tabs>
        <w:spacing w:after="0" w:line="240" w:lineRule="auto"/>
        <w:rPr>
          <w:rFonts w:ascii="Calibri" w:eastAsia="Calibri" w:hAnsi="Calibri" w:cs="Calibri"/>
          <w:spacing w:val="2"/>
          <w:sz w:val="19"/>
        </w:rPr>
      </w:pPr>
    </w:p>
    <w:p w:rsidR="00FF67E4" w:rsidRDefault="009D0883">
      <w:pPr>
        <w:spacing w:after="0" w:line="240" w:lineRule="auto"/>
        <w:rPr>
          <w:rFonts w:ascii="Calibri" w:eastAsia="Calibri" w:hAnsi="Calibri" w:cs="Calibri"/>
          <w:spacing w:val="2"/>
          <w:sz w:val="19"/>
        </w:rPr>
      </w:pPr>
      <w:r>
        <w:rPr>
          <w:rFonts w:ascii="Calibri" w:eastAsia="Calibri" w:hAnsi="Calibri" w:cs="Calibri"/>
          <w:spacing w:val="2"/>
          <w:sz w:val="19"/>
        </w:rPr>
        <w:t>Predpokladaná doba používania, metóda odpisovania a odpisová sadzba sú uvedené v tabuľke:</w:t>
      </w: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19"/>
        <w:gridCol w:w="1389"/>
        <w:gridCol w:w="1054"/>
        <w:gridCol w:w="1020"/>
      </w:tblGrid>
      <w:tr w:rsidR="00FF67E4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1988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druh majetku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Predpokladaná doba používania v rokoch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1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Metóda odpisovania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1"/>
                <w:sz w:val="14"/>
              </w:rPr>
              <w:t>Sadzba ročného odpisu</w:t>
            </w: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ind w:left="62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ind w:left="660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ind w:left="160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40" w:lineRule="auto"/>
              <w:ind w:left="60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ind w:left="660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ind w:left="160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6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:rsidR="00FF67E4" w:rsidRDefault="00FF67E4">
      <w:pPr>
        <w:tabs>
          <w:tab w:val="left" w:pos="8662"/>
        </w:tabs>
        <w:spacing w:after="0" w:line="293" w:lineRule="auto"/>
        <w:ind w:right="4380"/>
        <w:rPr>
          <w:rFonts w:ascii="Calibri" w:eastAsia="Calibri" w:hAnsi="Calibri" w:cs="Calibri"/>
          <w:sz w:val="20"/>
        </w:rPr>
      </w:pPr>
    </w:p>
    <w:p w:rsidR="00FF67E4" w:rsidRDefault="009D0883">
      <w:pPr>
        <w:spacing w:after="200" w:line="276" w:lineRule="auto"/>
        <w:ind w:left="-567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DFM (cenných papierov, obchodných podielov)</w:t>
      </w:r>
      <w:r>
        <w:rPr>
          <w:rFonts w:ascii="Calibri" w:eastAsia="Calibri" w:hAnsi="Calibri" w:cs="Calibri"/>
          <w:sz w:val="20"/>
        </w:rPr>
        <w:br/>
        <w:t>Neevidujeme cenné papiere</w:t>
      </w:r>
      <w:r>
        <w:rPr>
          <w:rFonts w:ascii="Calibri" w:eastAsia="Calibri" w:hAnsi="Calibri" w:cs="Calibri"/>
          <w:b/>
          <w:sz w:val="20"/>
        </w:rPr>
        <w:t>1. Všeobecné údaje</w:t>
      </w:r>
    </w:p>
    <w:p w:rsidR="00FF67E4" w:rsidRDefault="009D0883">
      <w:pPr>
        <w:numPr>
          <w:ilvl w:val="0"/>
          <w:numId w:val="1"/>
        </w:numPr>
        <w:spacing w:after="28" w:line="240" w:lineRule="auto"/>
        <w:ind w:left="360" w:hanging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 xml:space="preserve">Ocenenie zásob (obstaraných kúpou, vlastnou </w:t>
      </w:r>
      <w:r>
        <w:rPr>
          <w:rFonts w:ascii="Calibri" w:eastAsia="Calibri" w:hAnsi="Calibri" w:cs="Calibri"/>
          <w:b/>
          <w:sz w:val="20"/>
        </w:rPr>
        <w:t>činnosťou, inak)</w:t>
      </w:r>
    </w:p>
    <w:p w:rsidR="00FF67E4" w:rsidRDefault="009D0883">
      <w:pPr>
        <w:spacing w:after="200" w:line="240" w:lineRule="auto"/>
        <w:ind w:right="1752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Zásoby sa oceňujú nižšou z nasledujúcich hodnôt: obstarávacia cena (nakupované zásoby)</w:t>
      </w:r>
    </w:p>
    <w:p w:rsidR="00FF67E4" w:rsidRDefault="009D0883">
      <w:pPr>
        <w:numPr>
          <w:ilvl w:val="0"/>
          <w:numId w:val="2"/>
        </w:numPr>
        <w:tabs>
          <w:tab w:val="left" w:pos="3119"/>
        </w:tabs>
        <w:spacing w:after="200" w:line="240" w:lineRule="auto"/>
        <w:ind w:left="360" w:right="5811" w:hanging="360"/>
        <w:jc w:val="both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Ocenenie pohľadávok</w:t>
      </w:r>
    </w:p>
    <w:p w:rsidR="00FF67E4" w:rsidRDefault="009D0883">
      <w:pPr>
        <w:spacing w:after="200" w:line="276" w:lineRule="auto"/>
        <w:ind w:left="-567" w:firstLine="6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Pohľadávky pri ich vzniku sa oceňujú ich menovitou hodnotou</w:t>
      </w:r>
    </w:p>
    <w:p w:rsidR="00FF67E4" w:rsidRDefault="009D0883">
      <w:pPr>
        <w:numPr>
          <w:ilvl w:val="0"/>
          <w:numId w:val="3"/>
        </w:numPr>
        <w:spacing w:after="200" w:line="276" w:lineRule="auto"/>
        <w:ind w:left="360" w:hanging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Ocenenie krátkodobého finančného majetku (peňažn</w:t>
      </w:r>
      <w:r>
        <w:rPr>
          <w:rFonts w:ascii="Calibri" w:eastAsia="Calibri" w:hAnsi="Calibri" w:cs="Calibri"/>
          <w:b/>
          <w:sz w:val="20"/>
        </w:rPr>
        <w:t>ých prostriedkov, cenín, CP na obchodovanie)</w:t>
      </w:r>
    </w:p>
    <w:p w:rsidR="00FF67E4" w:rsidRDefault="009D0883">
      <w:pPr>
        <w:spacing w:after="200" w:line="288" w:lineRule="auto"/>
        <w:ind w:left="20" w:right="3118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Peňažné prostriedky a ceniny sa oceňujú ich menovitou hodnotou. Zníženie ich hodnoty sa vyjadruje opravnou položkou.</w:t>
      </w:r>
    </w:p>
    <w:p w:rsidR="00FF67E4" w:rsidRDefault="009D0883">
      <w:pPr>
        <w:spacing w:after="200" w:line="288" w:lineRule="auto"/>
        <w:ind w:left="20" w:right="480"/>
        <w:jc w:val="both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1</w:t>
      </w:r>
    </w:p>
    <w:p w:rsidR="00FF67E4" w:rsidRDefault="00FF67E4">
      <w:pPr>
        <w:spacing w:after="200" w:line="288" w:lineRule="auto"/>
        <w:ind w:left="20" w:right="480"/>
        <w:jc w:val="both"/>
        <w:rPr>
          <w:rFonts w:ascii="Calibri" w:eastAsia="Calibri" w:hAnsi="Calibri" w:cs="Calibri"/>
          <w:sz w:val="20"/>
        </w:rPr>
      </w:pP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FF67E4">
      <w:pPr>
        <w:spacing w:after="0" w:line="240" w:lineRule="auto"/>
        <w:ind w:left="1336" w:right="-58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Poznámky 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Úč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 xml:space="preserve"> MÚJ 3 - 01</w:t>
      </w:r>
      <w:r>
        <w:rPr>
          <w:rFonts w:ascii="Calibri" w:eastAsia="Calibri" w:hAnsi="Calibri" w:cs="Calibri"/>
          <w:b/>
          <w:spacing w:val="3"/>
          <w:sz w:val="19"/>
        </w:rPr>
        <w:tab/>
      </w:r>
      <w:r>
        <w:rPr>
          <w:rFonts w:ascii="Calibri" w:eastAsia="Calibri" w:hAnsi="Calibri" w:cs="Calibri"/>
          <w:b/>
          <w:spacing w:val="3"/>
          <w:sz w:val="19"/>
        </w:rPr>
        <w:tab/>
        <w:t>IČO 47716037                                               DIČ 2</w:t>
      </w:r>
      <w:r>
        <w:rPr>
          <w:rFonts w:ascii="Calibri" w:eastAsia="Calibri" w:hAnsi="Calibri" w:cs="Calibri"/>
          <w:b/>
          <w:spacing w:val="3"/>
          <w:sz w:val="19"/>
        </w:rPr>
        <w:t>024056276</w:t>
      </w: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numPr>
          <w:ilvl w:val="0"/>
          <w:numId w:val="4"/>
        </w:numPr>
        <w:spacing w:after="200" w:line="240" w:lineRule="auto"/>
        <w:ind w:left="360" w:right="3260" w:hanging="360"/>
        <w:jc w:val="both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záväzkov vrátane rezerv, dlhopisov, pôžičiek a úverov</w:t>
      </w:r>
    </w:p>
    <w:p w:rsidR="00FF67E4" w:rsidRDefault="009D0883">
      <w:pPr>
        <w:spacing w:after="200" w:line="288" w:lineRule="auto"/>
        <w:ind w:left="20" w:right="480"/>
        <w:jc w:val="both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Záväzky pri ich vzniku sa oceňujú menovitou hodnotou. Záväzky pri ich prevzatí sa oceňujú obstarávacou cenou. Ak sa pri inventarizácii zistí, že suma záväzkov je iná ako ich výška</w:t>
      </w:r>
      <w:r>
        <w:rPr>
          <w:rFonts w:ascii="Calibri" w:eastAsia="Calibri" w:hAnsi="Calibri" w:cs="Calibri"/>
          <w:sz w:val="20"/>
        </w:rPr>
        <w:t xml:space="preserve"> v účtovníctve, uvedú sa záväzky v účtovníctve a v účtovnej závierke v tomto zistenom ocenení.</w:t>
      </w:r>
    </w:p>
    <w:p w:rsidR="00FF67E4" w:rsidRDefault="009D0883">
      <w:pPr>
        <w:numPr>
          <w:ilvl w:val="0"/>
          <w:numId w:val="5"/>
        </w:numPr>
        <w:spacing w:after="200" w:line="240" w:lineRule="auto"/>
        <w:ind w:left="360" w:hanging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derivátov</w:t>
      </w:r>
    </w:p>
    <w:p w:rsidR="00FF67E4" w:rsidRDefault="009D0883">
      <w:pPr>
        <w:spacing w:after="200" w:line="240" w:lineRule="auto"/>
        <w:ind w:left="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Neevidujeme</w:t>
      </w:r>
    </w:p>
    <w:p w:rsidR="00FF67E4" w:rsidRDefault="009D0883">
      <w:pPr>
        <w:numPr>
          <w:ilvl w:val="0"/>
          <w:numId w:val="6"/>
        </w:numPr>
        <w:spacing w:after="200" w:line="240" w:lineRule="auto"/>
        <w:ind w:left="360" w:hanging="36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b/>
          <w:sz w:val="20"/>
        </w:rPr>
        <w:t>Ocenenie majetku a záväzkov zabezpečených derivátmi</w:t>
      </w:r>
    </w:p>
    <w:p w:rsidR="00FF67E4" w:rsidRDefault="009D0883">
      <w:pPr>
        <w:spacing w:after="200" w:line="240" w:lineRule="auto"/>
        <w:ind w:left="20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Neevidujeme</w:t>
      </w:r>
    </w:p>
    <w:p w:rsidR="00FF67E4" w:rsidRDefault="009D0883">
      <w:pPr>
        <w:numPr>
          <w:ilvl w:val="0"/>
          <w:numId w:val="7"/>
        </w:numPr>
        <w:spacing w:after="0" w:line="240" w:lineRule="auto"/>
        <w:ind w:left="380" w:hanging="36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Informácie o poskytnutých dotáciách a ich ocenení</w:t>
      </w:r>
    </w:p>
    <w:p w:rsidR="00FF67E4" w:rsidRDefault="009D0883">
      <w:pPr>
        <w:spacing w:after="200" w:line="240" w:lineRule="auto"/>
        <w:rPr>
          <w:rFonts w:ascii="Calibri" w:eastAsia="Calibri" w:hAnsi="Calibri" w:cs="Calibri"/>
          <w:sz w:val="20"/>
        </w:rPr>
      </w:pPr>
      <w:r>
        <w:rPr>
          <w:rFonts w:ascii="Calibri" w:eastAsia="Calibri" w:hAnsi="Calibri" w:cs="Calibri"/>
          <w:sz w:val="20"/>
        </w:rPr>
        <w:t>Neevidujeme dotácie</w:t>
      </w:r>
    </w:p>
    <w:p w:rsidR="00FF67E4" w:rsidRDefault="00FF67E4">
      <w:pPr>
        <w:spacing w:after="200" w:line="240" w:lineRule="auto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spacing w:after="0" w:line="240" w:lineRule="auto"/>
        <w:ind w:left="8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V bežnom účtovnom období 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nevykonala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významné opravy chýb minulých účtovných období.</w:t>
      </w:r>
    </w:p>
    <w:p w:rsidR="00FF67E4" w:rsidRDefault="00FF67E4">
      <w:pPr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spacing w:after="0" w:line="240" w:lineRule="auto"/>
        <w:ind w:left="60" w:right="2409"/>
        <w:rPr>
          <w:rFonts w:ascii="Calibri" w:eastAsia="Calibri" w:hAnsi="Calibri" w:cs="Calibri"/>
          <w:b/>
          <w:spacing w:val="3"/>
          <w:sz w:val="20"/>
        </w:rPr>
      </w:pPr>
      <w:r>
        <w:rPr>
          <w:rFonts w:ascii="Calibri" w:eastAsia="Calibri" w:hAnsi="Calibri" w:cs="Calibri"/>
          <w:b/>
          <w:spacing w:val="3"/>
          <w:sz w:val="20"/>
        </w:rPr>
        <w:t>3. Informácie, ktoré vysvetľujú a dopĺňajú súvahu a výkaz ziskov a strát.</w:t>
      </w:r>
    </w:p>
    <w:p w:rsidR="00FF67E4" w:rsidRDefault="009D0883">
      <w:pPr>
        <w:spacing w:after="250" w:line="240" w:lineRule="auto"/>
        <w:ind w:left="60"/>
        <w:rPr>
          <w:rFonts w:ascii="Calibri" w:eastAsia="Calibri" w:hAnsi="Calibri" w:cs="Calibri"/>
          <w:b/>
          <w:spacing w:val="3"/>
          <w:sz w:val="20"/>
        </w:rPr>
      </w:pPr>
      <w:r>
        <w:rPr>
          <w:rFonts w:ascii="Calibri" w:eastAsia="Calibri" w:hAnsi="Calibri" w:cs="Calibri"/>
          <w:b/>
          <w:spacing w:val="3"/>
          <w:sz w:val="20"/>
        </w:rPr>
        <w:tab/>
      </w:r>
    </w:p>
    <w:p w:rsidR="00FF67E4" w:rsidRDefault="009D0883">
      <w:pPr>
        <w:spacing w:after="250" w:line="240" w:lineRule="auto"/>
        <w:ind w:left="6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Záväzky</w:t>
      </w:r>
    </w:p>
    <w:p w:rsidR="00FF67E4" w:rsidRDefault="009D0883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eviduje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záväzky.</w:t>
      </w:r>
      <w:r>
        <w:rPr>
          <w:rFonts w:ascii="Calibri" w:eastAsia="Calibri" w:hAnsi="Calibri" w:cs="Calibri"/>
          <w:spacing w:val="2"/>
          <w:sz w:val="20"/>
        </w:rPr>
        <w:br/>
        <w:t>K záväzkom Spoločnosť uv</w:t>
      </w:r>
      <w:r>
        <w:rPr>
          <w:rFonts w:ascii="Calibri" w:eastAsia="Calibri" w:hAnsi="Calibri" w:cs="Calibri"/>
          <w:spacing w:val="2"/>
          <w:sz w:val="20"/>
        </w:rPr>
        <w:t>ádza nasledujúce informácie:</w:t>
      </w:r>
    </w:p>
    <w:p w:rsidR="00FF67E4" w:rsidRDefault="009D0883">
      <w:pPr>
        <w:tabs>
          <w:tab w:val="left" w:pos="5245"/>
          <w:tab w:val="left" w:pos="5529"/>
        </w:tabs>
        <w:spacing w:after="0" w:line="283" w:lineRule="auto"/>
        <w:ind w:left="60" w:right="3969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Evidujeme záväzky z obchodného styku v hodnote 660</w:t>
      </w:r>
      <w:bookmarkStart w:id="0" w:name="_GoBack"/>
      <w:bookmarkEnd w:id="0"/>
      <w:r>
        <w:rPr>
          <w:rFonts w:ascii="Calibri" w:eastAsia="Calibri" w:hAnsi="Calibri" w:cs="Calibri"/>
          <w:spacing w:val="3"/>
          <w:sz w:val="20"/>
        </w:rPr>
        <w:t xml:space="preserve">,- </w:t>
      </w:r>
      <w:r>
        <w:rPr>
          <w:rFonts w:ascii="Calibri" w:eastAsia="Calibri" w:hAnsi="Calibri" w:cs="Calibri"/>
          <w:spacing w:val="3"/>
          <w:sz w:val="20"/>
        </w:rPr>
        <w:br/>
      </w:r>
    </w:p>
    <w:p w:rsidR="00FF67E4" w:rsidRDefault="00FF67E4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</w:p>
    <w:p w:rsidR="00FF67E4" w:rsidRDefault="00FF67E4">
      <w:pPr>
        <w:spacing w:after="0" w:line="288" w:lineRule="auto"/>
        <w:ind w:right="1540"/>
        <w:rPr>
          <w:rFonts w:ascii="Calibri" w:eastAsia="Calibri" w:hAnsi="Calibri" w:cs="Calibri"/>
          <w:spacing w:val="2"/>
          <w:sz w:val="20"/>
        </w:rPr>
      </w:pPr>
    </w:p>
    <w:p w:rsidR="00FF67E4" w:rsidRDefault="009D0883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Štruktúra záväzkov podľa zostatkovej doby splatnosti je uvedená v tabuľke:</w:t>
      </w:r>
    </w:p>
    <w:p w:rsidR="00FF67E4" w:rsidRDefault="00FF67E4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</w:p>
    <w:tbl>
      <w:tblPr>
        <w:tblW w:w="0" w:type="auto"/>
        <w:tblInd w:w="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76"/>
        <w:gridCol w:w="5906"/>
      </w:tblGrid>
      <w:tr w:rsidR="00FF67E4">
        <w:tblPrEx>
          <w:tblCellMar>
            <w:top w:w="0" w:type="dxa"/>
            <w:bottom w:w="0" w:type="dxa"/>
          </w:tblCellMar>
        </w:tblPrEx>
        <w:tc>
          <w:tcPr>
            <w:tcW w:w="3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200" w:line="240" w:lineRule="auto"/>
              <w:ind w:left="122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Názov položky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40" w:lineRule="auto"/>
              <w:ind w:left="240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Bežné účtovné obdobie</w:t>
            </w: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3710" w:type="dxa"/>
            <w:vMerge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0" w:line="240" w:lineRule="auto"/>
              <w:ind w:left="1336" w:hanging="1260"/>
              <w:rPr>
                <w:rFonts w:ascii="Calibri" w:eastAsia="Calibri" w:hAnsi="Calibri" w:cs="Calibri"/>
              </w:rPr>
            </w:pPr>
          </w:p>
        </w:tc>
        <w:tc>
          <w:tcPr>
            <w:tcW w:w="687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200" w:line="240" w:lineRule="auto"/>
              <w:ind w:left="31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FFFFFF"/>
                <w:spacing w:val="3"/>
                <w:sz w:val="20"/>
              </w:rPr>
              <w:t>2 014</w:t>
            </w: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200" w:line="240" w:lineRule="auto"/>
              <w:ind w:left="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0"/>
              </w:rPr>
              <w:t>Dlhodobé záväzky spolu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200" w:line="240" w:lineRule="auto"/>
              <w:ind w:left="318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FFFFFF"/>
                <w:spacing w:val="3"/>
                <w:sz w:val="20"/>
              </w:rPr>
              <w:t>14 000</w:t>
            </w: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/>
              <w:ind w:left="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Záväzky so zostatkovou dobou splatnosti nad päť rokov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40" w:lineRule="auto"/>
              <w:ind w:left="3180"/>
              <w:rPr>
                <w:rFonts w:ascii="Calibri" w:eastAsia="Calibri" w:hAnsi="Calibri" w:cs="Calibri"/>
              </w:rPr>
            </w:pPr>
          </w:p>
        </w:tc>
      </w:tr>
      <w:tr w:rsidR="00FF67E4">
        <w:tblPrEx>
          <w:tblCellMar>
            <w:top w:w="0" w:type="dxa"/>
            <w:bottom w:w="0" w:type="dxa"/>
          </w:tblCellMar>
        </w:tblPrEx>
        <w:tc>
          <w:tcPr>
            <w:tcW w:w="3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9D0883">
            <w:pPr>
              <w:spacing w:after="0" w:line="264" w:lineRule="auto"/>
              <w:ind w:left="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pacing w:val="2"/>
                <w:sz w:val="20"/>
              </w:rPr>
              <w:t>Záväzky so zostatkovou dobou splatnosti jeden až päť rokov</w:t>
            </w:r>
          </w:p>
        </w:tc>
        <w:tc>
          <w:tcPr>
            <w:tcW w:w="6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:rsidR="00FF67E4" w:rsidRDefault="00FF67E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</w:tbl>
    <w:p w:rsidR="00FF67E4" w:rsidRDefault="00FF67E4">
      <w:pPr>
        <w:spacing w:after="0" w:line="288" w:lineRule="auto"/>
        <w:ind w:left="60" w:right="1540"/>
        <w:rPr>
          <w:rFonts w:ascii="Calibri" w:eastAsia="Calibri" w:hAnsi="Calibri" w:cs="Calibri"/>
          <w:spacing w:val="2"/>
          <w:sz w:val="20"/>
        </w:rPr>
      </w:pPr>
    </w:p>
    <w:p w:rsidR="00FF67E4" w:rsidRDefault="009D0883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nemá</w:t>
      </w:r>
      <w:r>
        <w:rPr>
          <w:rFonts w:ascii="Calibri" w:eastAsia="Calibri" w:hAnsi="Calibri" w:cs="Calibri"/>
          <w:spacing w:val="2"/>
          <w:sz w:val="20"/>
        </w:rPr>
        <w:t xml:space="preserve"> záväzky zabezpečené záložným právom alebo inou formou zabezpečenia.</w:t>
      </w:r>
    </w:p>
    <w:p w:rsidR="00FF67E4" w:rsidRDefault="00FF67E4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</w:p>
    <w:p w:rsidR="00FF67E4" w:rsidRDefault="009D0883">
      <w:pPr>
        <w:spacing w:after="0" w:line="240" w:lineRule="auto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lastRenderedPageBreak/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neú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>čtovala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o položkách nákladov a výnosov, ktoré mali výnimočný rozsah alebo výskyt.</w:t>
      </w:r>
    </w:p>
    <w:p w:rsidR="00FF67E4" w:rsidRDefault="00FF67E4">
      <w:pPr>
        <w:tabs>
          <w:tab w:val="left" w:pos="1415"/>
        </w:tabs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spacing w:after="0" w:line="240" w:lineRule="auto"/>
        <w:ind w:left="1336" w:hanging="126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2</w:t>
      </w: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spacing w:val="3"/>
          <w:sz w:val="20"/>
        </w:rPr>
      </w:pP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spacing w:val="3"/>
          <w:sz w:val="20"/>
        </w:rPr>
      </w:pP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9D0883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  <w:r>
        <w:rPr>
          <w:rFonts w:ascii="Calibri" w:eastAsia="Calibri" w:hAnsi="Calibri" w:cs="Calibri"/>
          <w:b/>
          <w:spacing w:val="3"/>
          <w:sz w:val="19"/>
        </w:rPr>
        <w:t xml:space="preserve">Poznámky  </w:t>
      </w:r>
      <w:proofErr w:type="spellStart"/>
      <w:r>
        <w:rPr>
          <w:rFonts w:ascii="Calibri" w:eastAsia="Calibri" w:hAnsi="Calibri" w:cs="Calibri"/>
          <w:b/>
          <w:spacing w:val="3"/>
          <w:sz w:val="19"/>
        </w:rPr>
        <w:t>Úč</w:t>
      </w:r>
      <w:proofErr w:type="spellEnd"/>
      <w:r>
        <w:rPr>
          <w:rFonts w:ascii="Calibri" w:eastAsia="Calibri" w:hAnsi="Calibri" w:cs="Calibri"/>
          <w:b/>
          <w:spacing w:val="3"/>
          <w:sz w:val="19"/>
        </w:rPr>
        <w:t xml:space="preserve"> MÚJ 3 - 01</w:t>
      </w:r>
      <w:r>
        <w:rPr>
          <w:rFonts w:ascii="Calibri" w:eastAsia="Calibri" w:hAnsi="Calibri" w:cs="Calibri"/>
          <w:b/>
          <w:spacing w:val="3"/>
          <w:sz w:val="19"/>
        </w:rPr>
        <w:tab/>
      </w:r>
      <w:r>
        <w:rPr>
          <w:rFonts w:ascii="Calibri" w:eastAsia="Calibri" w:hAnsi="Calibri" w:cs="Calibri"/>
          <w:b/>
          <w:spacing w:val="3"/>
          <w:sz w:val="19"/>
        </w:rPr>
        <w:tab/>
        <w:t>IČO 47716037                                               DIČ 2024056276</w:t>
      </w:r>
    </w:p>
    <w:p w:rsidR="00FF67E4" w:rsidRDefault="00FF67E4">
      <w:pPr>
        <w:spacing w:after="0" w:line="240" w:lineRule="auto"/>
        <w:ind w:left="1336" w:hanging="1260"/>
        <w:rPr>
          <w:rFonts w:ascii="Calibri" w:eastAsia="Calibri" w:hAnsi="Calibri" w:cs="Calibri"/>
          <w:b/>
          <w:spacing w:val="3"/>
          <w:sz w:val="19"/>
        </w:rPr>
      </w:pPr>
    </w:p>
    <w:p w:rsidR="00FF67E4" w:rsidRDefault="00FF67E4">
      <w:pPr>
        <w:spacing w:after="328" w:line="240" w:lineRule="auto"/>
        <w:ind w:left="60"/>
        <w:rPr>
          <w:rFonts w:ascii="Calibri" w:eastAsia="Calibri" w:hAnsi="Calibri" w:cs="Calibri"/>
          <w:spacing w:val="3"/>
          <w:sz w:val="20"/>
        </w:rPr>
      </w:pPr>
    </w:p>
    <w:p w:rsidR="00FF67E4" w:rsidRDefault="00FF67E4">
      <w:pPr>
        <w:spacing w:after="328" w:line="240" w:lineRule="auto"/>
        <w:ind w:left="60"/>
        <w:rPr>
          <w:rFonts w:ascii="Calibri" w:eastAsia="Calibri" w:hAnsi="Calibri" w:cs="Calibri"/>
          <w:spacing w:val="3"/>
          <w:sz w:val="20"/>
        </w:rPr>
      </w:pPr>
    </w:p>
    <w:p w:rsidR="00FF67E4" w:rsidRDefault="009D0883">
      <w:pPr>
        <w:spacing w:after="328" w:line="240" w:lineRule="auto"/>
        <w:ind w:left="6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Informácie o vlastných akciách</w:t>
      </w:r>
    </w:p>
    <w:p w:rsidR="00FF67E4" w:rsidRDefault="009D0883">
      <w:pPr>
        <w:spacing w:after="0" w:line="240" w:lineRule="auto"/>
        <w:ind w:left="6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neeviduje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vlastné akcie.</w:t>
      </w:r>
    </w:p>
    <w:p w:rsidR="00FF67E4" w:rsidRDefault="00FF67E4">
      <w:pPr>
        <w:tabs>
          <w:tab w:val="left" w:pos="1415"/>
        </w:tabs>
        <w:spacing w:after="200" w:line="276" w:lineRule="auto"/>
        <w:ind w:left="-567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spacing w:after="328" w:line="240" w:lineRule="auto"/>
        <w:ind w:left="4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Informácie o povinnostiach účtovnej jednotky</w:t>
      </w:r>
    </w:p>
    <w:p w:rsidR="00FF67E4" w:rsidRDefault="009D0883">
      <w:pPr>
        <w:spacing w:after="0" w:line="240" w:lineRule="auto"/>
        <w:ind w:left="4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neeviduje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finančné povinnosti, ktoré sa nevykazujú v súvahe.</w:t>
      </w: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sz w:val="20"/>
        </w:rPr>
      </w:pPr>
    </w:p>
    <w:p w:rsidR="00FF67E4" w:rsidRDefault="009D0883">
      <w:pPr>
        <w:spacing w:after="352" w:line="240" w:lineRule="auto"/>
        <w:ind w:left="40"/>
        <w:rPr>
          <w:rFonts w:ascii="Calibri" w:eastAsia="Calibri" w:hAnsi="Calibri" w:cs="Calibri"/>
          <w:spacing w:val="3"/>
          <w:sz w:val="20"/>
        </w:rPr>
      </w:pPr>
      <w:r>
        <w:rPr>
          <w:rFonts w:ascii="Calibri" w:eastAsia="Calibri" w:hAnsi="Calibri" w:cs="Calibri"/>
          <w:spacing w:val="3"/>
          <w:sz w:val="20"/>
        </w:rPr>
        <w:t>Informácie o orgánoch účtovnej jednotky</w:t>
      </w:r>
    </w:p>
    <w:p w:rsidR="00FF67E4" w:rsidRDefault="009D0883">
      <w:pPr>
        <w:spacing w:after="0" w:line="240" w:lineRule="auto"/>
        <w:ind w:left="40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Spoločnosť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neposkytla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členom orgánov ÚJ záruky, zabezpečenia, pôžičky, plnenia na súkromné ú</w:t>
      </w:r>
      <w:r>
        <w:rPr>
          <w:rFonts w:ascii="Calibri" w:eastAsia="Calibri" w:hAnsi="Calibri" w:cs="Calibri"/>
          <w:spacing w:val="2"/>
          <w:sz w:val="20"/>
        </w:rPr>
        <w:t>čely.</w:t>
      </w: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spacing w:after="0" w:line="293" w:lineRule="auto"/>
        <w:ind w:left="60" w:right="141"/>
        <w:rPr>
          <w:rFonts w:ascii="Calibri" w:eastAsia="Calibri" w:hAnsi="Calibri" w:cs="Calibri"/>
          <w:spacing w:val="2"/>
          <w:sz w:val="20"/>
        </w:rPr>
      </w:pPr>
      <w:r>
        <w:rPr>
          <w:rFonts w:ascii="Calibri" w:eastAsia="Calibri" w:hAnsi="Calibri" w:cs="Calibri"/>
          <w:spacing w:val="2"/>
          <w:sz w:val="20"/>
        </w:rPr>
        <w:t>Spoločnosti</w:t>
      </w:r>
      <w:r>
        <w:rPr>
          <w:rFonts w:ascii="Calibri" w:eastAsia="Calibri" w:hAnsi="Calibri" w:cs="Calibri"/>
          <w:b/>
          <w:spacing w:val="3"/>
          <w:sz w:val="20"/>
          <w:shd w:val="clear" w:color="auto" w:fill="FFFFFF"/>
        </w:rPr>
        <w:t xml:space="preserve"> nie je</w:t>
      </w:r>
      <w:r>
        <w:rPr>
          <w:rFonts w:ascii="Calibri" w:eastAsia="Calibri" w:hAnsi="Calibri" w:cs="Calibri"/>
          <w:spacing w:val="2"/>
          <w:sz w:val="20"/>
          <w:shd w:val="clear" w:color="auto" w:fill="FFFFFF"/>
        </w:rPr>
        <w:t xml:space="preserve"> </w:t>
      </w:r>
      <w:r>
        <w:rPr>
          <w:rFonts w:ascii="Calibri" w:eastAsia="Calibri" w:hAnsi="Calibri" w:cs="Calibri"/>
          <w:spacing w:val="2"/>
          <w:sz w:val="20"/>
        </w:rPr>
        <w:t>udelené výlučné právo alebo osobitné právo ktorým jej bolo udelené právo</w:t>
      </w:r>
      <w:r>
        <w:rPr>
          <w:rFonts w:ascii="Calibri" w:eastAsia="Calibri" w:hAnsi="Calibri" w:cs="Calibri"/>
          <w:spacing w:val="2"/>
          <w:sz w:val="20"/>
        </w:rPr>
        <w:br/>
        <w:t>poskytovať služby vo verejnom záujme, pričom prijíma náhradu za túto činnosť v akejkoľvek forme.</w:t>
      </w: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FF67E4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</w:p>
    <w:p w:rsidR="00FF67E4" w:rsidRDefault="009D0883">
      <w:pPr>
        <w:tabs>
          <w:tab w:val="left" w:pos="1415"/>
        </w:tabs>
        <w:spacing w:after="200" w:line="276" w:lineRule="auto"/>
        <w:ind w:left="40"/>
        <w:rPr>
          <w:rFonts w:ascii="Calibri" w:eastAsia="Calibri" w:hAnsi="Calibri" w:cs="Calibri"/>
          <w:b/>
          <w:sz w:val="20"/>
        </w:rPr>
      </w:pPr>
      <w:r>
        <w:rPr>
          <w:rFonts w:ascii="Calibri" w:eastAsia="Calibri" w:hAnsi="Calibri" w:cs="Calibri"/>
          <w:b/>
          <w:sz w:val="20"/>
        </w:rPr>
        <w:t>3</w:t>
      </w:r>
    </w:p>
    <w:sectPr w:rsidR="00FF67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913B1"/>
    <w:multiLevelType w:val="multilevel"/>
    <w:tmpl w:val="61EE5C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EE1318E"/>
    <w:multiLevelType w:val="multilevel"/>
    <w:tmpl w:val="BD98FC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53F790F"/>
    <w:multiLevelType w:val="multilevel"/>
    <w:tmpl w:val="ED00AE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A9B79CA"/>
    <w:multiLevelType w:val="multilevel"/>
    <w:tmpl w:val="13B8E0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E871420"/>
    <w:multiLevelType w:val="multilevel"/>
    <w:tmpl w:val="654C80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1E72A2A"/>
    <w:multiLevelType w:val="multilevel"/>
    <w:tmpl w:val="762844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FBF449A"/>
    <w:multiLevelType w:val="multilevel"/>
    <w:tmpl w:val="FCE0E3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4"/>
  </w:num>
  <w:num w:numId="5">
    <w:abstractNumId w:val="2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F67E4"/>
    <w:rsid w:val="009D0883"/>
    <w:rsid w:val="00FF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38DC89-4ED0-491C-B49B-410D44D55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544</Words>
  <Characters>3106</Characters>
  <Application>Microsoft Office Word</Application>
  <DocSecurity>0</DocSecurity>
  <Lines>25</Lines>
  <Paragraphs>7</Paragraphs>
  <ScaleCrop>false</ScaleCrop>
  <Company/>
  <LinksUpToDate>false</LinksUpToDate>
  <CharactersWithSpaces>3643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Monika</cp:lastModifiedBy>
  <cp:revision>2</cp:revision>
  <dcterms:created xsi:type="dcterms:W3CDTF">2019-06-16T12:08:00Z</dcterms:created>
  <dcterms:modified xsi:type="dcterms:W3CDTF">2019-06-16T12:09:00Z</dcterms:modified>
</cp:coreProperties>
</file>