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360"/>
        <w:jc w:val="right"/>
        <w:rPr>
          <w:b/>
          <w:b/>
          <w:bCs/>
          <w:sz w:val="24"/>
          <w:szCs w:val="24"/>
        </w:rPr>
      </w:pPr>
      <w:bookmarkStart w:id="0" w:name="_GoBack"/>
      <w:bookmarkStart w:id="1" w:name="_GoBack"/>
      <w:bookmarkEnd w:id="1"/>
      <w:r>
        <w:rPr>
          <w:b/>
          <w:bCs/>
          <w:sz w:val="24"/>
          <w:szCs w:val="24"/>
        </w:rPr>
      </w:r>
    </w:p>
    <w:p>
      <w:pPr>
        <w:pStyle w:val="Normal"/>
        <w:spacing w:lineRule="auto" w:line="360"/>
        <w:jc w:val="center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Poznámky k 31.12.2018</w:t>
      </w:r>
    </w:p>
    <w:p>
      <w:pPr>
        <w:pStyle w:val="Normal"/>
        <w:spacing w:lineRule="auto" w:line="360"/>
        <w:jc w:val="center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ako súčasť konsolidovanej účtovnej závierky</w:t>
      </w:r>
    </w:p>
    <w:p>
      <w:pPr>
        <w:pStyle w:val="Normal"/>
        <w:spacing w:lineRule="auto" w:line="360"/>
        <w:jc w:val="center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účtovnej jednotky verejnej správy </w:t>
      </w:r>
    </w:p>
    <w:p>
      <w:pPr>
        <w:pStyle w:val="Normal"/>
        <w:spacing w:lineRule="auto" w:line="360"/>
        <w:jc w:val="center"/>
        <w:rPr>
          <w:b/>
          <w:b/>
          <w:bCs/>
          <w:sz w:val="24"/>
          <w:szCs w:val="24"/>
        </w:rPr>
      </w:pPr>
      <w:r>
        <w:rPr>
          <w:b/>
          <w:bCs/>
          <w:i/>
          <w:sz w:val="24"/>
          <w:szCs w:val="24"/>
        </w:rPr>
        <w:t>Obce Danišovce</w:t>
      </w:r>
    </w:p>
    <w:p>
      <w:pPr>
        <w:pStyle w:val="Normal"/>
        <w:spacing w:lineRule="auto" w:line="360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>
      <w:pPr>
        <w:pStyle w:val="Normal"/>
        <w:spacing w:lineRule="auto" w:line="360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>
      <w:pPr>
        <w:pStyle w:val="Normal"/>
        <w:spacing w:lineRule="auto" w:line="36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lineRule="auto" w:line="360"/>
        <w:rPr>
          <w:b/>
          <w:b/>
          <w:i/>
          <w:i/>
          <w:sz w:val="24"/>
          <w:szCs w:val="24"/>
        </w:rPr>
      </w:pPr>
      <w:r>
        <w:rPr>
          <w:b/>
          <w:i/>
          <w:sz w:val="24"/>
          <w:szCs w:val="24"/>
        </w:rPr>
        <w:t>Identifikačné údaje o konsolidujúcej účtovnej jednotke</w:t>
      </w:r>
    </w:p>
    <w:tbl>
      <w:tblPr>
        <w:tblW w:w="10260" w:type="dxa"/>
        <w:jc w:val="left"/>
        <w:tblInd w:w="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1e0"/>
      </w:tblPr>
      <w:tblGrid>
        <w:gridCol w:w="4781"/>
        <w:gridCol w:w="5478"/>
      </w:tblGrid>
      <w:tr>
        <w:trPr/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konsolidujúcej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360"/>
              <w:rPr>
                <w:i/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Obec Danišovce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konsolidujúcej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360"/>
              <w:rPr>
                <w:i/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Danišovce 33, 053 22 Danišovce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360"/>
              <w:rPr>
                <w:i/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Zo zákona</w:t>
            </w:r>
          </w:p>
        </w:tc>
      </w:tr>
    </w:tbl>
    <w:p>
      <w:pPr>
        <w:pStyle w:val="Normal"/>
        <w:spacing w:lineRule="auto" w:line="36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lineRule="auto" w:line="360"/>
        <w:rPr>
          <w:b/>
          <w:b/>
          <w:i/>
          <w:i/>
          <w:sz w:val="24"/>
          <w:szCs w:val="24"/>
        </w:rPr>
      </w:pPr>
      <w:r>
        <w:rPr>
          <w:b/>
          <w:i/>
          <w:sz w:val="24"/>
          <w:szCs w:val="24"/>
        </w:rPr>
        <w:t>Identifikačné údaje o konsolidovaných  účtovných  jednotkách – obchodných spoločnostiach</w:t>
      </w:r>
    </w:p>
    <w:tbl>
      <w:tblPr>
        <w:tblW w:w="10260" w:type="dxa"/>
        <w:jc w:val="left"/>
        <w:tblInd w:w="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1e0"/>
      </w:tblPr>
      <w:tblGrid>
        <w:gridCol w:w="4781"/>
        <w:gridCol w:w="5478"/>
      </w:tblGrid>
      <w:tr>
        <w:trPr/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360"/>
              <w:rPr>
                <w:i/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Obecné hospodárstvo obce Danišovce, s.r.o.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360"/>
              <w:rPr>
                <w:i/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Danišovce 33, 053 22  Danišovce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IČO/ DIČ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360"/>
              <w:rPr>
                <w:i/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44898282 / 2022872478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konatelia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360"/>
              <w:rPr>
                <w:i/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Miroslav Výrostek, Ľubomír Majko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Dátum založenia/vzniku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360"/>
              <w:rPr>
                <w:i/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11.08.2009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Podiel konsolidujúcej účtovnej jednotky obce na  základnom imaní, hlasovacích právach konsolidovanej účtovnej  jednotky (obchodnej spoločnosti)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360"/>
              <w:rPr>
                <w:i/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100 % dcéra obce</w:t>
            </w:r>
          </w:p>
        </w:tc>
      </w:tr>
    </w:tbl>
    <w:p>
      <w:pPr>
        <w:pStyle w:val="Normal"/>
        <w:spacing w:lineRule="auto" w:line="36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lineRule="auto" w:line="360"/>
        <w:rPr>
          <w:b/>
          <w:b/>
          <w:i/>
          <w:i/>
          <w:sz w:val="24"/>
          <w:szCs w:val="24"/>
        </w:rPr>
      </w:pPr>
      <w:r>
        <w:rPr>
          <w:b/>
          <w:i/>
          <w:sz w:val="24"/>
          <w:szCs w:val="24"/>
        </w:rPr>
        <w:t>Informácie o zamestnancoch konsolidovaného celku</w:t>
      </w:r>
    </w:p>
    <w:tbl>
      <w:tblPr>
        <w:tblW w:w="10260" w:type="dxa"/>
        <w:jc w:val="left"/>
        <w:tblInd w:w="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1e0"/>
      </w:tblPr>
      <w:tblGrid>
        <w:gridCol w:w="4781"/>
        <w:gridCol w:w="5478"/>
      </w:tblGrid>
      <w:tr>
        <w:trPr/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 konsolidovaného celku počas účtovného obdobia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360"/>
              <w:rPr>
                <w:i/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7OBEC + 0 S.R.O. = 7</w:t>
            </w:r>
          </w:p>
          <w:p>
            <w:pPr>
              <w:pStyle w:val="Normal"/>
              <w:spacing w:lineRule="auto" w:line="360"/>
              <w:rPr>
                <w:i/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Obec zamestnáva  aj zamestnancov Materskej škôlky a školskej jedálne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z toho : Počet  vedúcich  zamestnancov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360"/>
              <w:rPr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1O + 1MŠ + 1 ŠJ + 0 s.r.o. = 3</w:t>
            </w:r>
          </w:p>
        </w:tc>
      </w:tr>
    </w:tbl>
    <w:p>
      <w:pPr>
        <w:pStyle w:val="Normal"/>
        <w:spacing w:lineRule="auto" w:line="36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lineRule="auto" w:line="360"/>
        <w:jc w:val="both"/>
        <w:rPr>
          <w:b/>
          <w:b/>
          <w:i/>
          <w:i/>
          <w:sz w:val="24"/>
          <w:szCs w:val="24"/>
        </w:rPr>
      </w:pPr>
      <w:r>
        <w:rPr>
          <w:b/>
          <w:i/>
          <w:sz w:val="24"/>
          <w:szCs w:val="24"/>
        </w:rPr>
        <w:t>Informácie o zostavení individuálnej účtovnej závierky konsolidovanej účtovnej jednotky – obchodnej spoločnosti, ak je iný ako 31.12.2018</w:t>
      </w:r>
    </w:p>
    <w:tbl>
      <w:tblPr>
        <w:tblW w:w="10260" w:type="dxa"/>
        <w:jc w:val="left"/>
        <w:tblInd w:w="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1e0"/>
      </w:tblPr>
      <w:tblGrid>
        <w:gridCol w:w="4781"/>
        <w:gridCol w:w="5478"/>
      </w:tblGrid>
      <w:tr>
        <w:trPr/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360"/>
              <w:rPr>
                <w:i/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Obecné hospodárstvo obce Danišovce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360"/>
              <w:rPr>
                <w:i/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K 31.12.2018</w:t>
            </w:r>
          </w:p>
        </w:tc>
      </w:tr>
    </w:tbl>
    <w:p>
      <w:pPr>
        <w:pStyle w:val="Normal"/>
        <w:spacing w:lineRule="auto" w:line="360"/>
        <w:rPr>
          <w:b/>
          <w:b/>
          <w:i/>
          <w:i/>
          <w:sz w:val="24"/>
          <w:szCs w:val="24"/>
        </w:rPr>
      </w:pPr>
      <w:r>
        <w:rPr>
          <w:b/>
          <w:i/>
          <w:sz w:val="24"/>
          <w:szCs w:val="24"/>
        </w:rPr>
      </w:r>
    </w:p>
    <w:p>
      <w:pPr>
        <w:pStyle w:val="Normal"/>
        <w:spacing w:lineRule="auto" w:line="360" w:before="120" w:after="0"/>
        <w:jc w:val="both"/>
        <w:rPr>
          <w:b/>
          <w:b/>
          <w:i/>
          <w:i/>
          <w:sz w:val="24"/>
          <w:szCs w:val="24"/>
        </w:rPr>
      </w:pPr>
      <w:r>
        <w:rPr>
          <w:b/>
          <w:i/>
          <w:sz w:val="24"/>
          <w:szCs w:val="24"/>
        </w:rPr>
        <w:t>Informácie o výške podielov na výsledku hospodárenia konsolidovaných účtovných jednotiek (obchodných spoločností), ktoré konsolidujúca účtovná jednotka (obec resp. VÚC) ovláda alebo vykonáva v nich podstatný vplyv, ktoré boli nadobudnuté  v priebehu účtovného obdobia</w:t>
      </w:r>
    </w:p>
    <w:tbl>
      <w:tblPr>
        <w:tblW w:w="10260" w:type="dxa"/>
        <w:jc w:val="left"/>
        <w:tblInd w:w="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1e0"/>
      </w:tblPr>
      <w:tblGrid>
        <w:gridCol w:w="4781"/>
        <w:gridCol w:w="5478"/>
      </w:tblGrid>
      <w:tr>
        <w:trPr/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360"/>
              <w:rPr>
                <w:i/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Obecné hospodárstvo obce Danišovce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Výška podielu na výsledku hospodárenia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360"/>
              <w:rPr>
                <w:i/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100%</w:t>
            </w:r>
          </w:p>
        </w:tc>
      </w:tr>
    </w:tbl>
    <w:p>
      <w:pPr>
        <w:pStyle w:val="Normal"/>
        <w:spacing w:lineRule="auto" w:line="360"/>
        <w:rPr>
          <w:b/>
          <w:b/>
          <w:i/>
          <w:i/>
          <w:sz w:val="24"/>
          <w:szCs w:val="24"/>
        </w:rPr>
      </w:pPr>
      <w:r>
        <w:rPr>
          <w:b/>
          <w:i/>
          <w:sz w:val="24"/>
          <w:szCs w:val="24"/>
        </w:rPr>
      </w:r>
    </w:p>
    <w:p>
      <w:pPr>
        <w:pStyle w:val="Normal"/>
        <w:spacing w:lineRule="auto" w:line="360" w:before="120" w:after="0"/>
        <w:jc w:val="both"/>
        <w:rPr>
          <w:b/>
          <w:b/>
          <w:i/>
          <w:i/>
          <w:sz w:val="24"/>
          <w:szCs w:val="24"/>
        </w:rPr>
      </w:pPr>
      <w:r>
        <w:rPr>
          <w:b/>
          <w:i/>
          <w:sz w:val="24"/>
          <w:szCs w:val="24"/>
        </w:rPr>
        <w:t>Informácie o výsledku hospodárenia z dôvodu predaja majetku medzi účtovnými jednotkami konsolidovaného celku (obce resp. VÚC)</w:t>
      </w:r>
    </w:p>
    <w:tbl>
      <w:tblPr>
        <w:tblW w:w="10260" w:type="dxa"/>
        <w:jc w:val="left"/>
        <w:tblInd w:w="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1e0"/>
      </w:tblPr>
      <w:tblGrid>
        <w:gridCol w:w="4781"/>
        <w:gridCol w:w="5478"/>
      </w:tblGrid>
      <w:tr>
        <w:trPr/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360"/>
              <w:rPr>
                <w:i/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–</w:t>
            </w:r>
            <w:r>
              <w:rPr>
                <w:i/>
                <w:sz w:val="24"/>
                <w:szCs w:val="24"/>
              </w:rPr>
              <w:t>-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360"/>
              <w:rPr>
                <w:i/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–</w:t>
            </w:r>
            <w:r>
              <w:rPr>
                <w:i/>
                <w:sz w:val="24"/>
                <w:szCs w:val="24"/>
              </w:rPr>
              <w:t>-</w:t>
            </w:r>
          </w:p>
        </w:tc>
      </w:tr>
    </w:tbl>
    <w:p>
      <w:pPr>
        <w:pStyle w:val="Normal"/>
        <w:spacing w:lineRule="auto" w:line="360"/>
        <w:rPr>
          <w:b/>
          <w:b/>
          <w:i/>
          <w:i/>
          <w:sz w:val="24"/>
          <w:szCs w:val="24"/>
        </w:rPr>
      </w:pPr>
      <w:r>
        <w:rPr>
          <w:b/>
          <w:i/>
          <w:sz w:val="24"/>
          <w:szCs w:val="24"/>
        </w:rPr>
      </w:r>
    </w:p>
    <w:p>
      <w:pPr>
        <w:pStyle w:val="Normal"/>
        <w:spacing w:lineRule="auto" w:line="360"/>
        <w:rPr>
          <w:b/>
          <w:b/>
          <w:i/>
          <w:i/>
          <w:sz w:val="24"/>
          <w:szCs w:val="24"/>
        </w:rPr>
      </w:pPr>
      <w:r>
        <w:rPr>
          <w:b/>
          <w:i/>
          <w:sz w:val="24"/>
          <w:szCs w:val="24"/>
        </w:rPr>
      </w:r>
    </w:p>
    <w:p>
      <w:pPr>
        <w:pStyle w:val="Normal"/>
        <w:spacing w:lineRule="auto" w:line="360"/>
        <w:jc w:val="both"/>
        <w:rPr>
          <w:b/>
          <w:b/>
          <w:i/>
          <w:i/>
          <w:sz w:val="24"/>
          <w:szCs w:val="24"/>
        </w:rPr>
      </w:pPr>
      <w:r>
        <w:rPr>
          <w:b/>
          <w:sz w:val="24"/>
          <w:szCs w:val="24"/>
        </w:rPr>
        <w:t>Informácie o metódach oceňovania použitých pri ocenení jednotlivých položiek konsolidovanej účtovnej závierky Obce Danišovce</w:t>
      </w:r>
    </w:p>
    <w:p>
      <w:pPr>
        <w:pStyle w:val="Normal"/>
        <w:spacing w:lineRule="auto" w:line="360"/>
        <w:rPr>
          <w:b/>
          <w:b/>
          <w:i/>
          <w:i/>
          <w:sz w:val="24"/>
          <w:szCs w:val="24"/>
        </w:rPr>
      </w:pPr>
      <w:r>
        <w:rPr>
          <w:b/>
          <w:i/>
          <w:sz w:val="24"/>
          <w:szCs w:val="24"/>
        </w:rPr>
      </w:r>
    </w:p>
    <w:p>
      <w:pPr>
        <w:pStyle w:val="Normal"/>
        <w:numPr>
          <w:ilvl w:val="0"/>
          <w:numId w:val="6"/>
        </w:numPr>
        <w:spacing w:lineRule="auto" w:line="360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>
      <w:pPr>
        <w:pStyle w:val="Normal"/>
        <w:numPr>
          <w:ilvl w:val="0"/>
          <w:numId w:val="6"/>
        </w:numPr>
        <w:spacing w:lineRule="auto" w:line="360"/>
        <w:jc w:val="both"/>
        <w:rPr>
          <w:bCs/>
          <w:sz w:val="24"/>
          <w:szCs w:val="24"/>
        </w:rPr>
      </w:pPr>
      <w:r>
        <w:rPr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>
      <w:pPr>
        <w:pStyle w:val="Normal"/>
        <w:numPr>
          <w:ilvl w:val="0"/>
          <w:numId w:val="6"/>
        </w:numPr>
        <w:spacing w:lineRule="auto" w:line="360"/>
        <w:jc w:val="both"/>
        <w:rPr>
          <w:bCs/>
          <w:sz w:val="24"/>
          <w:szCs w:val="24"/>
        </w:rPr>
      </w:pPr>
      <w:r>
        <w:rPr>
          <w:sz w:val="24"/>
          <w:szCs w:val="24"/>
        </w:rPr>
        <w:t xml:space="preserve">Súčasťou obstarávacej ceny dlhodobého nehmotného a hmotného majetku </w:t>
      </w:r>
      <w:r>
        <w:rPr>
          <w:iCs/>
          <w:sz w:val="24"/>
          <w:szCs w:val="24"/>
        </w:rPr>
        <w:t xml:space="preserve">(nie) sú </w:t>
      </w:r>
      <w:r>
        <w:rPr>
          <w:sz w:val="24"/>
          <w:szCs w:val="24"/>
        </w:rPr>
        <w:t>úroky z úverov.</w:t>
      </w:r>
    </w:p>
    <w:p>
      <w:pPr>
        <w:pStyle w:val="Normal"/>
        <w:numPr>
          <w:ilvl w:val="0"/>
          <w:numId w:val="6"/>
        </w:numPr>
        <w:spacing w:lineRule="auto" w:line="360"/>
        <w:jc w:val="both"/>
        <w:rPr>
          <w:bCs/>
          <w:sz w:val="24"/>
          <w:szCs w:val="24"/>
        </w:rPr>
      </w:pPr>
      <w:r>
        <w:rPr>
          <w:sz w:val="24"/>
          <w:szCs w:val="24"/>
        </w:rPr>
        <w:t>Dlhodobý majetok vytvorený vlastnou činnosťou sa oceňuje vlastnými nákladmi, ktoré predstavujú  všetky priame náklady vynaložené na výrobu alebo inú činnosť a všetky nepriame náklady vzťahujúce sa na výrobu alebo inú činnosť.</w:t>
      </w:r>
    </w:p>
    <w:p>
      <w:pPr>
        <w:pStyle w:val="Normal"/>
        <w:numPr>
          <w:ilvl w:val="0"/>
          <w:numId w:val="6"/>
        </w:numPr>
        <w:spacing w:lineRule="auto" w:line="360"/>
        <w:jc w:val="both"/>
        <w:rPr>
          <w:bCs/>
          <w:sz w:val="24"/>
          <w:szCs w:val="24"/>
        </w:rPr>
      </w:pPr>
      <w:r>
        <w:rPr>
          <w:iCs/>
          <w:sz w:val="24"/>
          <w:szCs w:val="24"/>
        </w:rPr>
        <w:t>Dlhodobý majetok nadobudnutý darovaním sa oceňuje reprodukčnou obstarávacou cenou, teda cenou, za ktorú by sa majetok obstaral v čase, keď sa o ňom účtuje.</w:t>
      </w:r>
    </w:p>
    <w:p>
      <w:pPr>
        <w:pStyle w:val="Normal"/>
        <w:numPr>
          <w:ilvl w:val="0"/>
          <w:numId w:val="6"/>
        </w:numPr>
        <w:spacing w:lineRule="auto" w:line="360"/>
        <w:jc w:val="both"/>
        <w:rPr>
          <w:bCs/>
          <w:sz w:val="24"/>
          <w:szCs w:val="24"/>
        </w:rPr>
      </w:pPr>
      <w:r>
        <w:rPr>
          <w:iCs/>
          <w:sz w:val="24"/>
          <w:szCs w:val="24"/>
        </w:rPr>
        <w:t>Dlhodobý majetok nadobudnutý prevodom správy sa oceňuje cenou, v ktorej sa doteraz viedol v účtovníctve.</w:t>
      </w:r>
    </w:p>
    <w:p>
      <w:pPr>
        <w:pStyle w:val="Normal"/>
        <w:numPr>
          <w:ilvl w:val="0"/>
          <w:numId w:val="6"/>
        </w:numPr>
        <w:spacing w:lineRule="auto" w:line="360"/>
        <w:rPr>
          <w:sz w:val="24"/>
          <w:szCs w:val="24"/>
        </w:rPr>
      </w:pPr>
      <w:r>
        <w:rPr>
          <w:bCs/>
          <w:sz w:val="24"/>
          <w:szCs w:val="24"/>
        </w:rPr>
        <w:t>Dlhodobý finančný majetok sa oceňuje obstarávacou cenou.</w:t>
      </w:r>
    </w:p>
    <w:p>
      <w:pPr>
        <w:pStyle w:val="Normal"/>
        <w:numPr>
          <w:ilvl w:val="0"/>
          <w:numId w:val="6"/>
        </w:numPr>
        <w:spacing w:lineRule="auto" w:line="360"/>
        <w:rPr>
          <w:sz w:val="24"/>
          <w:szCs w:val="24"/>
        </w:rPr>
      </w:pPr>
      <w:r>
        <w:rPr>
          <w:sz w:val="24"/>
          <w:szCs w:val="24"/>
        </w:rPr>
        <w:t>Deriváty sa pri nadobudnutí oceňujú cenou obstarania a ku dňu, ku ktorému sa zostavuje účtovná závierka, reálnou hodnotou.</w:t>
      </w:r>
    </w:p>
    <w:p>
      <w:pPr>
        <w:pStyle w:val="Normal"/>
        <w:numPr>
          <w:ilvl w:val="0"/>
          <w:numId w:val="6"/>
        </w:numPr>
        <w:spacing w:lineRule="auto" w:line="360"/>
        <w:rPr>
          <w:sz w:val="24"/>
          <w:szCs w:val="24"/>
        </w:rPr>
      </w:pPr>
      <w:r>
        <w:rPr>
          <w:sz w:val="24"/>
          <w:szCs w:val="24"/>
        </w:rPr>
        <w:t>Majetok a záväzky zabezpečené derivátmi sa oceňujú reálnou hodnotou.</w:t>
      </w:r>
    </w:p>
    <w:p>
      <w:pPr>
        <w:pStyle w:val="Normal"/>
        <w:numPr>
          <w:ilvl w:val="0"/>
          <w:numId w:val="6"/>
        </w:numPr>
        <w:spacing w:lineRule="auto" w:line="360"/>
        <w:jc w:val="both"/>
        <w:rPr>
          <w:sz w:val="24"/>
          <w:szCs w:val="24"/>
        </w:rPr>
      </w:pPr>
      <w:r>
        <w:rPr>
          <w:bCs/>
          <w:sz w:val="24"/>
          <w:szCs w:val="24"/>
        </w:rPr>
        <w:t xml:space="preserve">Nakupované zásoby </w:t>
      </w:r>
      <w:r>
        <w:rPr>
          <w:sz w:val="24"/>
          <w:szCs w:val="24"/>
        </w:rPr>
        <w:t xml:space="preserve">sa oceňujú obstarávacou cenou, ktorou je cena obstarania vrátane nákladov súvisiacich s obstaraním ako napr. prepravné, provízia, poistné a zľavy.     </w:t>
      </w:r>
    </w:p>
    <w:p>
      <w:pPr>
        <w:pStyle w:val="Normal"/>
        <w:numPr>
          <w:ilvl w:val="0"/>
          <w:numId w:val="6"/>
        </w:numPr>
        <w:spacing w:lineRule="auto" w:line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Zásoby vytvorené vlastnou činnosťousa oceňujú vlastnými nákladmi t.j. priamymi nákladmi vynaloženými na tvorbu zásob ako aj časťou nepriamych nákladov, ktoré sa k tvorbe zásob vzťahujú. </w:t>
      </w:r>
    </w:p>
    <w:p>
      <w:pPr>
        <w:pStyle w:val="Normal"/>
        <w:numPr>
          <w:ilvl w:val="0"/>
          <w:numId w:val="6"/>
        </w:numPr>
        <w:spacing w:lineRule="auto" w:line="360"/>
        <w:jc w:val="both"/>
        <w:rPr>
          <w:sz w:val="24"/>
          <w:szCs w:val="24"/>
        </w:rPr>
      </w:pPr>
      <w:r>
        <w:rPr>
          <w:sz w:val="24"/>
          <w:szCs w:val="24"/>
        </w:rPr>
        <w:t>Pohľadávky sa oceňujú v menovitej hodnote.</w:t>
      </w:r>
    </w:p>
    <w:p>
      <w:pPr>
        <w:pStyle w:val="Normal"/>
        <w:numPr>
          <w:ilvl w:val="0"/>
          <w:numId w:val="6"/>
        </w:numPr>
        <w:spacing w:lineRule="auto" w:line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Cenné papiere a podiely sa oceňujú obstarávacími cenami, vrátane nákladov súvisiacich s obstaraním. </w:t>
      </w:r>
    </w:p>
    <w:p>
      <w:pPr>
        <w:pStyle w:val="Normal"/>
        <w:numPr>
          <w:ilvl w:val="0"/>
          <w:numId w:val="6"/>
        </w:numPr>
        <w:spacing w:lineRule="auto" w:line="360"/>
        <w:jc w:val="both"/>
        <w:rPr>
          <w:sz w:val="24"/>
          <w:szCs w:val="24"/>
        </w:rPr>
      </w:pPr>
      <w:r>
        <w:rPr>
          <w:sz w:val="24"/>
          <w:szCs w:val="24"/>
        </w:rPr>
        <w:t>Pohľadávky sa pri ich vzniku oceňujú menovitou hodnotou.</w:t>
      </w:r>
    </w:p>
    <w:p>
      <w:pPr>
        <w:pStyle w:val="Normal"/>
        <w:numPr>
          <w:ilvl w:val="0"/>
          <w:numId w:val="6"/>
        </w:numPr>
        <w:spacing w:lineRule="auto" w:line="360"/>
        <w:jc w:val="both"/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</w:t>
      </w:r>
    </w:p>
    <w:p>
      <w:pPr>
        <w:pStyle w:val="Normal"/>
        <w:numPr>
          <w:ilvl w:val="0"/>
          <w:numId w:val="6"/>
        </w:numPr>
        <w:spacing w:lineRule="auto" w:line="360"/>
        <w:jc w:val="both"/>
        <w:rPr>
          <w:sz w:val="24"/>
          <w:szCs w:val="24"/>
        </w:rPr>
      </w:pPr>
      <w:r>
        <w:rPr>
          <w:sz w:val="24"/>
          <w:szCs w:val="24"/>
        </w:rPr>
        <w:t>Záväzky sa pri ich vzniku oceňujú menovitou hodnotou.</w:t>
      </w:r>
    </w:p>
    <w:p>
      <w:pPr>
        <w:pStyle w:val="Normal"/>
        <w:numPr>
          <w:ilvl w:val="0"/>
          <w:numId w:val="6"/>
        </w:numPr>
        <w:spacing w:lineRule="auto" w:line="360"/>
        <w:jc w:val="both"/>
        <w:rPr>
          <w:sz w:val="24"/>
          <w:szCs w:val="24"/>
        </w:rPr>
      </w:pPr>
      <w:r>
        <w:rPr>
          <w:sz w:val="24"/>
          <w:szCs w:val="24"/>
        </w:rPr>
        <w:t>Záväzky sa pri ich prevzatí oceňujú obstarávacou cenou.</w:t>
      </w:r>
    </w:p>
    <w:p>
      <w:pPr>
        <w:pStyle w:val="Normal"/>
        <w:numPr>
          <w:ilvl w:val="0"/>
          <w:numId w:val="6"/>
        </w:numPr>
        <w:spacing w:lineRule="auto" w:line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>
        <w:rPr>
          <w:bCs/>
          <w:sz w:val="24"/>
          <w:szCs w:val="24"/>
        </w:rPr>
        <w:t> </w:t>
      </w:r>
    </w:p>
    <w:p>
      <w:pPr>
        <w:pStyle w:val="Normal"/>
        <w:spacing w:lineRule="auto" w:line="36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lineRule="auto" w:line="360"/>
        <w:ind w:left="708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Konsolidovaný celok Obce Danišovce zahŕňa  , 1 obchodnú spoločnosť;  ich identifikačné údaje sa nachádzajú v úvode.</w:t>
      </w:r>
    </w:p>
    <w:p>
      <w:pPr>
        <w:pStyle w:val="Normal"/>
        <w:spacing w:lineRule="auto" w:line="36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spacing w:lineRule="auto" w:line="36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spacing w:lineRule="auto" w:line="360"/>
        <w:jc w:val="center"/>
        <w:rPr>
          <w:b/>
          <w:b/>
          <w:sz w:val="24"/>
          <w:szCs w:val="24"/>
        </w:rPr>
      </w:pPr>
      <w:r>
        <w:rPr>
          <w:b/>
          <w:bCs/>
          <w:sz w:val="24"/>
          <w:szCs w:val="24"/>
        </w:rPr>
        <w:t> </w:t>
      </w:r>
      <w:r>
        <w:rPr>
          <w:b/>
          <w:sz w:val="24"/>
          <w:szCs w:val="24"/>
        </w:rPr>
        <w:t>Čl. II</w:t>
      </w:r>
    </w:p>
    <w:p>
      <w:pPr>
        <w:pStyle w:val="Normal"/>
        <w:spacing w:lineRule="auto" w:line="360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metódach a postupoch konsolidácie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lineRule="auto" w:line="360"/>
        <w:jc w:val="both"/>
        <w:rPr>
          <w:sz w:val="24"/>
          <w:szCs w:val="24"/>
        </w:rPr>
      </w:pPr>
      <w:r>
        <w:rPr>
          <w:sz w:val="24"/>
          <w:szCs w:val="24"/>
        </w:rPr>
        <w:t>Konsolidovaná účtovná závierka Obce Danišovce bola zostavená v súlade so zákonomč. 431/2002 Z. z. o účtovníctve v znení neskorších predpisov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správe.</w:t>
      </w:r>
    </w:p>
    <w:p>
      <w:pPr>
        <w:pStyle w:val="Normal"/>
        <w:spacing w:lineRule="auto" w:line="36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lineRule="auto" w:line="360"/>
        <w:jc w:val="both"/>
        <w:rPr>
          <w:b/>
          <w:b/>
          <w:i/>
          <w:i/>
          <w:sz w:val="24"/>
          <w:szCs w:val="24"/>
        </w:rPr>
      </w:pPr>
      <w:r>
        <w:rPr>
          <w:b/>
          <w:i/>
          <w:sz w:val="24"/>
          <w:szCs w:val="24"/>
        </w:rPr>
        <w:t>Zahrnutie konsolidovaných účtovných jednotiek do konsolidovanej účtovnej závierky</w:t>
      </w:r>
    </w:p>
    <w:tbl>
      <w:tblPr>
        <w:tblW w:w="9816" w:type="dxa"/>
        <w:jc w:val="left"/>
        <w:tblInd w:w="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4a0"/>
      </w:tblPr>
      <w:tblGrid>
        <w:gridCol w:w="5099"/>
        <w:gridCol w:w="1537"/>
        <w:gridCol w:w="1559"/>
        <w:gridCol w:w="1620"/>
      </w:tblGrid>
      <w:tr>
        <w:trPr/>
        <w:tc>
          <w:tcPr>
            <w:tcW w:w="50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360"/>
              <w:jc w:val="center"/>
              <w:rPr>
                <w:i/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Názov resp. obchodné meno </w:t>
            </w:r>
          </w:p>
          <w:p>
            <w:pPr>
              <w:pStyle w:val="Normal"/>
              <w:spacing w:lineRule="auto" w:line="360"/>
              <w:jc w:val="center"/>
              <w:rPr>
                <w:i/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360"/>
              <w:jc w:val="center"/>
              <w:rPr>
                <w:i/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Metóda </w:t>
            </w:r>
          </w:p>
          <w:p>
            <w:pPr>
              <w:pStyle w:val="Normal"/>
              <w:spacing w:lineRule="auto" w:line="360"/>
              <w:jc w:val="center"/>
              <w:rPr>
                <w:i/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360"/>
              <w:jc w:val="center"/>
              <w:rPr>
                <w:i/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Metóda </w:t>
            </w:r>
          </w:p>
          <w:p>
            <w:pPr>
              <w:pStyle w:val="Normal"/>
              <w:spacing w:lineRule="auto" w:line="360"/>
              <w:jc w:val="center"/>
              <w:rPr>
                <w:i/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360"/>
              <w:jc w:val="center"/>
              <w:rPr>
                <w:i/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Metóda </w:t>
            </w:r>
          </w:p>
          <w:p>
            <w:pPr>
              <w:pStyle w:val="Normal"/>
              <w:spacing w:lineRule="auto" w:line="360"/>
              <w:jc w:val="center"/>
              <w:rPr>
                <w:i/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vlastného imania</w:t>
            </w:r>
          </w:p>
        </w:tc>
      </w:tr>
      <w:tr>
        <w:trPr/>
        <w:tc>
          <w:tcPr>
            <w:tcW w:w="50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360"/>
              <w:jc w:val="both"/>
              <w:rPr>
                <w:i/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Konsolidovaná účtovná jednotka s.r.o.</w:t>
            </w: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360"/>
              <w:jc w:val="both"/>
              <w:rPr>
                <w:i/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</w: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360"/>
              <w:jc w:val="both"/>
              <w:rPr>
                <w:i/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36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lineRule="auto" w:line="360"/>
        <w:jc w:val="both"/>
        <w:rPr>
          <w:sz w:val="24"/>
          <w:szCs w:val="24"/>
        </w:rPr>
      </w:pPr>
      <w:r>
        <w:rPr>
          <w:sz w:val="24"/>
          <w:szCs w:val="24"/>
        </w:rPr>
        <w:t>Metóda úplnej konsolidácie bola použitá pri dcérskych účtovných jednotkách.</w:t>
      </w:r>
    </w:p>
    <w:p>
      <w:pPr>
        <w:pStyle w:val="Normal"/>
        <w:spacing w:lineRule="auto" w:line="360"/>
        <w:jc w:val="both"/>
        <w:rPr>
          <w:sz w:val="24"/>
          <w:szCs w:val="24"/>
        </w:rPr>
      </w:pPr>
      <w:r>
        <w:rPr>
          <w:sz w:val="24"/>
          <w:szCs w:val="24"/>
        </w:rPr>
        <w:t>Metóda podielovej konsolidácie by bola použitá pri spoločných účtovných jednotkách.</w:t>
      </w:r>
    </w:p>
    <w:p>
      <w:pPr>
        <w:pStyle w:val="Normal"/>
        <w:spacing w:lineRule="auto" w:line="360"/>
        <w:jc w:val="both"/>
        <w:rPr>
          <w:sz w:val="24"/>
          <w:szCs w:val="24"/>
        </w:rPr>
      </w:pPr>
      <w:r>
        <w:rPr>
          <w:sz w:val="24"/>
          <w:szCs w:val="24"/>
        </w:rPr>
        <w:t>Metóda vlastného imania by bola použitá pri pridružených účtovných jednotkách.</w:t>
      </w:r>
    </w:p>
    <w:p>
      <w:pPr>
        <w:pStyle w:val="Normal"/>
        <w:spacing w:lineRule="auto" w:line="360"/>
        <w:jc w:val="both"/>
        <w:rPr>
          <w:b/>
          <w:b/>
          <w:i/>
          <w:i/>
          <w:sz w:val="24"/>
          <w:szCs w:val="24"/>
        </w:rPr>
      </w:pPr>
      <w:r>
        <w:rPr>
          <w:b/>
          <w:i/>
          <w:sz w:val="24"/>
          <w:szCs w:val="24"/>
        </w:rPr>
      </w:r>
    </w:p>
    <w:p>
      <w:pPr>
        <w:pStyle w:val="Normal"/>
        <w:spacing w:lineRule="auto" w:line="360"/>
        <w:rPr>
          <w:b/>
          <w:b/>
          <w:i/>
          <w:i/>
          <w:sz w:val="24"/>
          <w:szCs w:val="24"/>
        </w:rPr>
      </w:pPr>
      <w:r>
        <w:rPr>
          <w:b/>
          <w:i/>
          <w:sz w:val="24"/>
          <w:szCs w:val="24"/>
        </w:rPr>
        <w:t>Moment prvej konsolidácie kapitálu :</w:t>
      </w:r>
    </w:p>
    <w:p>
      <w:pPr>
        <w:pStyle w:val="Normal"/>
        <w:numPr>
          <w:ilvl w:val="0"/>
          <w:numId w:val="8"/>
        </w:numPr>
        <w:tabs>
          <w:tab w:val="left" w:pos="567" w:leader="none"/>
        </w:tabs>
        <w:spacing w:lineRule="auto" w:line="360"/>
        <w:ind w:left="1440" w:hanging="1156"/>
        <w:rPr>
          <w:sz w:val="24"/>
          <w:szCs w:val="24"/>
        </w:rPr>
      </w:pPr>
      <w:r>
        <w:rPr>
          <w:sz w:val="24"/>
          <w:szCs w:val="24"/>
        </w:rPr>
        <w:t xml:space="preserve">Pri  rozpočtových organizáciách je to deň ich zriadenia. </w:t>
      </w:r>
    </w:p>
    <w:p>
      <w:pPr>
        <w:pStyle w:val="Normal"/>
        <w:numPr>
          <w:ilvl w:val="0"/>
          <w:numId w:val="8"/>
        </w:numPr>
        <w:tabs>
          <w:tab w:val="left" w:pos="567" w:leader="none"/>
        </w:tabs>
        <w:spacing w:lineRule="auto" w:line="360"/>
        <w:ind w:left="1440" w:hanging="1156"/>
        <w:rPr>
          <w:sz w:val="24"/>
          <w:szCs w:val="24"/>
        </w:rPr>
      </w:pPr>
      <w:r>
        <w:rPr>
          <w:sz w:val="24"/>
          <w:szCs w:val="24"/>
        </w:rPr>
        <w:t xml:space="preserve">Pri  príspevkových  organizáciách je to deň ich zriadenia. </w:t>
      </w:r>
    </w:p>
    <w:p>
      <w:pPr>
        <w:pStyle w:val="Normal"/>
        <w:numPr>
          <w:ilvl w:val="0"/>
          <w:numId w:val="8"/>
        </w:numPr>
        <w:tabs>
          <w:tab w:val="left" w:pos="567" w:leader="none"/>
        </w:tabs>
        <w:spacing w:lineRule="auto" w:line="360"/>
        <w:ind w:left="1440" w:hanging="1156"/>
        <w:rPr>
          <w:sz w:val="24"/>
          <w:szCs w:val="24"/>
        </w:rPr>
      </w:pPr>
      <w:r>
        <w:rPr>
          <w:sz w:val="24"/>
          <w:szCs w:val="24"/>
        </w:rPr>
        <w:t>Pri obchodných spoločnostiach je to deň obstarania podielov.</w:t>
      </w:r>
    </w:p>
    <w:p>
      <w:pPr>
        <w:pStyle w:val="Normal"/>
        <w:spacing w:lineRule="auto" w:line="36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lineRule="auto" w:line="360"/>
        <w:jc w:val="both"/>
        <w:rPr>
          <w:b/>
          <w:b/>
          <w:i/>
          <w:i/>
          <w:sz w:val="24"/>
          <w:szCs w:val="24"/>
        </w:rPr>
      </w:pPr>
      <w:r>
        <w:rPr>
          <w:b/>
          <w:i/>
          <w:sz w:val="24"/>
          <w:szCs w:val="24"/>
        </w:rPr>
        <w:t>Informácie o goodwille</w:t>
      </w:r>
    </w:p>
    <w:p>
      <w:pPr>
        <w:pStyle w:val="Normal"/>
        <w:numPr>
          <w:ilvl w:val="0"/>
          <w:numId w:val="9"/>
        </w:numPr>
        <w:tabs>
          <w:tab w:val="left" w:pos="567" w:leader="none"/>
        </w:tabs>
        <w:spacing w:lineRule="auto" w:line="360"/>
        <w:ind w:left="567" w:hanging="283"/>
        <w:jc w:val="both"/>
        <w:rPr>
          <w:sz w:val="24"/>
          <w:szCs w:val="24"/>
        </w:rPr>
      </w:pPr>
      <w:r>
        <w:rPr>
          <w:sz w:val="24"/>
          <w:szCs w:val="24"/>
        </w:rPr>
        <w:t>Goodwill nevzniká pri konsolidovanej účtovnej  jednotke, ktorou je rozpočtová organizácia.</w:t>
      </w:r>
    </w:p>
    <w:p>
      <w:pPr>
        <w:pStyle w:val="Normal"/>
        <w:numPr>
          <w:ilvl w:val="0"/>
          <w:numId w:val="9"/>
        </w:numPr>
        <w:tabs>
          <w:tab w:val="left" w:pos="567" w:leader="none"/>
        </w:tabs>
        <w:spacing w:lineRule="auto" w:line="360"/>
        <w:ind w:left="567" w:hanging="283"/>
        <w:jc w:val="both"/>
        <w:rPr>
          <w:sz w:val="24"/>
          <w:szCs w:val="24"/>
        </w:rPr>
      </w:pPr>
      <w:r>
        <w:rPr>
          <w:sz w:val="24"/>
          <w:szCs w:val="24"/>
        </w:rPr>
        <w:t>Goodwill nevzniká pri konsolidovanej účtovnej  jednotke, ktorou je príspevková  organizácia.</w:t>
      </w:r>
    </w:p>
    <w:p>
      <w:pPr>
        <w:pStyle w:val="Normal"/>
        <w:numPr>
          <w:ilvl w:val="0"/>
          <w:numId w:val="9"/>
        </w:numPr>
        <w:tabs>
          <w:tab w:val="left" w:pos="567" w:leader="none"/>
        </w:tabs>
        <w:spacing w:lineRule="auto" w:line="360"/>
        <w:ind w:left="567" w:hanging="28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Goodwill nevzniká pri založení konsolidovanej účtovnej  jednotky, ktorou je obchodná spoločnosť. </w:t>
      </w:r>
    </w:p>
    <w:p>
      <w:pPr>
        <w:pStyle w:val="Normal"/>
        <w:numPr>
          <w:ilvl w:val="0"/>
          <w:numId w:val="9"/>
        </w:numPr>
        <w:tabs>
          <w:tab w:val="left" w:pos="567" w:leader="none"/>
        </w:tabs>
        <w:spacing w:lineRule="auto" w:line="360"/>
        <w:ind w:left="567" w:hanging="283"/>
        <w:jc w:val="both"/>
        <w:rPr>
          <w:sz w:val="24"/>
          <w:szCs w:val="24"/>
        </w:rPr>
      </w:pPr>
      <w:r>
        <w:rPr>
          <w:sz w:val="24"/>
          <w:szCs w:val="24"/>
        </w:rPr>
        <w:t>Goodwill vzniká pri kúpe už existujúcej konsolidovanej účtovnej  jednotky, ktorou je obchodná spoločnosť.</w:t>
      </w:r>
    </w:p>
    <w:p>
      <w:pPr>
        <w:pStyle w:val="Normal"/>
        <w:numPr>
          <w:ilvl w:val="0"/>
          <w:numId w:val="9"/>
        </w:numPr>
        <w:tabs>
          <w:tab w:val="left" w:pos="567" w:leader="none"/>
        </w:tabs>
        <w:spacing w:lineRule="auto" w:line="360"/>
        <w:ind w:left="1440" w:hanging="1156"/>
        <w:jc w:val="both"/>
        <w:rPr>
          <w:sz w:val="24"/>
          <w:szCs w:val="24"/>
        </w:rPr>
      </w:pPr>
      <w:r>
        <w:rPr>
          <w:sz w:val="24"/>
          <w:szCs w:val="24"/>
        </w:rPr>
        <w:t>Goodwill sa odpisuje do 5 rokov.</w:t>
      </w:r>
    </w:p>
    <w:p>
      <w:pPr>
        <w:pStyle w:val="Normal"/>
        <w:spacing w:lineRule="auto" w:line="360"/>
        <w:ind w:left="144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V roku 2018, rovnako ako v predchádzajúcich účtovných obdobiach,  sa medzi účtovnými jednotkami konsolidovaného celku Obce neuskutočnil nákup, resp. predaj majetku. Preto nebolo potrebné vykonať konsolidáciu medzivýsledku.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adpis2"/>
        <w:rPr/>
      </w:pPr>
      <w:r>
        <w:rPr/>
        <w:t>Dlhodobý nehmotný majetok a dlhodobý hmotný majetok</w:t>
      </w:r>
    </w:p>
    <w:p>
      <w:pPr>
        <w:pStyle w:val="Odstavec"/>
        <w:rPr/>
      </w:pPr>
      <w:r>
        <w:rPr/>
        <w:t xml:space="preserve">Prehľad pohybu dlhodobého nehmotného a dlhodobého hmotného majetku od 1. januára 2018 do 31. decembra 2018 je uvedený v tabuľkovej časti </w:t>
      </w:r>
      <w:r>
        <w:rPr>
          <w:i/>
        </w:rPr>
        <w:t>Prehľad o pohybe dlhodobého majetku.</w:t>
      </w:r>
    </w:p>
    <w:p>
      <w:pPr>
        <w:pStyle w:val="Odstavec"/>
        <w:rPr/>
      </w:pPr>
      <w:r>
        <w:rPr/>
      </w:r>
    </w:p>
    <w:p>
      <w:pPr>
        <w:pStyle w:val="Odstavec"/>
        <w:rPr/>
      </w:pPr>
      <w:r>
        <w:rPr/>
        <w:t>Dlhodobý nehmotný a hmotný majetok je poistený pre prípad škôd spôsobených krádežou a živelnou pohromou.</w:t>
      </w:r>
    </w:p>
    <w:p>
      <w:pPr>
        <w:pStyle w:val="Odstavec"/>
        <w:rPr/>
      </w:pPr>
      <w:r>
        <w:rPr/>
      </w:r>
    </w:p>
    <w:p>
      <w:pPr>
        <w:pStyle w:val="Odstavec"/>
        <w:rPr/>
      </w:pPr>
      <w:r>
        <w:rPr/>
        <w:t xml:space="preserve">Obec má 1 osobné auto.  </w:t>
      </w:r>
    </w:p>
    <w:p>
      <w:pPr>
        <w:pStyle w:val="Odstavec"/>
        <w:rPr/>
      </w:pPr>
      <w:r>
        <w:rPr/>
      </w:r>
    </w:p>
    <w:p>
      <w:pPr>
        <w:pStyle w:val="Odstavec"/>
        <w:rPr/>
      </w:pPr>
      <w:r>
        <w:rPr/>
      </w:r>
    </w:p>
    <w:p>
      <w:pPr>
        <w:pStyle w:val="Nadpis2"/>
        <w:rPr/>
      </w:pPr>
      <w:r>
        <w:rPr/>
        <w:t>Dlhodobý finančný majetok</w:t>
      </w:r>
    </w:p>
    <w:p>
      <w:pPr>
        <w:pStyle w:val="Odstavec"/>
        <w:rPr>
          <w:i/>
          <w:i/>
        </w:rPr>
      </w:pPr>
      <w:r>
        <w:rPr/>
        <w:t xml:space="preserve">Prehľad dlhodobého finančného majetku účtovnej jednotky od 1. januára 2018 do                   31. decembra 2018 je uvedený je uvedený v tabuľkovej časti </w:t>
      </w:r>
      <w:r>
        <w:rPr>
          <w:i/>
        </w:rPr>
        <w:t>Prehľad o pohybe dlhodobého majetku.</w:t>
      </w:r>
    </w:p>
    <w:p>
      <w:pPr>
        <w:pStyle w:val="Odstavec"/>
        <w:rPr/>
      </w:pPr>
      <w:r>
        <w:rPr/>
      </w:r>
    </w:p>
    <w:p>
      <w:pPr>
        <w:pStyle w:val="Odstavec"/>
        <w:rPr/>
      </w:pPr>
      <w:r>
        <w:rPr/>
      </w:r>
    </w:p>
    <w:p>
      <w:pPr>
        <w:pStyle w:val="Odstavec"/>
        <w:rPr/>
      </w:pPr>
      <w:r>
        <w:rPr/>
        <w:t xml:space="preserve">Obec vlastní akcie v Podtatranskej vodárenskej spoločnosti, a.s. v mene euro.  Účtovná hodnota k 31.12.2018 predstavovala sumu  48 590,16 eur.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adpis2"/>
        <w:rPr/>
      </w:pPr>
      <w:r>
        <w:rPr/>
        <w:t>Pohľadávky</w:t>
      </w:r>
    </w:p>
    <w:p>
      <w:pPr>
        <w:pStyle w:val="Odstavec"/>
        <w:rPr/>
      </w:pPr>
      <w:r>
        <w:rPr/>
        <w:t>Rozdelenie pohľadávok podľa splatnosti sú uvedené v tabuľkovej časti.</w:t>
      </w:r>
    </w:p>
    <w:p>
      <w:pPr>
        <w:pStyle w:val="Odstavec"/>
        <w:rPr/>
      </w:pPr>
      <w:r>
        <w:rPr/>
        <w:t>Najvýznamnejšou položkou pohľadávok sú pohľadávky z daňových a nedaňových príjmov obce.</w:t>
      </w:r>
    </w:p>
    <w:p>
      <w:pPr>
        <w:pStyle w:val="Nadpis2"/>
        <w:rPr/>
      </w:pPr>
      <w:r>
        <w:rPr/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adpis2"/>
        <w:rPr/>
      </w:pPr>
      <w:r>
        <w:rPr/>
        <w:t>Finančný majetok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>Ako finančný majetok sú vykázané peňažné prostriedky v pokladnici a účty v bankách. Účtami v bankách môže účtovná jednotka voľne disponovať.</w:t>
      </w:r>
    </w:p>
    <w:p>
      <w:pPr>
        <w:pStyle w:val="Telotextu"/>
        <w:rPr>
          <w:sz w:val="24"/>
          <w:szCs w:val="24"/>
          <w:highlight w:val="yellow"/>
        </w:rPr>
      </w:pPr>
      <w:r>
        <w:rPr>
          <w:sz w:val="24"/>
          <w:szCs w:val="24"/>
          <w:highlight w:val="yellow"/>
        </w:rPr>
      </w:r>
    </w:p>
    <w:p>
      <w:pPr>
        <w:pStyle w:val="Nadpis2"/>
        <w:rPr/>
      </w:pPr>
      <w:r>
        <w:rPr/>
        <w:t>Poskytnuté návratné finančné výpomoci</w:t>
      </w:r>
    </w:p>
    <w:p>
      <w:pPr>
        <w:pStyle w:val="Odstavec"/>
        <w:rPr/>
      </w:pPr>
      <w:r>
        <w:rPr/>
        <w:t>Obec neposkytla v roku 2018 návratnú finančnú výpomoc.</w:t>
      </w:r>
    </w:p>
    <w:p>
      <w:pPr>
        <w:pStyle w:val="Normal"/>
        <w:spacing w:lineRule="auto" w:line="36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lineRule="auto" w:line="360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>
      <w:pPr>
        <w:pStyle w:val="Normal"/>
        <w:spacing w:lineRule="auto" w:line="360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údajoch aktív a pasív</w:t>
      </w:r>
    </w:p>
    <w:p>
      <w:pPr>
        <w:pStyle w:val="Normal"/>
        <w:spacing w:lineRule="auto" w:line="360"/>
        <w:rPr>
          <w:sz w:val="24"/>
          <w:szCs w:val="24"/>
        </w:rPr>
      </w:pPr>
      <w:r>
        <w:rPr>
          <w:sz w:val="24"/>
          <w:szCs w:val="24"/>
        </w:rPr>
        <w:t>Popis údajov vyplnených v prehľade pohybov dlhodobého nehmotného a dlhodobého hmotného majetku</w:t>
      </w:r>
    </w:p>
    <w:p>
      <w:pPr>
        <w:pStyle w:val="Normal"/>
        <w:numPr>
          <w:ilvl w:val="0"/>
          <w:numId w:val="7"/>
        </w:numPr>
        <w:spacing w:lineRule="auto" w:line="360"/>
        <w:rPr/>
      </w:pPr>
      <w:r>
        <w:rPr>
          <w:sz w:val="24"/>
          <w:szCs w:val="24"/>
        </w:rPr>
        <w:t>Bezprostredne predchádzajúce účtovné obdobie sa chápe k 31.12.201</w:t>
      </w:r>
      <w:r>
        <w:rPr>
          <w:sz w:val="24"/>
          <w:szCs w:val="24"/>
        </w:rPr>
        <w:t>7</w:t>
      </w:r>
    </w:p>
    <w:p>
      <w:pPr>
        <w:pStyle w:val="Normal"/>
        <w:numPr>
          <w:ilvl w:val="0"/>
          <w:numId w:val="7"/>
        </w:numPr>
        <w:spacing w:lineRule="auto" w:line="360"/>
        <w:rPr>
          <w:sz w:val="24"/>
          <w:szCs w:val="24"/>
        </w:rPr>
      </w:pPr>
      <w:r>
        <w:rPr>
          <w:sz w:val="24"/>
          <w:szCs w:val="24"/>
        </w:rPr>
        <w:t>Bežné účtovné obdobie sa vykazuje k 31.12.2018</w:t>
      </w:r>
    </w:p>
    <w:p>
      <w:pPr>
        <w:pStyle w:val="Normal"/>
        <w:numPr>
          <w:ilvl w:val="0"/>
          <w:numId w:val="7"/>
        </w:numPr>
        <w:spacing w:lineRule="auto" w:line="360"/>
        <w:rPr>
          <w:sz w:val="24"/>
          <w:szCs w:val="24"/>
        </w:rPr>
      </w:pPr>
      <w:r>
        <w:rPr>
          <w:sz w:val="24"/>
          <w:szCs w:val="24"/>
        </w:rPr>
        <w:t>Prírastok je prvotné vykázanie obstarania dlhodobého nehmotného a dlhodobého hmotného majetku akoukoľvek formou, zvýšenie aktív (napr. kúpa, darovanie)</w:t>
      </w:r>
    </w:p>
    <w:p>
      <w:pPr>
        <w:pStyle w:val="Normal"/>
        <w:numPr>
          <w:ilvl w:val="0"/>
          <w:numId w:val="7"/>
        </w:numPr>
        <w:spacing w:lineRule="auto" w:line="360"/>
        <w:rPr>
          <w:sz w:val="24"/>
          <w:szCs w:val="24"/>
        </w:rPr>
      </w:pPr>
      <w:r>
        <w:rPr>
          <w:sz w:val="24"/>
          <w:szCs w:val="24"/>
        </w:rPr>
        <w:t>Úbytok je vykázanie zníženia aktív (napr. predaj, darovanie)</w:t>
      </w:r>
    </w:p>
    <w:p>
      <w:pPr>
        <w:pStyle w:val="Normal"/>
        <w:numPr>
          <w:ilvl w:val="0"/>
          <w:numId w:val="7"/>
        </w:numPr>
        <w:spacing w:lineRule="auto" w:line="360"/>
        <w:rPr>
          <w:sz w:val="24"/>
          <w:szCs w:val="24"/>
        </w:rPr>
      </w:pPr>
      <w:r>
        <w:rPr>
          <w:sz w:val="24"/>
          <w:szCs w:val="24"/>
        </w:rPr>
        <w:t>Presun je vykázanie zmeny hodnoty niektorej položky bez zmeny celkovej hodnoty aktív</w:t>
      </w:r>
    </w:p>
    <w:p>
      <w:pPr>
        <w:pStyle w:val="Normal"/>
        <w:spacing w:lineRule="auto" w:line="360"/>
        <w:jc w:val="both"/>
        <w:rPr>
          <w:i/>
          <w:i/>
          <w:sz w:val="24"/>
          <w:szCs w:val="24"/>
          <w:highlight w:val="red"/>
        </w:rPr>
      </w:pPr>
      <w:r>
        <w:rPr>
          <w:i/>
          <w:sz w:val="24"/>
          <w:szCs w:val="24"/>
          <w:highlight w:val="red"/>
        </w:rPr>
      </w:r>
    </w:p>
    <w:p>
      <w:pPr>
        <w:pStyle w:val="Normal"/>
        <w:spacing w:lineRule="auto" w:line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Prehľad o pohybe dlhodobého majetku sa nachádza v priloženom tabuľkovom formulári a vysvetľuje položky súvahy – aktív. </w:t>
      </w:r>
    </w:p>
    <w:p>
      <w:pPr>
        <w:pStyle w:val="Pismenka"/>
        <w:ind w:left="0" w:hanging="0"/>
        <w:rPr>
          <w:b w:val="false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</w:r>
    </w:p>
    <w:p>
      <w:pPr>
        <w:pStyle w:val="Normal"/>
        <w:numPr>
          <w:ilvl w:val="0"/>
          <w:numId w:val="2"/>
        </w:numPr>
        <w:ind w:left="357" w:hanging="357"/>
        <w:rPr>
          <w:sz w:val="24"/>
          <w:szCs w:val="24"/>
        </w:rPr>
      </w:pPr>
      <w:r>
        <w:rPr>
          <w:sz w:val="24"/>
          <w:szCs w:val="24"/>
        </w:rPr>
        <w:t>Spôsob a výška poistenia majetku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  <w:r>
        <w:rPr>
          <w:sz w:val="24"/>
          <w:szCs w:val="24"/>
        </w:rPr>
        <w:t>Majetok je poistený v KOOPERATÍVA poisťovňa a.s., Lazaretská 15, 820 07 Bratislava 27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2"/>
        </w:numPr>
        <w:ind w:left="357" w:hanging="357"/>
        <w:rPr>
          <w:sz w:val="24"/>
          <w:szCs w:val="24"/>
        </w:rPr>
      </w:pPr>
      <w:r>
        <w:rPr>
          <w:sz w:val="24"/>
          <w:szCs w:val="24"/>
        </w:rPr>
        <w:t>Zriadenie záložného práva na dlhodobý majetok .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  <w:r>
        <w:rPr>
          <w:sz w:val="24"/>
          <w:szCs w:val="24"/>
        </w:rPr>
        <w:t>Obec Danišovce nemá zriadené záložné právo na dlhodobý majetok.</w:t>
      </w:r>
    </w:p>
    <w:p>
      <w:pPr>
        <w:pStyle w:val="Pismenka"/>
        <w:ind w:left="0" w:hanging="0"/>
        <w:rPr>
          <w:b w:val="false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</w:r>
    </w:p>
    <w:p>
      <w:pPr>
        <w:pStyle w:val="Normal"/>
        <w:numPr>
          <w:ilvl w:val="0"/>
          <w:numId w:val="2"/>
        </w:numPr>
        <w:tabs>
          <w:tab w:val="left" w:pos="741" w:leader="none"/>
        </w:tabs>
        <w:ind w:left="357" w:hanging="357"/>
        <w:jc w:val="both"/>
        <w:rPr/>
      </w:pPr>
      <w:r>
        <w:rPr>
          <w:sz w:val="24"/>
          <w:szCs w:val="24"/>
        </w:rPr>
        <w:t>Dôvody zvýšenia, zníženia a zrušenia opravných položiek k dlhodobému nehmotném</w:t>
      </w:r>
      <w:r>
        <w:rPr>
          <w:sz w:val="24"/>
          <w:szCs w:val="24"/>
        </w:rPr>
        <w:t xml:space="preserve">u     </w:t>
      </w:r>
      <w:r>
        <w:rPr>
          <w:sz w:val="24"/>
          <w:szCs w:val="24"/>
        </w:rPr>
        <w:t>majetku a dlhodobému hmotnému majetku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tbl>
      <w:tblPr>
        <w:tblStyle w:val="Mriekatabuky"/>
        <w:tblW w:w="10260" w:type="dxa"/>
        <w:jc w:val="left"/>
        <w:tblInd w:w="103" w:type="dxa"/>
        <w:tblCellMar>
          <w:top w:w="0" w:type="dxa"/>
          <w:left w:w="103" w:type="dxa"/>
          <w:bottom w:w="0" w:type="dxa"/>
          <w:right w:w="108" w:type="dxa"/>
        </w:tblCellMar>
        <w:tblLook w:val="01e0"/>
      </w:tblPr>
      <w:tblGrid>
        <w:gridCol w:w="668"/>
        <w:gridCol w:w="3187"/>
        <w:gridCol w:w="2084"/>
        <w:gridCol w:w="4320"/>
      </w:tblGrid>
      <w:tr>
        <w:trPr/>
        <w:tc>
          <w:tcPr>
            <w:tcW w:w="668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Inv.</w:t>
            </w:r>
          </w:p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číslo</w:t>
            </w:r>
          </w:p>
        </w:tc>
        <w:tc>
          <w:tcPr>
            <w:tcW w:w="3187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Konkrétny druh DM</w:t>
            </w:r>
          </w:p>
        </w:tc>
        <w:tc>
          <w:tcPr>
            <w:tcW w:w="208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Suma OP v EUR</w:t>
            </w:r>
          </w:p>
        </w:tc>
        <w:tc>
          <w:tcPr>
            <w:tcW w:w="4320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36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Dôvod zvýšenia, zníženia a zrušenia OP</w:t>
            </w:r>
          </w:p>
        </w:tc>
      </w:tr>
      <w:tr>
        <w:trPr/>
        <w:tc>
          <w:tcPr>
            <w:tcW w:w="668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3187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 sú</w:t>
            </w:r>
          </w:p>
        </w:tc>
        <w:tc>
          <w:tcPr>
            <w:tcW w:w="2084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36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4320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</w:tbl>
    <w:p>
      <w:pPr>
        <w:pStyle w:val="Pismenka"/>
        <w:spacing w:lineRule="auto" w:line="360"/>
        <w:ind w:left="0" w:hanging="0"/>
        <w:rPr>
          <w:b w:val="false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</w:r>
    </w:p>
    <w:p>
      <w:pPr>
        <w:pStyle w:val="Normal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II. Dlhodobý finančný majetok  po konsolidácií</w:t>
      </w:r>
    </w:p>
    <w:p>
      <w:pPr>
        <w:pStyle w:val="Normal"/>
        <w:numPr>
          <w:ilvl w:val="0"/>
          <w:numId w:val="1"/>
        </w:numPr>
        <w:tabs>
          <w:tab w:val="left" w:pos="360" w:leader="none"/>
        </w:tabs>
        <w:spacing w:lineRule="auto" w:line="360"/>
        <w:ind w:left="360" w:hanging="360"/>
        <w:rPr>
          <w:sz w:val="24"/>
          <w:szCs w:val="24"/>
        </w:rPr>
      </w:pPr>
      <w:r>
        <w:rPr>
          <w:sz w:val="24"/>
          <w:szCs w:val="24"/>
        </w:rPr>
        <w:t>Prehľad o pohybe dlhodobého finančného majetku /v EUR /</w:t>
      </w:r>
    </w:p>
    <w:p>
      <w:pPr>
        <w:pStyle w:val="Pismenka"/>
        <w:numPr>
          <w:ilvl w:val="0"/>
          <w:numId w:val="5"/>
        </w:numPr>
        <w:tabs>
          <w:tab w:val="left" w:pos="360" w:leader="none"/>
          <w:tab w:val="left" w:pos="426" w:leader="none"/>
        </w:tabs>
        <w:spacing w:lineRule="auto" w:line="360"/>
        <w:ind w:left="360" w:hanging="360"/>
        <w:rPr>
          <w:b w:val="false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 xml:space="preserve">OBSTARÁVACIA CENA </w:t>
      </w:r>
    </w:p>
    <w:tbl>
      <w:tblPr>
        <w:tblW w:w="10705" w:type="dxa"/>
        <w:jc w:val="left"/>
        <w:tblInd w:w="-47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5" w:type="dxa"/>
          <w:bottom w:w="0" w:type="dxa"/>
          <w:right w:w="70" w:type="dxa"/>
        </w:tblCellMar>
        <w:tblLook w:val="0000"/>
      </w:tblPr>
      <w:tblGrid>
        <w:gridCol w:w="2160"/>
        <w:gridCol w:w="720"/>
        <w:gridCol w:w="902"/>
        <w:gridCol w:w="1438"/>
        <w:gridCol w:w="1535"/>
        <w:gridCol w:w="1345"/>
        <w:gridCol w:w="1069"/>
        <w:gridCol w:w="1534"/>
      </w:tblGrid>
      <w:tr>
        <w:trPr/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36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36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</w:t>
            </w:r>
          </w:p>
        </w:tc>
        <w:tc>
          <w:tcPr>
            <w:tcW w:w="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</w:t>
            </w:r>
          </w:p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súvahy</w:t>
            </w:r>
          </w:p>
        </w:tc>
        <w:tc>
          <w:tcPr>
            <w:tcW w:w="14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</w:t>
            </w:r>
          </w:p>
          <w:p>
            <w:pPr>
              <w:pStyle w:val="Normal"/>
              <w:jc w:val="center"/>
              <w:rPr/>
            </w:pPr>
            <w:r>
              <w:rPr>
                <w:sz w:val="24"/>
                <w:szCs w:val="24"/>
              </w:rPr>
              <w:t>k 31.12.201</w:t>
            </w:r>
            <w:r>
              <w:rPr>
                <w:sz w:val="24"/>
                <w:szCs w:val="24"/>
              </w:rPr>
              <w:t>7</w:t>
            </w:r>
          </w:p>
        </w:tc>
        <w:tc>
          <w:tcPr>
            <w:tcW w:w="1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+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Presuny</w:t>
            </w:r>
          </w:p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+ / -</w:t>
            </w:r>
          </w:p>
        </w:tc>
        <w:tc>
          <w:tcPr>
            <w:tcW w:w="1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</w:t>
            </w:r>
          </w:p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 31.12.2018</w:t>
            </w:r>
          </w:p>
        </w:tc>
      </w:tr>
      <w:tr>
        <w:trPr/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Podielové CP v dcérskej ÚJ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061</w:t>
            </w:r>
          </w:p>
        </w:tc>
        <w:tc>
          <w:tcPr>
            <w:tcW w:w="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026</w:t>
            </w:r>
          </w:p>
        </w:tc>
        <w:tc>
          <w:tcPr>
            <w:tcW w:w="14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5 000,00</w:t>
            </w:r>
          </w:p>
        </w:tc>
        <w:tc>
          <w:tcPr>
            <w:tcW w:w="1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5 000,00</w:t>
            </w:r>
          </w:p>
        </w:tc>
      </w:tr>
      <w:tr>
        <w:trPr/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Realizovateľné cenné papiere v materskej ÚJ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063</w:t>
            </w:r>
          </w:p>
        </w:tc>
        <w:tc>
          <w:tcPr>
            <w:tcW w:w="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029</w:t>
            </w:r>
          </w:p>
        </w:tc>
        <w:tc>
          <w:tcPr>
            <w:tcW w:w="14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48 590,16</w:t>
            </w:r>
          </w:p>
        </w:tc>
        <w:tc>
          <w:tcPr>
            <w:tcW w:w="1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48 590,16</w:t>
            </w:r>
          </w:p>
        </w:tc>
      </w:tr>
      <w:tr>
        <w:trPr/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</w:tc>
        <w:tc>
          <w:tcPr>
            <w:tcW w:w="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</w:tc>
        <w:tc>
          <w:tcPr>
            <w:tcW w:w="14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53 590,16</w:t>
            </w:r>
          </w:p>
        </w:tc>
        <w:tc>
          <w:tcPr>
            <w:tcW w:w="1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53 590,16</w:t>
            </w:r>
          </w:p>
        </w:tc>
      </w:tr>
    </w:tbl>
    <w:p>
      <w:pPr>
        <w:pStyle w:val="Pismenka"/>
        <w:ind w:left="357" w:hanging="0"/>
        <w:rPr>
          <w:b w:val="false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</w:r>
    </w:p>
    <w:p>
      <w:pPr>
        <w:pStyle w:val="Pismenka"/>
        <w:numPr>
          <w:ilvl w:val="0"/>
          <w:numId w:val="5"/>
        </w:numPr>
        <w:tabs>
          <w:tab w:val="left" w:pos="360" w:leader="none"/>
          <w:tab w:val="left" w:pos="426" w:leader="none"/>
        </w:tabs>
        <w:spacing w:lineRule="auto" w:line="360"/>
        <w:ind w:left="360" w:hanging="360"/>
        <w:rPr>
          <w:b w:val="false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ZOSTATKOVÁ HODNOTA po konsolidácií</w:t>
      </w:r>
    </w:p>
    <w:tbl>
      <w:tblPr>
        <w:tblW w:w="10800" w:type="dxa"/>
        <w:jc w:val="left"/>
        <w:tblInd w:w="-47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5" w:type="dxa"/>
          <w:bottom w:w="0" w:type="dxa"/>
          <w:right w:w="70" w:type="dxa"/>
        </w:tblCellMar>
        <w:tblLook w:val="0000"/>
      </w:tblPr>
      <w:tblGrid>
        <w:gridCol w:w="3420"/>
        <w:gridCol w:w="1980"/>
        <w:gridCol w:w="1080"/>
        <w:gridCol w:w="2160"/>
        <w:gridCol w:w="2160"/>
      </w:tblGrid>
      <w:tr>
        <w:trPr/>
        <w:tc>
          <w:tcPr>
            <w:tcW w:w="3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36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36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Účty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</w:t>
            </w:r>
          </w:p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súvahy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hodnota</w:t>
            </w:r>
          </w:p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 31.12.2016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hodnota</w:t>
            </w:r>
          </w:p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 31.12.2018</w:t>
            </w:r>
          </w:p>
        </w:tc>
      </w:tr>
      <w:tr>
        <w:trPr/>
        <w:tc>
          <w:tcPr>
            <w:tcW w:w="3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podielových CP a podielov v dcérskej ÚJ</w:t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/061/ - /096/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025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>
        <w:trPr/>
        <w:tc>
          <w:tcPr>
            <w:tcW w:w="3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realizovateľných cenných papierov</w:t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/063/ - /096/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027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48 590,16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48 590,16</w:t>
            </w:r>
          </w:p>
        </w:tc>
      </w:tr>
      <w:tr>
        <w:trPr/>
        <w:tc>
          <w:tcPr>
            <w:tcW w:w="3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48 590.16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48 590,16</w:t>
            </w:r>
          </w:p>
        </w:tc>
      </w:tr>
    </w:tbl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Pohľadávky po konsolidácii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3"/>
        </w:numPr>
        <w:tabs>
          <w:tab w:val="left" w:pos="360" w:leader="none"/>
        </w:tabs>
        <w:ind w:left="720" w:hanging="720"/>
        <w:jc w:val="both"/>
        <w:rPr>
          <w:sz w:val="24"/>
          <w:szCs w:val="24"/>
        </w:rPr>
      </w:pPr>
      <w:r>
        <w:rPr>
          <w:sz w:val="24"/>
          <w:szCs w:val="24"/>
        </w:rPr>
        <w:t>Významné pohľadávky podľa jednotlivých položiek súvahy /v EUR/</w:t>
      </w:r>
    </w:p>
    <w:p>
      <w:pPr>
        <w:pStyle w:val="Pismenka"/>
        <w:ind w:left="0" w:hanging="0"/>
        <w:rPr>
          <w:b w:val="false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</w:r>
    </w:p>
    <w:tbl>
      <w:tblPr>
        <w:tblW w:w="10262" w:type="dxa"/>
        <w:jc w:val="left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2040"/>
        <w:gridCol w:w="785"/>
        <w:gridCol w:w="1784"/>
        <w:gridCol w:w="1784"/>
        <w:gridCol w:w="3869"/>
      </w:tblGrid>
      <w:tr>
        <w:trPr/>
        <w:tc>
          <w:tcPr>
            <w:tcW w:w="2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>
                <w:sz w:val="24"/>
                <w:szCs w:val="24"/>
              </w:rPr>
              <w:t>Pohľadávky</w:t>
            </w:r>
          </w:p>
        </w:tc>
        <w:tc>
          <w:tcPr>
            <w:tcW w:w="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tcMar>
              <w:left w:w="70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>
                <w:sz w:val="24"/>
                <w:szCs w:val="24"/>
              </w:rPr>
              <w:t>Hodnota pohľadávok</w:t>
            </w:r>
          </w:p>
          <w:p>
            <w:pPr>
              <w:pStyle w:val="Normal"/>
              <w:jc w:val="center"/>
              <w:rPr/>
            </w:pPr>
            <w:r>
              <w:rPr>
                <w:sz w:val="24"/>
                <w:szCs w:val="24"/>
              </w:rPr>
              <w:t xml:space="preserve">v EUR </w:t>
            </w:r>
            <w:r>
              <w:rPr>
                <w:sz w:val="24"/>
                <w:szCs w:val="24"/>
              </w:rPr>
              <w:t>2017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>
                <w:sz w:val="24"/>
                <w:szCs w:val="24"/>
              </w:rPr>
              <w:t>Hodnota pohľadávok</w:t>
            </w:r>
          </w:p>
          <w:p>
            <w:pPr>
              <w:pStyle w:val="Normal"/>
              <w:jc w:val="center"/>
              <w:rPr/>
            </w:pPr>
            <w:r>
              <w:rPr>
                <w:sz w:val="24"/>
                <w:szCs w:val="24"/>
              </w:rPr>
              <w:t xml:space="preserve">v EUR </w:t>
            </w:r>
            <w:r>
              <w:rPr>
                <w:sz w:val="24"/>
                <w:szCs w:val="24"/>
              </w:rPr>
              <w:t>2018</w:t>
            </w:r>
          </w:p>
        </w:tc>
        <w:tc>
          <w:tcPr>
            <w:tcW w:w="3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>
                <w:sz w:val="24"/>
                <w:szCs w:val="24"/>
              </w:rPr>
              <w:t>Opis</w:t>
            </w:r>
          </w:p>
        </w:tc>
      </w:tr>
      <w:tr>
        <w:trPr/>
        <w:tc>
          <w:tcPr>
            <w:tcW w:w="2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 </w:t>
            </w:r>
            <w:r>
              <w:rPr>
                <w:sz w:val="20"/>
                <w:szCs w:val="20"/>
              </w:rPr>
              <w:t xml:space="preserve">z </w:t>
            </w:r>
            <w:r>
              <w:rPr>
                <w:sz w:val="20"/>
                <w:szCs w:val="20"/>
              </w:rPr>
              <w:t>nedaňov</w:t>
            </w:r>
            <w:r>
              <w:rPr>
                <w:sz w:val="20"/>
                <w:szCs w:val="20"/>
              </w:rPr>
              <w:t>ýc</w:t>
            </w:r>
            <w:r>
              <w:rPr>
                <w:sz w:val="20"/>
                <w:szCs w:val="20"/>
              </w:rPr>
              <w:t xml:space="preserve"> príjm</w:t>
            </w:r>
            <w:r>
              <w:rPr>
                <w:sz w:val="20"/>
                <w:szCs w:val="20"/>
              </w:rPr>
              <w:t>ov</w:t>
            </w:r>
          </w:p>
        </w:tc>
        <w:tc>
          <w:tcPr>
            <w:tcW w:w="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sz w:val="24"/>
                <w:szCs w:val="24"/>
              </w:rPr>
              <w:t>71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spacing w:lineRule="auto" w:line="360"/>
              <w:jc w:val="right"/>
              <w:rPr/>
            </w:pPr>
            <w:r>
              <w:rPr>
                <w:sz w:val="24"/>
                <w:szCs w:val="24"/>
              </w:rPr>
              <w:t>5 509,03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spacing w:lineRule="auto" w:line="36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5001,99</w:t>
            </w:r>
          </w:p>
        </w:tc>
        <w:tc>
          <w:tcPr>
            <w:tcW w:w="3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spacing w:lineRule="auto" w:line="360"/>
              <w:rPr/>
            </w:pPr>
            <w:r>
              <w:rPr>
                <w:sz w:val="24"/>
                <w:szCs w:val="24"/>
              </w:rPr>
              <w:t>nájomné,TKO-</w:t>
            </w:r>
            <w:r>
              <w:rPr>
                <w:sz w:val="24"/>
                <w:szCs w:val="24"/>
              </w:rPr>
              <w:t>materská ÚJ</w:t>
            </w:r>
          </w:p>
        </w:tc>
      </w:tr>
      <w:tr>
        <w:trPr/>
        <w:tc>
          <w:tcPr>
            <w:tcW w:w="2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>
              <w:rPr>
                <w:sz w:val="20"/>
                <w:szCs w:val="20"/>
              </w:rPr>
              <w:t xml:space="preserve">z </w:t>
            </w:r>
            <w:r>
              <w:rPr>
                <w:sz w:val="20"/>
                <w:szCs w:val="20"/>
              </w:rPr>
              <w:t>daňových príjmov</w:t>
            </w:r>
          </w:p>
        </w:tc>
        <w:tc>
          <w:tcPr>
            <w:tcW w:w="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sz w:val="24"/>
                <w:szCs w:val="24"/>
              </w:rPr>
              <w:t>72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spacing w:lineRule="auto" w:line="360"/>
              <w:jc w:val="right"/>
              <w:rPr/>
            </w:pPr>
            <w:r>
              <w:rPr>
                <w:sz w:val="24"/>
                <w:szCs w:val="24"/>
              </w:rPr>
              <w:t>170,67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spacing w:lineRule="auto" w:line="36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291,12</w:t>
            </w:r>
          </w:p>
        </w:tc>
        <w:tc>
          <w:tcPr>
            <w:tcW w:w="3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spacing w:lineRule="auto" w:line="360"/>
              <w:rPr/>
            </w:pPr>
            <w:r>
              <w:rPr>
                <w:sz w:val="24"/>
                <w:szCs w:val="24"/>
              </w:rPr>
              <w:t>DzN, daň za psa-</w:t>
            </w:r>
            <w:r>
              <w:rPr>
                <w:sz w:val="24"/>
                <w:szCs w:val="24"/>
              </w:rPr>
              <w:t>materská ÚJ</w:t>
            </w:r>
          </w:p>
        </w:tc>
      </w:tr>
      <w:tr>
        <w:trPr/>
        <w:tc>
          <w:tcPr>
            <w:tcW w:w="2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odberatelia</w:t>
            </w:r>
          </w:p>
        </w:tc>
        <w:tc>
          <w:tcPr>
            <w:tcW w:w="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sz w:val="24"/>
                <w:szCs w:val="24"/>
              </w:rPr>
              <w:t>64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spacing w:lineRule="auto" w:line="360"/>
              <w:jc w:val="right"/>
              <w:rPr/>
            </w:pPr>
            <w:r>
              <w:rPr>
                <w:sz w:val="24"/>
                <w:szCs w:val="24"/>
              </w:rPr>
              <w:t>986,19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spacing w:lineRule="auto" w:line="36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1000,71</w:t>
            </w:r>
          </w:p>
        </w:tc>
        <w:tc>
          <w:tcPr>
            <w:tcW w:w="3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spacing w:lineRule="auto" w:line="360"/>
              <w:rPr/>
            </w:pPr>
            <w:r>
              <w:rPr>
                <w:sz w:val="24"/>
                <w:szCs w:val="24"/>
              </w:rPr>
              <w:t>pohľadávky za služby-</w:t>
            </w:r>
            <w:r>
              <w:rPr>
                <w:sz w:val="24"/>
                <w:szCs w:val="24"/>
              </w:rPr>
              <w:t>materská ÚJ</w:t>
            </w:r>
          </w:p>
        </w:tc>
      </w:tr>
      <w:tr>
        <w:trPr/>
        <w:tc>
          <w:tcPr>
            <w:tcW w:w="2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both"/>
              <w:rPr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b/>
                <w:sz w:val="24"/>
                <w:szCs w:val="24"/>
              </w:rPr>
              <w:t>xxx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spacing w:lineRule="auto" w:line="360"/>
              <w:jc w:val="right"/>
              <w:rPr/>
            </w:pPr>
            <w:r>
              <w:rPr>
                <w:b/>
                <w:sz w:val="24"/>
                <w:szCs w:val="24"/>
              </w:rPr>
              <w:t>6 665,89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spacing w:lineRule="auto" w:line="360"/>
              <w:jc w:val="right"/>
              <w:rPr>
                <w:b/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6293,82</w:t>
            </w:r>
          </w:p>
        </w:tc>
        <w:tc>
          <w:tcPr>
            <w:tcW w:w="3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spacing w:lineRule="auto" w:line="360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</w:tc>
      </w:tr>
    </w:tbl>
    <w:p>
      <w:pPr>
        <w:pStyle w:val="Normal"/>
        <w:jc w:val="both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jc w:val="both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Záväzky po konsolidácií</w:t>
      </w:r>
    </w:p>
    <w:p>
      <w:pPr>
        <w:pStyle w:val="Normal"/>
        <w:jc w:val="both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numPr>
          <w:ilvl w:val="0"/>
          <w:numId w:val="4"/>
        </w:numPr>
        <w:tabs>
          <w:tab w:val="left" w:pos="360" w:leader="none"/>
        </w:tabs>
        <w:ind w:left="360" w:hanging="360"/>
        <w:jc w:val="both"/>
        <w:rPr>
          <w:sz w:val="24"/>
          <w:szCs w:val="24"/>
        </w:rPr>
      </w:pPr>
      <w:r>
        <w:rPr>
          <w:sz w:val="24"/>
          <w:szCs w:val="24"/>
        </w:rPr>
        <w:t>Významné záväzky podľa jednotlivých položiek súvahy /v EUR/</w:t>
      </w:r>
    </w:p>
    <w:p>
      <w:pPr>
        <w:pStyle w:val="Normal"/>
        <w:ind w:left="36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tbl>
      <w:tblPr>
        <w:tblW w:w="10260" w:type="dxa"/>
        <w:jc w:val="left"/>
        <w:tblInd w:w="6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5" w:type="dxa"/>
          <w:bottom w:w="0" w:type="dxa"/>
          <w:right w:w="70" w:type="dxa"/>
        </w:tblCellMar>
        <w:tblLook w:val="0000"/>
      </w:tblPr>
      <w:tblGrid>
        <w:gridCol w:w="1933"/>
        <w:gridCol w:w="892"/>
        <w:gridCol w:w="1784"/>
        <w:gridCol w:w="1784"/>
        <w:gridCol w:w="3866"/>
      </w:tblGrid>
      <w:tr>
        <w:trPr/>
        <w:tc>
          <w:tcPr>
            <w:tcW w:w="19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Záväzky-dlhodobé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>
                <w:sz w:val="24"/>
                <w:szCs w:val="24"/>
              </w:rPr>
              <w:t xml:space="preserve">Hodnota </w:t>
            </w:r>
            <w:r>
              <w:rPr>
                <w:sz w:val="24"/>
                <w:szCs w:val="24"/>
              </w:rPr>
              <w:t>záväzkov</w:t>
            </w:r>
          </w:p>
          <w:p>
            <w:pPr>
              <w:pStyle w:val="Normal"/>
              <w:jc w:val="center"/>
              <w:rPr/>
            </w:pPr>
            <w:r>
              <w:rPr>
                <w:sz w:val="24"/>
                <w:szCs w:val="24"/>
              </w:rPr>
              <w:t xml:space="preserve">v EUR </w:t>
            </w:r>
            <w:r>
              <w:rPr>
                <w:sz w:val="24"/>
                <w:szCs w:val="24"/>
              </w:rPr>
              <w:t>2017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>
                <w:sz w:val="24"/>
                <w:szCs w:val="24"/>
              </w:rPr>
              <w:t xml:space="preserve">Hodnota </w:t>
            </w:r>
            <w:r>
              <w:rPr>
                <w:sz w:val="24"/>
                <w:szCs w:val="24"/>
              </w:rPr>
              <w:t>záväzkov</w:t>
            </w:r>
          </w:p>
          <w:p>
            <w:pPr>
              <w:pStyle w:val="Normal"/>
              <w:jc w:val="center"/>
              <w:rPr/>
            </w:pPr>
            <w:r>
              <w:rPr>
                <w:sz w:val="24"/>
                <w:szCs w:val="24"/>
              </w:rPr>
              <w:t xml:space="preserve">v EUR </w:t>
            </w:r>
            <w:r>
              <w:rPr>
                <w:sz w:val="24"/>
                <w:szCs w:val="24"/>
              </w:rPr>
              <w:t>201</w:t>
            </w:r>
            <w:r>
              <w:rPr>
                <w:sz w:val="24"/>
                <w:szCs w:val="24"/>
              </w:rPr>
              <w:t>8</w:t>
            </w:r>
          </w:p>
        </w:tc>
        <w:tc>
          <w:tcPr>
            <w:tcW w:w="3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Opis</w:t>
            </w:r>
          </w:p>
        </w:tc>
      </w:tr>
      <w:tr>
        <w:trPr/>
        <w:tc>
          <w:tcPr>
            <w:tcW w:w="19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0"/>
                <w:szCs w:val="20"/>
              </w:rPr>
              <w:t>-dlhodobé záväzky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sz w:val="24"/>
                <w:szCs w:val="24"/>
              </w:rPr>
              <w:t>145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448 110,59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426 507,42</w:t>
            </w:r>
          </w:p>
        </w:tc>
        <w:tc>
          <w:tcPr>
            <w:tcW w:w="3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rPr/>
            </w:pPr>
            <w:r>
              <w:rPr>
                <w:sz w:val="24"/>
                <w:szCs w:val="24"/>
              </w:rPr>
              <w:t>úver ŠFRB-</w:t>
            </w:r>
            <w:r>
              <w:rPr>
                <w:sz w:val="24"/>
                <w:szCs w:val="24"/>
              </w:rPr>
              <w:t>materská ÚJ</w:t>
            </w:r>
          </w:p>
        </w:tc>
      </w:tr>
      <w:tr>
        <w:trPr/>
        <w:tc>
          <w:tcPr>
            <w:tcW w:w="19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0"/>
                <w:szCs w:val="20"/>
              </w:rPr>
              <w:t>-prijaté preddavky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146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29 278,00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29 278,00</w:t>
            </w:r>
          </w:p>
        </w:tc>
        <w:tc>
          <w:tcPr>
            <w:tcW w:w="3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rPr/>
            </w:pPr>
            <w:r>
              <w:rPr>
                <w:sz w:val="24"/>
                <w:szCs w:val="24"/>
              </w:rPr>
              <w:t>kaucie-</w:t>
            </w:r>
            <w:r>
              <w:rPr>
                <w:sz w:val="24"/>
                <w:szCs w:val="24"/>
              </w:rPr>
              <w:t>materská ÚJ</w:t>
            </w:r>
          </w:p>
        </w:tc>
      </w:tr>
      <w:tr>
        <w:trPr/>
        <w:tc>
          <w:tcPr>
            <w:tcW w:w="19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0"/>
                <w:szCs w:val="20"/>
              </w:rPr>
              <w:t>-sociálny fond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148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744,70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1305,84</w:t>
            </w:r>
          </w:p>
        </w:tc>
        <w:tc>
          <w:tcPr>
            <w:tcW w:w="3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rPr/>
            </w:pPr>
            <w:r>
              <w:rPr>
                <w:sz w:val="24"/>
                <w:szCs w:val="24"/>
              </w:rPr>
              <w:t>sociálny fond-</w:t>
            </w:r>
            <w:r>
              <w:rPr>
                <w:sz w:val="24"/>
                <w:szCs w:val="24"/>
              </w:rPr>
              <w:t>materská ÚJ</w:t>
            </w:r>
          </w:p>
        </w:tc>
      </w:tr>
      <w:tr>
        <w:trPr/>
        <w:tc>
          <w:tcPr>
            <w:tcW w:w="19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both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xxx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498 577,25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jc w:val="right"/>
              <w:rPr>
                <w:b/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457 091,26</w:t>
            </w:r>
          </w:p>
        </w:tc>
        <w:tc>
          <w:tcPr>
            <w:tcW w:w="3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</w:tc>
      </w:tr>
    </w:tbl>
    <w:p>
      <w:pPr>
        <w:pStyle w:val="Normal"/>
        <w:ind w:left="360" w:hanging="0"/>
        <w:jc w:val="both"/>
        <w:rPr>
          <w:b w:val="false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</w:r>
    </w:p>
    <w:p>
      <w:pPr>
        <w:pStyle w:val="Pismenka"/>
        <w:ind w:left="0" w:hanging="0"/>
        <w:rPr>
          <w:b w:val="false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</w:r>
    </w:p>
    <w:tbl>
      <w:tblPr>
        <w:tblW w:w="10260" w:type="dxa"/>
        <w:jc w:val="left"/>
        <w:tblInd w:w="6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5" w:type="dxa"/>
          <w:bottom w:w="0" w:type="dxa"/>
          <w:right w:w="70" w:type="dxa"/>
        </w:tblCellMar>
        <w:tblLook w:val="0000"/>
      </w:tblPr>
      <w:tblGrid>
        <w:gridCol w:w="1933"/>
        <w:gridCol w:w="892"/>
        <w:gridCol w:w="1784"/>
        <w:gridCol w:w="1784"/>
        <w:gridCol w:w="3866"/>
      </w:tblGrid>
      <w:tr>
        <w:trPr/>
        <w:tc>
          <w:tcPr>
            <w:tcW w:w="19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Záväzky-krátkodobé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>
                <w:sz w:val="24"/>
                <w:szCs w:val="24"/>
              </w:rPr>
              <w:t>Hodnota záväzkov</w:t>
            </w:r>
          </w:p>
          <w:p>
            <w:pPr>
              <w:pStyle w:val="Normal"/>
              <w:jc w:val="center"/>
              <w:rPr/>
            </w:pPr>
            <w:r>
              <w:rPr>
                <w:sz w:val="24"/>
                <w:szCs w:val="24"/>
              </w:rPr>
              <w:t xml:space="preserve">v EUR </w:t>
            </w:r>
            <w:r>
              <w:rPr>
                <w:sz w:val="24"/>
                <w:szCs w:val="24"/>
              </w:rPr>
              <w:t>2017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Hodnota záväzkov</w:t>
            </w:r>
          </w:p>
          <w:p>
            <w:pPr>
              <w:pStyle w:val="Normal"/>
              <w:jc w:val="center"/>
              <w:rPr/>
            </w:pPr>
            <w:r>
              <w:rPr>
                <w:sz w:val="24"/>
                <w:szCs w:val="24"/>
              </w:rPr>
              <w:t xml:space="preserve">v EUR </w:t>
            </w:r>
            <w:r>
              <w:rPr>
                <w:sz w:val="24"/>
                <w:szCs w:val="24"/>
              </w:rPr>
              <w:t>2018</w:t>
            </w:r>
          </w:p>
        </w:tc>
        <w:tc>
          <w:tcPr>
            <w:tcW w:w="3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Opis</w:t>
            </w:r>
          </w:p>
        </w:tc>
      </w:tr>
      <w:tr>
        <w:trPr/>
        <w:tc>
          <w:tcPr>
            <w:tcW w:w="19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both"/>
              <w:rPr/>
            </w:pPr>
            <w:r>
              <w:rPr>
                <w:sz w:val="24"/>
                <w:szCs w:val="24"/>
              </w:rPr>
              <w:t>-dodávatelia</w:t>
            </w:r>
          </w:p>
          <w:p>
            <w:pPr>
              <w:pStyle w:val="ListParagraph"/>
              <w:numPr>
                <w:ilvl w:val="0"/>
                <w:numId w:val="10"/>
              </w:numPr>
              <w:jc w:val="both"/>
              <w:rPr/>
            </w:pPr>
            <w:r>
              <w:rPr>
                <w:i/>
                <w:sz w:val="24"/>
                <w:szCs w:val="24"/>
              </w:rPr>
              <w:t>Obec</w:t>
            </w:r>
          </w:p>
          <w:p>
            <w:pPr>
              <w:pStyle w:val="ListParagraph"/>
              <w:numPr>
                <w:ilvl w:val="0"/>
                <w:numId w:val="10"/>
              </w:numPr>
              <w:jc w:val="both"/>
              <w:rPr>
                <w:i/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OHO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157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46 889,13</w:t>
            </w:r>
          </w:p>
          <w:p>
            <w:pPr>
              <w:pStyle w:val="Normal"/>
              <w:spacing w:lineRule="auto" w:line="240"/>
              <w:jc w:val="right"/>
              <w:rPr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44 926,13</w:t>
            </w:r>
          </w:p>
          <w:p>
            <w:pPr>
              <w:pStyle w:val="Normal"/>
              <w:spacing w:lineRule="auto" w:line="240"/>
              <w:jc w:val="right"/>
              <w:rPr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1 963,00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37 449,41</w:t>
            </w:r>
          </w:p>
          <w:p>
            <w:pPr>
              <w:pStyle w:val="Normal"/>
              <w:spacing w:lineRule="auto" w:line="240"/>
              <w:jc w:val="right"/>
              <w:rPr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34 469,62</w:t>
            </w:r>
          </w:p>
          <w:p>
            <w:pPr>
              <w:pStyle w:val="Normal"/>
              <w:spacing w:lineRule="auto" w:line="240"/>
              <w:jc w:val="right"/>
              <w:rPr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2 979,79</w:t>
            </w:r>
          </w:p>
        </w:tc>
        <w:tc>
          <w:tcPr>
            <w:tcW w:w="3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/>
              <w:rPr/>
            </w:pPr>
            <w:r>
              <w:rPr>
                <w:sz w:val="24"/>
                <w:szCs w:val="24"/>
              </w:rPr>
              <w:t>v splatnosti</w:t>
            </w:r>
          </w:p>
          <w:p>
            <w:pPr>
              <w:pStyle w:val="Normal"/>
              <w:spacing w:lineRule="auto" w:line="240"/>
              <w:rPr/>
            </w:pPr>
            <w:r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materská ÚJ</w:t>
            </w:r>
          </w:p>
          <w:p>
            <w:pPr>
              <w:pStyle w:val="Normal"/>
              <w:spacing w:lineRule="auto" w:line="240"/>
              <w:rPr/>
            </w:pPr>
            <w:r>
              <w:rPr>
                <w:sz w:val="24"/>
                <w:szCs w:val="24"/>
              </w:rPr>
              <w:t>-dcérska  ÚJ</w:t>
            </w:r>
          </w:p>
        </w:tc>
      </w:tr>
      <w:tr>
        <w:trPr/>
        <w:tc>
          <w:tcPr>
            <w:tcW w:w="19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both"/>
              <w:rPr/>
            </w:pPr>
            <w:r>
              <w:rPr>
                <w:sz w:val="24"/>
                <w:szCs w:val="24"/>
              </w:rPr>
              <w:t>-ostatné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3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dcérskej ÚJ</w:t>
            </w:r>
          </w:p>
        </w:tc>
      </w:tr>
      <w:tr>
        <w:trPr/>
        <w:tc>
          <w:tcPr>
            <w:tcW w:w="19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-DzPPO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171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1017,12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1 012,75</w:t>
            </w:r>
          </w:p>
        </w:tc>
        <w:tc>
          <w:tcPr>
            <w:tcW w:w="3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dcérskej ÚJ</w:t>
            </w:r>
          </w:p>
        </w:tc>
      </w:tr>
      <w:tr>
        <w:trPr/>
        <w:tc>
          <w:tcPr>
            <w:tcW w:w="19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both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xxx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47 906,25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/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38 462,16</w:t>
            </w:r>
          </w:p>
        </w:tc>
        <w:tc>
          <w:tcPr>
            <w:tcW w:w="3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</w:tc>
      </w:tr>
    </w:tbl>
    <w:p>
      <w:pPr>
        <w:pStyle w:val="Normal"/>
        <w:ind w:left="360" w:hanging="0"/>
        <w:jc w:val="both"/>
        <w:rPr>
          <w:b/>
          <w:b/>
          <w:sz w:val="24"/>
          <w:szCs w:val="24"/>
        </w:rPr>
      </w:pPr>
      <w:r>
        <w:rPr/>
      </w:r>
    </w:p>
    <w:p>
      <w:pPr>
        <w:pStyle w:val="Normal"/>
        <w:spacing w:lineRule="auto" w:line="360"/>
        <w:jc w:val="both"/>
        <w:rPr>
          <w:b/>
          <w:b/>
          <w:sz w:val="24"/>
          <w:szCs w:val="24"/>
        </w:rPr>
      </w:pPr>
      <w:r>
        <w:rPr/>
      </w:r>
    </w:p>
    <w:p>
      <w:pPr>
        <w:pStyle w:val="Normal"/>
        <w:spacing w:lineRule="auto" w:line="360"/>
        <w:jc w:val="both"/>
        <w:rPr>
          <w:b/>
          <w:b/>
          <w:sz w:val="24"/>
          <w:szCs w:val="24"/>
        </w:rPr>
      </w:pPr>
      <w:r>
        <w:rPr/>
      </w:r>
    </w:p>
    <w:p>
      <w:pPr>
        <w:pStyle w:val="Normal"/>
        <w:spacing w:lineRule="auto" w:line="360"/>
        <w:jc w:val="both"/>
        <w:rPr/>
      </w:pPr>
      <w:r>
        <w:rPr>
          <w:b/>
          <w:sz w:val="24"/>
          <w:szCs w:val="24"/>
        </w:rPr>
        <w:t>Rezervy v konsolidovanom celku sa v rámci hlavnej aj podnikateľskej činnosti netvorili</w:t>
      </w:r>
    </w:p>
    <w:p>
      <w:pPr>
        <w:pStyle w:val="Normal"/>
        <w:spacing w:lineRule="auto" w:line="360"/>
        <w:jc w:val="both"/>
        <w:rPr/>
      </w:pPr>
      <w:r>
        <w:rPr>
          <w:b/>
          <w:sz w:val="24"/>
          <w:szCs w:val="24"/>
        </w:rPr>
        <w:tab/>
      </w:r>
    </w:p>
    <w:p>
      <w:pPr>
        <w:pStyle w:val="Normal"/>
        <w:spacing w:lineRule="auto" w:line="36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Konsolidované náklady a výnosy k 31.12.2018 :</w:t>
      </w:r>
    </w:p>
    <w:p>
      <w:pPr>
        <w:pStyle w:val="Normal"/>
        <w:spacing w:lineRule="auto" w:line="360"/>
        <w:jc w:val="both"/>
        <w:rPr>
          <w:sz w:val="24"/>
          <w:szCs w:val="24"/>
        </w:rPr>
      </w:pPr>
      <w:r>
        <w:rPr>
          <w:sz w:val="24"/>
          <w:szCs w:val="24"/>
        </w:rPr>
        <w:t>V rámci konsolidovaného celku boli konsolidované :</w:t>
      </w:r>
    </w:p>
    <w:tbl>
      <w:tblPr>
        <w:tblW w:w="10260" w:type="dxa"/>
        <w:jc w:val="left"/>
        <w:tblInd w:w="6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5" w:type="dxa"/>
          <w:bottom w:w="0" w:type="dxa"/>
          <w:right w:w="70" w:type="dxa"/>
        </w:tblCellMar>
        <w:tblLook w:val="0000"/>
      </w:tblPr>
      <w:tblGrid>
        <w:gridCol w:w="2340"/>
        <w:gridCol w:w="1080"/>
        <w:gridCol w:w="2160"/>
        <w:gridCol w:w="4679"/>
      </w:tblGrid>
      <w:tr>
        <w:trPr/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Hodnota pohľadávok</w:t>
            </w:r>
          </w:p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 EUR 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Opis</w:t>
            </w:r>
          </w:p>
        </w:tc>
      </w:tr>
      <w:tr>
        <w:trPr/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-ostatné výnosy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090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sz w:val="24"/>
                <w:szCs w:val="24"/>
              </w:rPr>
              <w:t>16 800,00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 nájmu</w:t>
            </w:r>
          </w:p>
        </w:tc>
      </w:tr>
      <w:tr>
        <w:trPr/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both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xxx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b/>
                <w:sz w:val="24"/>
                <w:szCs w:val="24"/>
              </w:rPr>
              <w:t>16 800,00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360"/>
        <w:jc w:val="both"/>
        <w:rPr>
          <w:sz w:val="24"/>
          <w:szCs w:val="24"/>
        </w:rPr>
      </w:pPr>
      <w:r>
        <w:rPr>
          <w:sz w:val="24"/>
          <w:szCs w:val="24"/>
        </w:rPr>
      </w:r>
    </w:p>
    <w:tbl>
      <w:tblPr>
        <w:tblW w:w="10260" w:type="dxa"/>
        <w:jc w:val="left"/>
        <w:tblInd w:w="6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5" w:type="dxa"/>
          <w:bottom w:w="0" w:type="dxa"/>
          <w:right w:w="70" w:type="dxa"/>
        </w:tblCellMar>
        <w:tblLook w:val="0000"/>
      </w:tblPr>
      <w:tblGrid>
        <w:gridCol w:w="2340"/>
        <w:gridCol w:w="1080"/>
        <w:gridCol w:w="2160"/>
        <w:gridCol w:w="4679"/>
      </w:tblGrid>
      <w:tr>
        <w:trPr/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Hodnota pohľadávok</w:t>
            </w:r>
          </w:p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 EUR 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Opis</w:t>
            </w:r>
          </w:p>
        </w:tc>
      </w:tr>
      <w:tr>
        <w:trPr/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-nájom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010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sz w:val="24"/>
                <w:szCs w:val="24"/>
              </w:rPr>
              <w:t>16 800,00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platený nájom</w:t>
            </w:r>
          </w:p>
        </w:tc>
      </w:tr>
      <w:tr>
        <w:trPr/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jc w:val="both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xxx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b/>
                <w:sz w:val="24"/>
                <w:szCs w:val="24"/>
              </w:rPr>
              <w:t>16 800,00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360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36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190" w:type="dxa"/>
        <w:jc w:val="left"/>
        <w:tblInd w:w="58" w:type="dxa"/>
        <w:tblBorders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763"/>
        <w:gridCol w:w="444"/>
        <w:gridCol w:w="3933"/>
        <w:gridCol w:w="422"/>
        <w:gridCol w:w="541"/>
        <w:gridCol w:w="422"/>
        <w:gridCol w:w="1283"/>
        <w:gridCol w:w="578"/>
        <w:gridCol w:w="1208"/>
        <w:gridCol w:w="595"/>
      </w:tblGrid>
      <w:tr>
        <w:trPr>
          <w:trHeight w:val="284" w:hRule="atLeast"/>
        </w:trPr>
        <w:tc>
          <w:tcPr>
            <w:tcW w:w="10189" w:type="dxa"/>
            <w:gridSpan w:val="10"/>
            <w:tcBorders/>
            <w:shd w:color="auto"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Vlastné imanie konsolidovaného celku </w:t>
            </w:r>
          </w:p>
        </w:tc>
      </w:tr>
      <w:tr>
        <w:trPr>
          <w:trHeight w:val="284" w:hRule="atLeast"/>
        </w:trPr>
        <w:tc>
          <w:tcPr>
            <w:tcW w:w="1207" w:type="dxa"/>
            <w:gridSpan w:val="2"/>
            <w:tcBorders/>
            <w:shd w:color="auto" w:fill="auto" w:val="clear"/>
            <w:vAlign w:val="bottom"/>
          </w:tcPr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3933" w:type="dxa"/>
            <w:tcBorders/>
            <w:shd w:color="auto" w:fill="auto" w:val="clear"/>
            <w:vAlign w:val="bottom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963" w:type="dxa"/>
            <w:gridSpan w:val="2"/>
            <w:tcBorders/>
            <w:shd w:color="auto" w:fill="auto" w:val="clear"/>
            <w:vAlign w:val="bottom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705" w:type="dxa"/>
            <w:gridSpan w:val="2"/>
            <w:tcBorders/>
            <w:shd w:color="auto" w:fill="auto" w:val="clear"/>
            <w:vAlign w:val="bottom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786" w:type="dxa"/>
            <w:gridSpan w:val="2"/>
            <w:tcBorders/>
            <w:shd w:color="auto" w:fill="auto" w:val="clear"/>
            <w:vAlign w:val="bottom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595" w:type="dxa"/>
            <w:tcBorders/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753" w:hRule="atLeast"/>
        </w:trPr>
        <w:tc>
          <w:tcPr>
            <w:tcW w:w="12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Označenie</w:t>
            </w:r>
          </w:p>
        </w:tc>
        <w:tc>
          <w:tcPr>
            <w:tcW w:w="39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Tržby a výrobné náklady  príspevkových organizácií</w:t>
            </w:r>
          </w:p>
        </w:tc>
        <w:tc>
          <w:tcPr>
            <w:tcW w:w="96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Číslo riadku</w:t>
            </w:r>
          </w:p>
        </w:tc>
        <w:tc>
          <w:tcPr>
            <w:tcW w:w="170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center"/>
              <w:rPr/>
            </w:pPr>
            <w:r>
              <w:rPr>
                <w:b/>
                <w:bCs/>
                <w:sz w:val="24"/>
                <w:szCs w:val="24"/>
              </w:rPr>
              <w:t>Bezprostredne predchádzajúce účtovné obdobie</w:t>
            </w:r>
          </w:p>
        </w:tc>
        <w:tc>
          <w:tcPr>
            <w:tcW w:w="178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center"/>
              <w:rPr/>
            </w:pPr>
            <w:r>
              <w:rPr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595" w:type="dxa"/>
            <w:tcBorders/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84" w:hRule="atLeast"/>
        </w:trPr>
        <w:tc>
          <w:tcPr>
            <w:tcW w:w="12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  <w:vAlign w:val="bottom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39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96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170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8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595" w:type="dxa"/>
            <w:tcBorders/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84" w:hRule="atLeast"/>
        </w:trPr>
        <w:tc>
          <w:tcPr>
            <w:tcW w:w="12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  <w:vAlign w:val="bottom"/>
          </w:tcPr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39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imanie</w:t>
            </w:r>
          </w:p>
        </w:tc>
        <w:tc>
          <w:tcPr>
            <w:tcW w:w="96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119</w:t>
            </w:r>
          </w:p>
        </w:tc>
        <w:tc>
          <w:tcPr>
            <w:tcW w:w="170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768 804,97</w:t>
            </w:r>
          </w:p>
        </w:tc>
        <w:tc>
          <w:tcPr>
            <w:tcW w:w="178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right"/>
              <w:rPr/>
            </w:pPr>
            <w:r>
              <w:rPr>
                <w:sz w:val="24"/>
                <w:szCs w:val="24"/>
              </w:rPr>
              <w:t>610 493,88</w:t>
            </w:r>
          </w:p>
        </w:tc>
        <w:tc>
          <w:tcPr>
            <w:tcW w:w="595" w:type="dxa"/>
            <w:tcBorders/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84" w:hRule="atLeast"/>
        </w:trPr>
        <w:tc>
          <w:tcPr>
            <w:tcW w:w="12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  <w:vAlign w:val="bottom"/>
          </w:tcPr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A.I.</w:t>
            </w:r>
          </w:p>
        </w:tc>
        <w:tc>
          <w:tcPr>
            <w:tcW w:w="39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</w:t>
            </w:r>
          </w:p>
        </w:tc>
        <w:tc>
          <w:tcPr>
            <w:tcW w:w="96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</w:t>
            </w:r>
          </w:p>
        </w:tc>
        <w:tc>
          <w:tcPr>
            <w:tcW w:w="170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8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95" w:type="dxa"/>
            <w:tcBorders/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84" w:hRule="atLeast"/>
        </w:trPr>
        <w:tc>
          <w:tcPr>
            <w:tcW w:w="12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  <w:vAlign w:val="bottom"/>
          </w:tcPr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A.I.1</w:t>
            </w:r>
          </w:p>
        </w:tc>
        <w:tc>
          <w:tcPr>
            <w:tcW w:w="39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Oceňovacie rozdiely z precenenia majetku </w:t>
            </w:r>
          </w:p>
        </w:tc>
        <w:tc>
          <w:tcPr>
            <w:tcW w:w="96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121</w:t>
            </w:r>
          </w:p>
        </w:tc>
        <w:tc>
          <w:tcPr>
            <w:tcW w:w="170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8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95" w:type="dxa"/>
            <w:tcBorders/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84" w:hRule="atLeast"/>
        </w:trPr>
        <w:tc>
          <w:tcPr>
            <w:tcW w:w="12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  <w:vAlign w:val="bottom"/>
          </w:tcPr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39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 kapitálových účastín</w:t>
            </w:r>
          </w:p>
        </w:tc>
        <w:tc>
          <w:tcPr>
            <w:tcW w:w="96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122</w:t>
            </w:r>
          </w:p>
        </w:tc>
        <w:tc>
          <w:tcPr>
            <w:tcW w:w="170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8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95" w:type="dxa"/>
            <w:tcBorders/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84" w:hRule="atLeast"/>
        </w:trPr>
        <w:tc>
          <w:tcPr>
            <w:tcW w:w="12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  <w:vAlign w:val="bottom"/>
          </w:tcPr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A.II.</w:t>
            </w:r>
          </w:p>
        </w:tc>
        <w:tc>
          <w:tcPr>
            <w:tcW w:w="39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Fondy</w:t>
            </w:r>
          </w:p>
        </w:tc>
        <w:tc>
          <w:tcPr>
            <w:tcW w:w="96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123</w:t>
            </w:r>
          </w:p>
        </w:tc>
        <w:tc>
          <w:tcPr>
            <w:tcW w:w="170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8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95" w:type="dxa"/>
            <w:tcBorders/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84" w:hRule="atLeast"/>
        </w:trPr>
        <w:tc>
          <w:tcPr>
            <w:tcW w:w="12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  <w:vAlign w:val="bottom"/>
          </w:tcPr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A.II.1</w:t>
            </w:r>
          </w:p>
        </w:tc>
        <w:tc>
          <w:tcPr>
            <w:tcW w:w="39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96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124</w:t>
            </w:r>
          </w:p>
        </w:tc>
        <w:tc>
          <w:tcPr>
            <w:tcW w:w="170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8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95" w:type="dxa"/>
            <w:tcBorders/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84" w:hRule="atLeast"/>
        </w:trPr>
        <w:tc>
          <w:tcPr>
            <w:tcW w:w="12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  <w:vAlign w:val="bottom"/>
          </w:tcPr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39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fondy</w:t>
            </w:r>
          </w:p>
        </w:tc>
        <w:tc>
          <w:tcPr>
            <w:tcW w:w="96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125</w:t>
            </w:r>
          </w:p>
        </w:tc>
        <w:tc>
          <w:tcPr>
            <w:tcW w:w="170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8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95" w:type="dxa"/>
            <w:tcBorders/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84" w:hRule="atLeast"/>
        </w:trPr>
        <w:tc>
          <w:tcPr>
            <w:tcW w:w="12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  <w:vAlign w:val="bottom"/>
          </w:tcPr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A.III.</w:t>
            </w:r>
          </w:p>
        </w:tc>
        <w:tc>
          <w:tcPr>
            <w:tcW w:w="39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</w:t>
            </w:r>
          </w:p>
        </w:tc>
        <w:tc>
          <w:tcPr>
            <w:tcW w:w="96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126</w:t>
            </w:r>
          </w:p>
        </w:tc>
        <w:tc>
          <w:tcPr>
            <w:tcW w:w="170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768 804,97</w:t>
            </w:r>
          </w:p>
        </w:tc>
        <w:tc>
          <w:tcPr>
            <w:tcW w:w="178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right"/>
              <w:rPr/>
            </w:pPr>
            <w:r>
              <w:rPr>
                <w:sz w:val="24"/>
                <w:szCs w:val="24"/>
              </w:rPr>
              <w:t>610 493,88</w:t>
            </w:r>
          </w:p>
        </w:tc>
        <w:tc>
          <w:tcPr>
            <w:tcW w:w="595" w:type="dxa"/>
            <w:tcBorders/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84" w:hRule="atLeast"/>
        </w:trPr>
        <w:tc>
          <w:tcPr>
            <w:tcW w:w="12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  <w:vAlign w:val="bottom"/>
          </w:tcPr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A.III.</w:t>
            </w:r>
          </w:p>
        </w:tc>
        <w:tc>
          <w:tcPr>
            <w:tcW w:w="39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Nevysporiadaný HV  minulých rokov</w:t>
            </w:r>
          </w:p>
        </w:tc>
        <w:tc>
          <w:tcPr>
            <w:tcW w:w="96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127</w:t>
            </w:r>
          </w:p>
        </w:tc>
        <w:tc>
          <w:tcPr>
            <w:tcW w:w="170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8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95" w:type="dxa"/>
            <w:tcBorders/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84" w:hRule="atLeast"/>
        </w:trPr>
        <w:tc>
          <w:tcPr>
            <w:tcW w:w="12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  <w:vAlign w:val="bottom"/>
          </w:tcPr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HV za účtovné obdobie</w:t>
            </w:r>
          </w:p>
        </w:tc>
        <w:tc>
          <w:tcPr>
            <w:tcW w:w="96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128</w:t>
            </w:r>
          </w:p>
        </w:tc>
        <w:tc>
          <w:tcPr>
            <w:tcW w:w="170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-144 395,42</w:t>
            </w:r>
          </w:p>
        </w:tc>
        <w:tc>
          <w:tcPr>
            <w:tcW w:w="178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right"/>
              <w:rPr/>
            </w:pPr>
            <w:r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134 349,76</w:t>
            </w:r>
          </w:p>
        </w:tc>
        <w:tc>
          <w:tcPr>
            <w:tcW w:w="595" w:type="dxa"/>
            <w:tcBorders/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84" w:hRule="atLeast"/>
        </w:trPr>
        <w:tc>
          <w:tcPr>
            <w:tcW w:w="12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  <w:vAlign w:val="bottom"/>
          </w:tcPr>
          <w:p>
            <w:pPr>
              <w:pStyle w:val="Normal"/>
              <w:jc w:val="both"/>
              <w:rPr>
                <w:i/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</w:r>
          </w:p>
        </w:tc>
        <w:tc>
          <w:tcPr>
            <w:tcW w:w="39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both"/>
              <w:rPr>
                <w:i/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-materská ÚJ</w:t>
            </w:r>
          </w:p>
        </w:tc>
        <w:tc>
          <w:tcPr>
            <w:tcW w:w="96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center"/>
              <w:rPr>
                <w:i/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</w:r>
          </w:p>
        </w:tc>
        <w:tc>
          <w:tcPr>
            <w:tcW w:w="170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right"/>
              <w:rPr>
                <w:i/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-147 995,42</w:t>
            </w:r>
          </w:p>
        </w:tc>
        <w:tc>
          <w:tcPr>
            <w:tcW w:w="178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right"/>
              <w:rPr/>
            </w:pPr>
            <w:r>
              <w:rPr>
                <w:i/>
                <w:sz w:val="24"/>
                <w:szCs w:val="24"/>
              </w:rPr>
              <w:t>-</w:t>
            </w:r>
            <w:r>
              <w:rPr>
                <w:i/>
                <w:sz w:val="24"/>
                <w:szCs w:val="24"/>
              </w:rPr>
              <w:t>138 159,66</w:t>
            </w:r>
          </w:p>
        </w:tc>
        <w:tc>
          <w:tcPr>
            <w:tcW w:w="595" w:type="dxa"/>
            <w:tcBorders/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84" w:hRule="atLeast"/>
        </w:trPr>
        <w:tc>
          <w:tcPr>
            <w:tcW w:w="12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  <w:vAlign w:val="bottom"/>
          </w:tcPr>
          <w:p>
            <w:pPr>
              <w:pStyle w:val="Normal"/>
              <w:jc w:val="both"/>
              <w:rPr>
                <w:i/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</w:r>
          </w:p>
        </w:tc>
        <w:tc>
          <w:tcPr>
            <w:tcW w:w="39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both"/>
              <w:rPr>
                <w:i/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-dcérska ÚJ</w:t>
            </w:r>
          </w:p>
        </w:tc>
        <w:tc>
          <w:tcPr>
            <w:tcW w:w="96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center"/>
              <w:rPr>
                <w:i/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</w:r>
          </w:p>
        </w:tc>
        <w:tc>
          <w:tcPr>
            <w:tcW w:w="170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right"/>
              <w:rPr/>
            </w:pPr>
            <w:r>
              <w:rPr>
                <w:i/>
                <w:sz w:val="24"/>
                <w:szCs w:val="24"/>
              </w:rPr>
              <w:t>+</w:t>
            </w:r>
            <w:r>
              <w:rPr>
                <w:i/>
                <w:sz w:val="24"/>
                <w:szCs w:val="24"/>
              </w:rPr>
              <w:t>3600,00</w:t>
            </w:r>
          </w:p>
        </w:tc>
        <w:tc>
          <w:tcPr>
            <w:tcW w:w="178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right"/>
              <w:rPr/>
            </w:pPr>
            <w:r>
              <w:rPr>
                <w:i/>
                <w:sz w:val="24"/>
                <w:szCs w:val="24"/>
              </w:rPr>
              <w:t>+3809,90</w:t>
            </w:r>
          </w:p>
        </w:tc>
        <w:tc>
          <w:tcPr>
            <w:tcW w:w="595" w:type="dxa"/>
            <w:tcBorders/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84" w:hRule="atLeast"/>
        </w:trPr>
        <w:tc>
          <w:tcPr>
            <w:tcW w:w="12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  <w:vAlign w:val="bottom"/>
          </w:tcPr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A.IV.</w:t>
            </w:r>
          </w:p>
        </w:tc>
        <w:tc>
          <w:tcPr>
            <w:tcW w:w="39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Podiely iných účtovných jednotiek</w:t>
            </w:r>
          </w:p>
        </w:tc>
        <w:tc>
          <w:tcPr>
            <w:tcW w:w="96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129</w:t>
            </w:r>
          </w:p>
        </w:tc>
        <w:tc>
          <w:tcPr>
            <w:tcW w:w="170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8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95" w:type="dxa"/>
            <w:tcBorders/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84" w:hRule="atLeast"/>
        </w:trPr>
        <w:tc>
          <w:tcPr>
            <w:tcW w:w="10189" w:type="dxa"/>
            <w:gridSpan w:val="10"/>
            <w:tcBorders/>
            <w:shd w:color="auto"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</w:tr>
      <w:tr>
        <w:trPr>
          <w:trHeight w:val="301" w:hRule="atLeast"/>
        </w:trPr>
        <w:tc>
          <w:tcPr>
            <w:tcW w:w="763" w:type="dxa"/>
            <w:tcBorders/>
            <w:shd w:color="auto" w:fill="auto" w:val="clear"/>
            <w:vAlign w:val="center"/>
          </w:tcPr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4799" w:type="dxa"/>
            <w:gridSpan w:val="3"/>
            <w:tcBorders/>
            <w:shd w:color="auto" w:fill="auto" w:val="clear"/>
            <w:vAlign w:val="cente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963" w:type="dxa"/>
            <w:gridSpan w:val="2"/>
            <w:tcBorders/>
            <w:shd w:color="auto" w:fill="auto" w:val="clear"/>
            <w:vAlign w:val="cente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861" w:type="dxa"/>
            <w:gridSpan w:val="2"/>
            <w:tcBorders/>
            <w:shd w:color="auto" w:fill="auto" w:val="clear"/>
            <w:vAlign w:val="cente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803" w:type="dxa"/>
            <w:gridSpan w:val="2"/>
            <w:tcBorders/>
            <w:shd w:color="auto" w:fill="auto" w:val="clear"/>
            <w:vAlign w:val="cente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</w:tbl>
    <w:p>
      <w:pPr>
        <w:pStyle w:val="Normal"/>
        <w:ind w:right="-7923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SKUTOČNOSTI, KTORÉ NASTALI PO DNI, KU KTORÉMU SA ZOSTAVUJE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KONSOLIDOVANA ÚČTOVNÁ ZÁVIERKA, DO DŇA JEJ ZOSTAVENIA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lineRule="auto" w:line="360"/>
        <w:jc w:val="both"/>
        <w:rPr>
          <w:sz w:val="24"/>
          <w:szCs w:val="24"/>
        </w:rPr>
      </w:pPr>
      <w:r>
        <w:rPr>
          <w:sz w:val="24"/>
          <w:szCs w:val="24"/>
        </w:rPr>
        <w:t>Po 31. decembri 2018 nenastali také udalosti, ktoré by si vyžadovali zverejnenie alebo vykázanie v konsolidovanej účtovnej závierke za rok 2018.</w:t>
      </w:r>
    </w:p>
    <w:p>
      <w:pPr>
        <w:pStyle w:val="Normal"/>
        <w:spacing w:lineRule="auto" w:line="360"/>
        <w:jc w:val="both"/>
        <w:rPr/>
      </w:pPr>
      <w:r>
        <w:rPr>
          <w:sz w:val="24"/>
          <w:szCs w:val="24"/>
        </w:rPr>
        <w:t>Danišovce 1</w:t>
      </w:r>
      <w:r>
        <w:rPr>
          <w:sz w:val="24"/>
          <w:szCs w:val="24"/>
        </w:rPr>
        <w:t>6</w:t>
      </w:r>
      <w:r>
        <w:rPr>
          <w:sz w:val="24"/>
          <w:szCs w:val="24"/>
        </w:rPr>
        <w:t>.06.2018</w:t>
      </w:r>
    </w:p>
    <w:p>
      <w:pPr>
        <w:pStyle w:val="Normal"/>
        <w:spacing w:lineRule="auto" w:line="36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lineRule="auto" w:line="360"/>
        <w:jc w:val="both"/>
        <w:rPr>
          <w:sz w:val="24"/>
          <w:szCs w:val="24"/>
        </w:rPr>
      </w:pPr>
      <w:r>
        <w:rPr>
          <w:sz w:val="24"/>
          <w:szCs w:val="24"/>
        </w:rPr>
        <w:t>Vypracovala: Ing. Lea Furmanová, externý účtovník</w:t>
      </w:r>
    </w:p>
    <w:p>
      <w:pPr>
        <w:pStyle w:val="Normal"/>
        <w:spacing w:lineRule="auto" w:line="36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lineRule="auto" w:line="360"/>
        <w:jc w:val="both"/>
        <w:rPr>
          <w:sz w:val="24"/>
          <w:szCs w:val="24"/>
        </w:rPr>
      </w:pPr>
      <w:r>
        <w:rPr>
          <w:sz w:val="24"/>
          <w:szCs w:val="24"/>
        </w:rPr>
        <w:t>Schválil: Miroslav Výrostek, starosta obce</w:t>
      </w:r>
    </w:p>
    <w:p>
      <w:pPr>
        <w:pStyle w:val="Normal"/>
        <w:spacing w:lineRule="auto" w:line="36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lineRule="auto" w:line="360"/>
        <w:jc w:val="both"/>
        <w:rPr/>
      </w:pPr>
      <w:r>
        <w:rPr/>
      </w:r>
    </w:p>
    <w:sectPr>
      <w:footerReference w:type="default" r:id="rId2"/>
      <w:type w:val="nextPage"/>
      <w:pgSz w:w="11906" w:h="16838"/>
      <w:pgMar w:left="1134" w:right="1134" w:header="0" w:top="851" w:footer="709" w:bottom="851" w:gutter="0"/>
      <w:pgNumType w:fmt="decimal"/>
      <w:formProt w:val="false"/>
      <w:textDirection w:val="lrTb"/>
      <w:docGrid w:type="default" w:linePitch="360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Courier New">
    <w:charset w:val="01"/>
    <w:family w:val="modern"/>
    <w:pitch w:val="fixed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ind w:right="360" w:hanging="0"/>
      <w:rPr/>
    </w:pPr>
    <w:r>
      <w:rPr/>
      <mc:AlternateContent>
        <mc:Choice Requires="wps">
          <w:drawing>
            <wp:anchor behindDoc="1" distT="0" distB="0" distL="0" distR="0" simplePos="0" locked="0" layoutInCell="1" allowOverlap="1" relativeHeight="9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64770" cy="292735"/>
              <wp:effectExtent l="0" t="0" r="0" b="0"/>
              <wp:wrapSquare wrapText="largest"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4080" cy="2919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Pta"/>
                            <w:rPr>
                              <w:color w:val="auto"/>
                            </w:rPr>
                          </w:pPr>
                          <w:r>
                            <w:rPr>
                              <w:color w:val="auto"/>
                            </w:rPr>
                            <w:fldChar w:fldCharType="begin"/>
                          </w:r>
                          <w:r>
                            <w:instrText> PAGE </w:instrText>
                          </w:r>
                          <w:r>
                            <w:fldChar w:fldCharType="separate"/>
                          </w:r>
                          <w:r>
                            <w:t>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ámec1" fillcolor="white" stroked="f" style="position:absolute;margin-left:238.4pt;margin-top:0.05pt;width:5pt;height:22.95pt;mso-position-horizontal:center;mso-position-horizontal-relative:margin">
              <w10:wrap type="square"/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Pta"/>
                      <w:rPr>
                        <w:color w:val="auto"/>
                      </w:rPr>
                    </w:pPr>
                    <w:r>
                      <w:rPr>
                        <w:color w:val="auto"/>
                      </w:rPr>
                      <w:fldChar w:fldCharType="begin"/>
                    </w:r>
                    <w:r>
                      <w:instrText> PAGE </w:instrText>
                    </w:r>
                    <w:r>
                      <w:fldChar w:fldCharType="separate"/>
                    </w:r>
                    <w:r>
                      <w:t>7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b w:val="false"/>
        <w:bCs w:val="false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b w:val="false"/>
        <w:bCs w:val="false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  <w:sz w:val="24"/>
        <w:b/>
        <w:rFonts w:cs="Wingding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  <w:rFonts w:cs="Wingdings"/>
      </w:rPr>
    </w:lvl>
  </w:abstractNum>
  <w:abstractNum w:abstractNumId="7">
    <w:lvl w:ilvl="0">
      <w:start w:val="1"/>
      <w:numFmt w:val="bullet"/>
      <w:lvlText w:val=""/>
      <w:lvlJc w:val="left"/>
      <w:pPr>
        <w:ind w:left="1440" w:hanging="360"/>
      </w:pPr>
      <w:rPr>
        <w:rFonts w:ascii="Wingdings" w:hAnsi="Wingdings" w:cs="Wingdings" w:hint="default"/>
        <w:sz w:val="24"/>
        <w:rFonts w:cs="Wingdings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  <w:rFonts w:cs="Wingdings"/>
      </w:rPr>
    </w:lvl>
  </w:abstractNum>
  <w:abstractNum w:abstractNumId="8">
    <w:lvl w:ilvl="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sz w:val="24"/>
        <w:rFonts w:cs="Wingdings"/>
        <w:color w:val="00000A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  <w:rFonts w:cs="Wingdings"/>
      </w:rPr>
    </w:lvl>
  </w:abstractNum>
  <w:abstractNum w:abstractNumId="9">
    <w:lvl w:ilvl="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sz w:val="24"/>
        <w:rFonts w:cs="Wingdings"/>
        <w:color w:val="00000A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  <w:rFonts w:cs="Wingdings"/>
      </w:rPr>
    </w:lvl>
  </w:abstractNum>
  <w:abstractNum w:abstractNumId="10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4"/>
        <w:rFonts w:cs="Symbo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  <w:rFonts w:cs="Wingdings"/>
      </w:rPr>
    </w:lvl>
  </w:abstractNum>
  <w:abstractNum w:abstractNumId="11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</w:numbering>
</file>

<file path=word/settings.xml><?xml version="1.0" encoding="utf-8"?>
<w:settings xmlns:w="http://schemas.openxmlformats.org/wordprocessingml/2006/main">
  <w:zoom w:percent="164"/>
  <w:embedSystemFonts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uiPriority="10" w:semiHidden="0" w:unhideWhenUsed="0" w:qFormat="1"/>
    <w:lsdException w:name="Default Paragraph Font" w:unhideWhenUsed="0"/>
    <w:lsdException w:name="Body Text" w:unhideWhenUsed="0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825b5d"/>
    <w:pPr>
      <w:widowControl/>
      <w:bidi w:val="0"/>
      <w:jc w:val="left"/>
    </w:pPr>
    <w:rPr>
      <w:rFonts w:ascii="Times New Roman" w:hAnsi="Times New Roman" w:eastAsia="Times New Roman" w:cs="Times New Roman"/>
      <w:color w:val="00000A"/>
      <w:sz w:val="20"/>
      <w:szCs w:val="20"/>
      <w:lang w:val="sk-SK" w:eastAsia="sk-SK" w:bidi="ar-SA"/>
    </w:rPr>
  </w:style>
  <w:style w:type="paragraph" w:styleId="Nadpis2">
    <w:name w:val="Heading 2"/>
    <w:basedOn w:val="Normal"/>
    <w:link w:val="Nadpis2Char"/>
    <w:autoRedefine/>
    <w:qFormat/>
    <w:rsid w:val="00ab15f8"/>
    <w:pPr>
      <w:keepNext/>
      <w:spacing w:before="60" w:after="240"/>
      <w:jc w:val="center"/>
      <w:outlineLvl w:val="1"/>
    </w:pPr>
    <w:rPr>
      <w:b/>
      <w:bCs/>
      <w:i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PtaChar" w:customStyle="1">
    <w:name w:val="Päta Char"/>
    <w:basedOn w:val="DefaultParagraphFont"/>
    <w:link w:val="Pta"/>
    <w:uiPriority w:val="99"/>
    <w:semiHidden/>
    <w:qFormat/>
    <w:rsid w:val="001f6bc1"/>
    <w:rPr>
      <w:sz w:val="20"/>
      <w:szCs w:val="20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1f6bc1"/>
    <w:rPr>
      <w:rFonts w:ascii="Tahoma" w:hAnsi="Tahoma" w:cs="Tahoma"/>
      <w:sz w:val="16"/>
      <w:szCs w:val="16"/>
    </w:rPr>
  </w:style>
  <w:style w:type="character" w:styleId="Pagenumber">
    <w:name w:val="page number"/>
    <w:basedOn w:val="DefaultParagraphFont"/>
    <w:uiPriority w:val="99"/>
    <w:qFormat/>
    <w:rsid w:val="00491430"/>
    <w:rPr/>
  </w:style>
  <w:style w:type="character" w:styleId="ZkladntextChar" w:customStyle="1">
    <w:name w:val="Základný text Char"/>
    <w:basedOn w:val="DefaultParagraphFont"/>
    <w:link w:val="Zkladntext"/>
    <w:uiPriority w:val="99"/>
    <w:semiHidden/>
    <w:qFormat/>
    <w:rsid w:val="001f6bc1"/>
    <w:rPr>
      <w:sz w:val="20"/>
      <w:szCs w:val="20"/>
    </w:rPr>
  </w:style>
  <w:style w:type="character" w:styleId="HlavikaChar" w:customStyle="1">
    <w:name w:val="Hlavička Char"/>
    <w:basedOn w:val="DefaultParagraphFont"/>
    <w:link w:val="Hlavika"/>
    <w:uiPriority w:val="99"/>
    <w:semiHidden/>
    <w:qFormat/>
    <w:rsid w:val="001f6bc1"/>
    <w:rPr>
      <w:sz w:val="20"/>
      <w:szCs w:val="20"/>
    </w:rPr>
  </w:style>
  <w:style w:type="character" w:styleId="Strong">
    <w:name w:val="Strong"/>
    <w:basedOn w:val="DefaultParagraphFont"/>
    <w:uiPriority w:val="22"/>
    <w:qFormat/>
    <w:rsid w:val="0096070d"/>
    <w:rPr>
      <w:b/>
      <w:bCs/>
    </w:rPr>
  </w:style>
  <w:style w:type="character" w:styleId="Internetovodkaz">
    <w:name w:val="Internetový odkaz"/>
    <w:basedOn w:val="DefaultParagraphFont"/>
    <w:rsid w:val="00c2645b"/>
    <w:rPr>
      <w:rFonts w:cs="Times New Roman"/>
      <w:color w:val="0000FF"/>
      <w:u w:val="single"/>
    </w:rPr>
  </w:style>
  <w:style w:type="character" w:styleId="FollowedHyperlink">
    <w:name w:val="FollowedHyperlink"/>
    <w:basedOn w:val="DefaultParagraphFont"/>
    <w:qFormat/>
    <w:rsid w:val="00c2645b"/>
    <w:rPr>
      <w:rFonts w:cs="Times New Roman"/>
      <w:color w:val="800080"/>
      <w:u w:val="single"/>
    </w:rPr>
  </w:style>
  <w:style w:type="character" w:styleId="Nadpis2Char" w:customStyle="1">
    <w:name w:val="Nadpis 2 Char"/>
    <w:basedOn w:val="DefaultParagraphFont"/>
    <w:link w:val="Nadpis2"/>
    <w:qFormat/>
    <w:rsid w:val="00ab15f8"/>
    <w:rPr>
      <w:b/>
      <w:bCs/>
      <w:iCs/>
      <w:sz w:val="24"/>
      <w:szCs w:val="24"/>
    </w:rPr>
  </w:style>
  <w:style w:type="character" w:styleId="ListLabel1">
    <w:name w:val="ListLabel 1"/>
    <w:qFormat/>
    <w:rPr>
      <w:b w:val="false"/>
      <w:bCs w:val="false"/>
      <w:sz w:val="24"/>
    </w:rPr>
  </w:style>
  <w:style w:type="character" w:styleId="ListLabel2">
    <w:name w:val="ListLabel 2"/>
    <w:qFormat/>
    <w:rPr>
      <w:b w:val="false"/>
      <w:bCs w:val="false"/>
      <w:sz w:val="24"/>
    </w:rPr>
  </w:style>
  <w:style w:type="character" w:styleId="ListLabel3">
    <w:name w:val="ListLabel 3"/>
    <w:qFormat/>
    <w:rPr>
      <w:rFonts w:cs="Courier New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rFonts w:cs="Courier New"/>
    </w:rPr>
  </w:style>
  <w:style w:type="character" w:styleId="ListLabel6">
    <w:name w:val="ListLabel 6"/>
    <w:qFormat/>
    <w:rPr>
      <w:rFonts w:cs="Courier New"/>
    </w:rPr>
  </w:style>
  <w:style w:type="character" w:styleId="ListLabel7">
    <w:name w:val="ListLabel 7"/>
    <w:qFormat/>
    <w:rPr>
      <w:rFonts w:cs="Courier New"/>
    </w:rPr>
  </w:style>
  <w:style w:type="character" w:styleId="ListLabel8">
    <w:name w:val="ListLabel 8"/>
    <w:qFormat/>
    <w:rPr>
      <w:rFonts w:cs="Courier New"/>
    </w:rPr>
  </w:style>
  <w:style w:type="character" w:styleId="ListLabel9">
    <w:name w:val="ListLabel 9"/>
    <w:qFormat/>
    <w:rPr>
      <w:color w:val="00000A"/>
      <w:sz w:val="24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color w:val="00000A"/>
      <w:sz w:val="24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cs="Courier New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b w:val="false"/>
      <w:bCs w:val="false"/>
      <w:sz w:val="24"/>
    </w:rPr>
  </w:style>
  <w:style w:type="character" w:styleId="ListLabel21">
    <w:name w:val="ListLabel 21"/>
    <w:qFormat/>
    <w:rPr>
      <w:b w:val="false"/>
      <w:bCs w:val="false"/>
      <w:sz w:val="24"/>
    </w:rPr>
  </w:style>
  <w:style w:type="character" w:styleId="ListLabel22">
    <w:name w:val="ListLabel 22"/>
    <w:qFormat/>
    <w:rPr>
      <w:rFonts w:cs="Wingdings"/>
      <w:b/>
      <w:sz w:val="24"/>
    </w:rPr>
  </w:style>
  <w:style w:type="character" w:styleId="ListLabel23">
    <w:name w:val="ListLabel 23"/>
    <w:qFormat/>
    <w:rPr>
      <w:rFonts w:cs="Courier New"/>
    </w:rPr>
  </w:style>
  <w:style w:type="character" w:styleId="ListLabel24">
    <w:name w:val="ListLabel 24"/>
    <w:qFormat/>
    <w:rPr>
      <w:rFonts w:cs="Wingdings"/>
    </w:rPr>
  </w:style>
  <w:style w:type="character" w:styleId="ListLabel25">
    <w:name w:val="ListLabel 25"/>
    <w:qFormat/>
    <w:rPr>
      <w:rFonts w:cs="Symbol"/>
    </w:rPr>
  </w:style>
  <w:style w:type="character" w:styleId="ListLabel26">
    <w:name w:val="ListLabel 26"/>
    <w:qFormat/>
    <w:rPr>
      <w:rFonts w:cs="Courier New"/>
    </w:rPr>
  </w:style>
  <w:style w:type="character" w:styleId="ListLabel27">
    <w:name w:val="ListLabel 27"/>
    <w:qFormat/>
    <w:rPr>
      <w:rFonts w:cs="Wingdings"/>
    </w:rPr>
  </w:style>
  <w:style w:type="character" w:styleId="ListLabel28">
    <w:name w:val="ListLabel 28"/>
    <w:qFormat/>
    <w:rPr>
      <w:rFonts w:cs="Symbol"/>
    </w:rPr>
  </w:style>
  <w:style w:type="character" w:styleId="ListLabel29">
    <w:name w:val="ListLabel 29"/>
    <w:qFormat/>
    <w:rPr>
      <w:rFonts w:cs="Courier New"/>
    </w:rPr>
  </w:style>
  <w:style w:type="character" w:styleId="ListLabel30">
    <w:name w:val="ListLabel 30"/>
    <w:qFormat/>
    <w:rPr>
      <w:rFonts w:cs="Wingdings"/>
    </w:rPr>
  </w:style>
  <w:style w:type="character" w:styleId="ListLabel31">
    <w:name w:val="ListLabel 31"/>
    <w:qFormat/>
    <w:rPr>
      <w:rFonts w:cs="Wingdings"/>
      <w:sz w:val="24"/>
    </w:rPr>
  </w:style>
  <w:style w:type="character" w:styleId="ListLabel32">
    <w:name w:val="ListLabel 32"/>
    <w:qFormat/>
    <w:rPr>
      <w:rFonts w:cs="Courier New"/>
    </w:rPr>
  </w:style>
  <w:style w:type="character" w:styleId="ListLabel33">
    <w:name w:val="ListLabel 33"/>
    <w:qFormat/>
    <w:rPr>
      <w:rFonts w:cs="Wingdings"/>
    </w:rPr>
  </w:style>
  <w:style w:type="character" w:styleId="ListLabel34">
    <w:name w:val="ListLabel 34"/>
    <w:qFormat/>
    <w:rPr>
      <w:rFonts w:cs="Symbol"/>
    </w:rPr>
  </w:style>
  <w:style w:type="character" w:styleId="ListLabel35">
    <w:name w:val="ListLabel 35"/>
    <w:qFormat/>
    <w:rPr>
      <w:rFonts w:cs="Courier New"/>
    </w:rPr>
  </w:style>
  <w:style w:type="character" w:styleId="ListLabel36">
    <w:name w:val="ListLabel 36"/>
    <w:qFormat/>
    <w:rPr>
      <w:rFonts w:cs="Wingdings"/>
    </w:rPr>
  </w:style>
  <w:style w:type="character" w:styleId="ListLabel37">
    <w:name w:val="ListLabel 37"/>
    <w:qFormat/>
    <w:rPr>
      <w:rFonts w:cs="Symbol"/>
    </w:rPr>
  </w:style>
  <w:style w:type="character" w:styleId="ListLabel38">
    <w:name w:val="ListLabel 38"/>
    <w:qFormat/>
    <w:rPr>
      <w:rFonts w:cs="Courier New"/>
    </w:rPr>
  </w:style>
  <w:style w:type="character" w:styleId="ListLabel39">
    <w:name w:val="ListLabel 39"/>
    <w:qFormat/>
    <w:rPr>
      <w:rFonts w:cs="Wingdings"/>
    </w:rPr>
  </w:style>
  <w:style w:type="character" w:styleId="ListLabel40">
    <w:name w:val="ListLabel 40"/>
    <w:qFormat/>
    <w:rPr>
      <w:rFonts w:cs="Wingdings"/>
      <w:color w:val="00000A"/>
      <w:sz w:val="24"/>
    </w:rPr>
  </w:style>
  <w:style w:type="character" w:styleId="ListLabel41">
    <w:name w:val="ListLabel 41"/>
    <w:qFormat/>
    <w:rPr>
      <w:rFonts w:cs="Courier New"/>
    </w:rPr>
  </w:style>
  <w:style w:type="character" w:styleId="ListLabel42">
    <w:name w:val="ListLabel 42"/>
    <w:qFormat/>
    <w:rPr>
      <w:rFonts w:cs="Wingdings"/>
    </w:rPr>
  </w:style>
  <w:style w:type="character" w:styleId="ListLabel43">
    <w:name w:val="ListLabel 43"/>
    <w:qFormat/>
    <w:rPr>
      <w:rFonts w:cs="Symbol"/>
    </w:rPr>
  </w:style>
  <w:style w:type="character" w:styleId="ListLabel44">
    <w:name w:val="ListLabel 44"/>
    <w:qFormat/>
    <w:rPr>
      <w:rFonts w:cs="Courier New"/>
    </w:rPr>
  </w:style>
  <w:style w:type="character" w:styleId="ListLabel45">
    <w:name w:val="ListLabel 45"/>
    <w:qFormat/>
    <w:rPr>
      <w:rFonts w:cs="Wingdings"/>
    </w:rPr>
  </w:style>
  <w:style w:type="character" w:styleId="ListLabel46">
    <w:name w:val="ListLabel 46"/>
    <w:qFormat/>
    <w:rPr>
      <w:rFonts w:cs="Symbol"/>
    </w:rPr>
  </w:style>
  <w:style w:type="character" w:styleId="ListLabel47">
    <w:name w:val="ListLabel 47"/>
    <w:qFormat/>
    <w:rPr>
      <w:rFonts w:cs="Courier New"/>
    </w:rPr>
  </w:style>
  <w:style w:type="character" w:styleId="ListLabel48">
    <w:name w:val="ListLabel 48"/>
    <w:qFormat/>
    <w:rPr>
      <w:rFonts w:cs="Wingdings"/>
    </w:rPr>
  </w:style>
  <w:style w:type="character" w:styleId="ListLabel49">
    <w:name w:val="ListLabel 49"/>
    <w:qFormat/>
    <w:rPr>
      <w:rFonts w:cs="Wingdings"/>
      <w:color w:val="00000A"/>
      <w:sz w:val="24"/>
    </w:rPr>
  </w:style>
  <w:style w:type="character" w:styleId="ListLabel50">
    <w:name w:val="ListLabel 50"/>
    <w:qFormat/>
    <w:rPr>
      <w:rFonts w:cs="Courier New"/>
    </w:rPr>
  </w:style>
  <w:style w:type="character" w:styleId="ListLabel51">
    <w:name w:val="ListLabel 51"/>
    <w:qFormat/>
    <w:rPr>
      <w:rFonts w:cs="Wingdings"/>
    </w:rPr>
  </w:style>
  <w:style w:type="character" w:styleId="ListLabel52">
    <w:name w:val="ListLabel 52"/>
    <w:qFormat/>
    <w:rPr>
      <w:rFonts w:cs="Symbol"/>
    </w:rPr>
  </w:style>
  <w:style w:type="character" w:styleId="ListLabel53">
    <w:name w:val="ListLabel 53"/>
    <w:qFormat/>
    <w:rPr>
      <w:rFonts w:cs="Courier New"/>
    </w:rPr>
  </w:style>
  <w:style w:type="character" w:styleId="ListLabel54">
    <w:name w:val="ListLabel 54"/>
    <w:qFormat/>
    <w:rPr>
      <w:rFonts w:cs="Wingdings"/>
    </w:rPr>
  </w:style>
  <w:style w:type="character" w:styleId="ListLabel55">
    <w:name w:val="ListLabel 55"/>
    <w:qFormat/>
    <w:rPr>
      <w:rFonts w:cs="Symbol"/>
    </w:rPr>
  </w:style>
  <w:style w:type="character" w:styleId="ListLabel56">
    <w:name w:val="ListLabel 56"/>
    <w:qFormat/>
    <w:rPr>
      <w:rFonts w:cs="Courier New"/>
    </w:rPr>
  </w:style>
  <w:style w:type="character" w:styleId="ListLabel57">
    <w:name w:val="ListLabel 57"/>
    <w:qFormat/>
    <w:rPr>
      <w:rFonts w:cs="Wingdings"/>
    </w:rPr>
  </w:style>
  <w:style w:type="character" w:styleId="ListLabel58">
    <w:name w:val="ListLabel 58"/>
    <w:qFormat/>
    <w:rPr>
      <w:rFonts w:cs="Symbol"/>
      <w:sz w:val="24"/>
    </w:rPr>
  </w:style>
  <w:style w:type="character" w:styleId="ListLabel59">
    <w:name w:val="ListLabel 59"/>
    <w:qFormat/>
    <w:rPr>
      <w:rFonts w:cs="Courier New"/>
    </w:rPr>
  </w:style>
  <w:style w:type="character" w:styleId="ListLabel60">
    <w:name w:val="ListLabel 60"/>
    <w:qFormat/>
    <w:rPr>
      <w:rFonts w:cs="Wingdings"/>
    </w:rPr>
  </w:style>
  <w:style w:type="character" w:styleId="ListLabel61">
    <w:name w:val="ListLabel 61"/>
    <w:qFormat/>
    <w:rPr>
      <w:rFonts w:cs="Symbol"/>
    </w:rPr>
  </w:style>
  <w:style w:type="character" w:styleId="ListLabel62">
    <w:name w:val="ListLabel 62"/>
    <w:qFormat/>
    <w:rPr>
      <w:rFonts w:cs="Courier New"/>
    </w:rPr>
  </w:style>
  <w:style w:type="character" w:styleId="ListLabel63">
    <w:name w:val="ListLabel 63"/>
    <w:qFormat/>
    <w:rPr>
      <w:rFonts w:cs="Wingdings"/>
    </w:rPr>
  </w:style>
  <w:style w:type="character" w:styleId="ListLabel64">
    <w:name w:val="ListLabel 64"/>
    <w:qFormat/>
    <w:rPr>
      <w:rFonts w:cs="Symbol"/>
    </w:rPr>
  </w:style>
  <w:style w:type="character" w:styleId="ListLabel65">
    <w:name w:val="ListLabel 65"/>
    <w:qFormat/>
    <w:rPr>
      <w:rFonts w:cs="Courier New"/>
    </w:rPr>
  </w:style>
  <w:style w:type="character" w:styleId="ListLabel66">
    <w:name w:val="ListLabel 66"/>
    <w:qFormat/>
    <w:rPr>
      <w:rFonts w:cs="Wingdings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rsid w:val="00cc5302"/>
    <w:pPr>
      <w:ind w:left="426" w:hanging="0"/>
      <w:jc w:val="both"/>
    </w:pPr>
    <w:rPr>
      <w:sz w:val="18"/>
      <w:szCs w:val="18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Pta">
    <w:name w:val="Footer"/>
    <w:basedOn w:val="Normal"/>
    <w:link w:val="PtaChar"/>
    <w:uiPriority w:val="99"/>
    <w:rsid w:val="006010b6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qFormat/>
    <w:rsid w:val="0060016b"/>
    <w:pPr/>
    <w:rPr>
      <w:rFonts w:ascii="Tahoma" w:hAnsi="Tahoma" w:cs="Tahoma"/>
      <w:sz w:val="16"/>
      <w:szCs w:val="16"/>
    </w:rPr>
  </w:style>
  <w:style w:type="paragraph" w:styleId="Zkladntext1" w:customStyle="1">
    <w:name w:val="Základní text1"/>
    <w:uiPriority w:val="99"/>
    <w:qFormat/>
    <w:rsid w:val="00891577"/>
    <w:pPr>
      <w:widowControl/>
      <w:bidi w:val="0"/>
      <w:spacing w:before="144" w:after="144"/>
      <w:ind w:firstLine="709"/>
      <w:jc w:val="both"/>
    </w:pPr>
    <w:rPr>
      <w:rFonts w:ascii="Times New Roman" w:hAnsi="Times New Roman" w:eastAsia="Times New Roman" w:cs="Times New Roman"/>
      <w:color w:val="000000"/>
      <w:sz w:val="24"/>
      <w:szCs w:val="24"/>
      <w:lang w:val="sk-SK" w:eastAsia="sk-SK" w:bidi="ar-SA"/>
    </w:rPr>
  </w:style>
  <w:style w:type="paragraph" w:styleId="Pismenka" w:customStyle="1">
    <w:name w:val="Pismenka"/>
    <w:basedOn w:val="Telotextu"/>
    <w:uiPriority w:val="99"/>
    <w:qFormat/>
    <w:rsid w:val="00cc5302"/>
    <w:pPr>
      <w:tabs>
        <w:tab w:val="left" w:pos="426" w:leader="none"/>
      </w:tabs>
      <w:ind w:left="426" w:hanging="426"/>
    </w:pPr>
    <w:rPr>
      <w:b/>
      <w:bCs/>
    </w:rPr>
  </w:style>
  <w:style w:type="paragraph" w:styleId="Hlavika">
    <w:name w:val="Header"/>
    <w:basedOn w:val="Normal"/>
    <w:link w:val="HlavikaChar"/>
    <w:uiPriority w:val="99"/>
    <w:rsid w:val="00ce70b2"/>
    <w:pPr>
      <w:tabs>
        <w:tab w:val="center" w:pos="4536" w:leader="none"/>
        <w:tab w:val="right" w:pos="9072" w:leader="none"/>
      </w:tabs>
    </w:pPr>
    <w:rPr/>
  </w:style>
  <w:style w:type="paragraph" w:styleId="CharCharCharCharCharCharCharCharCharCharCharCharCharCharCharCharCharChar" w:customStyle="1">
    <w:name w:val="Char Char Char Char Char Char Char Char Char Char Char Char Char Char Char Char Char Char"/>
    <w:basedOn w:val="Normal"/>
    <w:qFormat/>
    <w:rsid w:val="00c2645b"/>
    <w:pPr>
      <w:spacing w:lineRule="exact" w:line="240" w:before="0" w:after="160"/>
      <w:ind w:firstLine="720"/>
    </w:pPr>
    <w:rPr>
      <w:rFonts w:ascii="Tahoma" w:hAnsi="Tahoma" w:cs="Tahoma"/>
      <w:lang w:val="en-US" w:eastAsia="en-US"/>
    </w:rPr>
  </w:style>
  <w:style w:type="paragraph" w:styleId="Xl24" w:customStyle="1">
    <w:name w:val="xl24"/>
    <w:basedOn w:val="Normal"/>
    <w:qFormat/>
    <w:rsid w:val="00c2645b"/>
    <w:pPr>
      <w:spacing w:beforeAutospacing="1" w:afterAutospacing="1"/>
      <w:jc w:val="center"/>
    </w:pPr>
    <w:rPr>
      <w:sz w:val="24"/>
      <w:szCs w:val="24"/>
    </w:rPr>
  </w:style>
  <w:style w:type="paragraph" w:styleId="Xl25" w:customStyle="1">
    <w:name w:val="xl25"/>
    <w:basedOn w:val="Normal"/>
    <w:qFormat/>
    <w:rsid w:val="00c2645b"/>
    <w:pPr>
      <w:spacing w:beforeAutospacing="1" w:afterAutospacing="1"/>
      <w:jc w:val="center"/>
    </w:pPr>
    <w:rPr>
      <w:sz w:val="24"/>
      <w:szCs w:val="24"/>
    </w:rPr>
  </w:style>
  <w:style w:type="paragraph" w:styleId="Xl26" w:customStyle="1">
    <w:name w:val="xl26"/>
    <w:basedOn w:val="Normal"/>
    <w:qFormat/>
    <w:rsid w:val="00c2645b"/>
    <w:pPr>
      <w:spacing w:beforeAutospacing="1" w:afterAutospacing="1"/>
    </w:pPr>
    <w:rPr>
      <w:sz w:val="18"/>
      <w:szCs w:val="18"/>
    </w:rPr>
  </w:style>
  <w:style w:type="paragraph" w:styleId="Xl27" w:customStyle="1">
    <w:name w:val="xl27"/>
    <w:basedOn w:val="Normal"/>
    <w:qFormat/>
    <w:rsid w:val="00c2645b"/>
    <w:pPr>
      <w:spacing w:beforeAutospacing="1" w:afterAutospacing="1"/>
    </w:pPr>
    <w:rPr>
      <w:rFonts w:ascii="Arial" w:hAnsi="Arial" w:cs="Arial"/>
      <w:b/>
      <w:bCs/>
      <w:sz w:val="24"/>
      <w:szCs w:val="24"/>
    </w:rPr>
  </w:style>
  <w:style w:type="paragraph" w:styleId="Xl28" w:customStyle="1">
    <w:name w:val="xl28"/>
    <w:basedOn w:val="Normal"/>
    <w:qFormat/>
    <w:rsid w:val="00c2645b"/>
    <w:pPr>
      <w:spacing w:beforeAutospacing="1" w:afterAutospacing="1"/>
    </w:pPr>
    <w:rPr>
      <w:rFonts w:ascii="Arial" w:hAnsi="Arial" w:cs="Arial"/>
      <w:b/>
      <w:bCs/>
      <w:sz w:val="24"/>
      <w:szCs w:val="24"/>
    </w:rPr>
  </w:style>
  <w:style w:type="paragraph" w:styleId="ListParagraph">
    <w:name w:val="List Paragraph"/>
    <w:basedOn w:val="Normal"/>
    <w:uiPriority w:val="34"/>
    <w:qFormat/>
    <w:rsid w:val="004a3cea"/>
    <w:pPr>
      <w:spacing w:before="0" w:after="0"/>
      <w:ind w:left="720" w:hanging="0"/>
      <w:contextualSpacing/>
    </w:pPr>
    <w:rPr/>
  </w:style>
  <w:style w:type="paragraph" w:styleId="Odstavec" w:customStyle="1">
    <w:name w:val="odstavec"/>
    <w:basedOn w:val="Normal"/>
    <w:autoRedefine/>
    <w:qFormat/>
    <w:rsid w:val="00ab15f8"/>
    <w:pPr>
      <w:ind w:right="-79" w:hanging="0"/>
      <w:jc w:val="both"/>
    </w:pPr>
    <w:rPr>
      <w:sz w:val="24"/>
      <w:szCs w:val="24"/>
    </w:rPr>
  </w:style>
  <w:style w:type="paragraph" w:styleId="Obsahrmca">
    <w:name w:val="Obsah rámca"/>
    <w:basedOn w:val="Normal"/>
    <w:qFormat/>
    <w:pPr/>
    <w:rPr/>
  </w:style>
  <w:style w:type="paragraph" w:styleId="Obsahtabuky">
    <w:name w:val="Obsah tabuľky"/>
    <w:basedOn w:val="Normal"/>
    <w:qFormat/>
    <w:pPr/>
    <w:rPr/>
  </w:style>
  <w:style w:type="paragraph" w:styleId="Nadpistabuky">
    <w:name w:val="Nadpis tabuľky"/>
    <w:basedOn w:val="Obsahtabuky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930f58"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Application>LibreOffice/5.2.2.2$Windows_X86_64 LibreOffice_project/8f96e87c890bf8fa77463cd4b640a2312823f3ad</Application>
  <Pages>8</Pages>
  <Words>1722</Words>
  <Characters>10291</Characters>
  <CharactersWithSpaces>11703</CharactersWithSpaces>
  <Paragraphs>386</Paragraphs>
  <Company>Hewlett-Packard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2017-09-21T06:37:00Z</dcterms:created>
  <dc:creator>admin</dc:creator>
  <dc:description/>
  <dc:language>sk-SK</dc:language>
  <cp:lastModifiedBy/>
  <cp:lastPrinted>2014-06-10T09:37:00Z</cp:lastPrinted>
  <dcterms:modified xsi:type="dcterms:W3CDTF">2019-06-16T11:01:09Z</dcterms:modified>
  <cp:revision>6</cp:revision>
  <dc:subject/>
  <dc:title>Poznámky k 31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