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895" w:rsidRPr="007F53F9" w:rsidRDefault="00581895" w:rsidP="007F53F9">
      <w:pPr>
        <w:spacing w:line="360" w:lineRule="auto"/>
        <w:jc w:val="center"/>
        <w:rPr>
          <w:rFonts w:ascii="Times New Roman" w:hAnsi="Times New Roman"/>
          <w:b/>
          <w:bCs/>
        </w:rPr>
      </w:pPr>
      <w:bookmarkStart w:id="0" w:name="_GoBack"/>
      <w:r w:rsidRPr="007F53F9">
        <w:rPr>
          <w:rFonts w:ascii="Times New Roman" w:hAnsi="Times New Roman"/>
          <w:b/>
          <w:bCs/>
        </w:rPr>
        <w:t xml:space="preserve">Poznámky </w:t>
      </w:r>
    </w:p>
    <w:bookmarkEnd w:id="0"/>
    <w:p w:rsidR="00581895" w:rsidRPr="007F53F9" w:rsidRDefault="00581895" w:rsidP="007F53F9">
      <w:pPr>
        <w:spacing w:line="360" w:lineRule="auto"/>
        <w:jc w:val="center"/>
        <w:rPr>
          <w:rFonts w:ascii="Times New Roman" w:hAnsi="Times New Roman"/>
          <w:b/>
          <w:bCs/>
        </w:rPr>
      </w:pPr>
      <w:r w:rsidRPr="007F53F9">
        <w:rPr>
          <w:rFonts w:ascii="Times New Roman" w:hAnsi="Times New Roman"/>
          <w:b/>
          <w:bCs/>
        </w:rPr>
        <w:t>konsolidovanej účtovnej závierky zostavenej k 31.12.</w:t>
      </w:r>
      <w:r w:rsidR="0057553D">
        <w:rPr>
          <w:rFonts w:ascii="Times New Roman" w:hAnsi="Times New Roman"/>
          <w:b/>
          <w:bCs/>
        </w:rPr>
        <w:t>2018</w:t>
      </w:r>
    </w:p>
    <w:p w:rsidR="00581895" w:rsidRPr="007F53F9" w:rsidRDefault="00581895" w:rsidP="007F53F9">
      <w:pPr>
        <w:spacing w:line="360" w:lineRule="auto"/>
        <w:jc w:val="center"/>
        <w:rPr>
          <w:rFonts w:ascii="Times New Roman" w:hAnsi="Times New Roman"/>
          <w:b/>
          <w:bCs/>
        </w:rPr>
      </w:pPr>
      <w:r w:rsidRPr="007F53F9">
        <w:rPr>
          <w:rFonts w:ascii="Times New Roman" w:hAnsi="Times New Roman"/>
          <w:b/>
          <w:bCs/>
        </w:rPr>
        <w:t xml:space="preserve">účtovnej jednotky verejnej správy </w:t>
      </w:r>
    </w:p>
    <w:p w:rsidR="00581895" w:rsidRPr="007F53F9" w:rsidRDefault="00581895" w:rsidP="007F53F9">
      <w:pPr>
        <w:spacing w:line="360" w:lineRule="auto"/>
        <w:jc w:val="center"/>
        <w:rPr>
          <w:rFonts w:ascii="Times New Roman" w:hAnsi="Times New Roman"/>
          <w:b/>
          <w:bCs/>
        </w:rPr>
      </w:pPr>
      <w:r w:rsidRPr="007F53F9">
        <w:rPr>
          <w:rFonts w:ascii="Times New Roman" w:hAnsi="Times New Roman"/>
          <w:b/>
          <w:bCs/>
        </w:rPr>
        <w:t>obce Závod</w:t>
      </w:r>
    </w:p>
    <w:p w:rsidR="00581895" w:rsidRPr="007F53F9" w:rsidRDefault="00581895" w:rsidP="007F53F9">
      <w:pPr>
        <w:spacing w:line="360" w:lineRule="auto"/>
        <w:jc w:val="center"/>
        <w:rPr>
          <w:rFonts w:ascii="Times New Roman" w:hAnsi="Times New Roman"/>
        </w:rPr>
      </w:pPr>
    </w:p>
    <w:p w:rsidR="00581895" w:rsidRPr="007F53F9" w:rsidRDefault="00581895" w:rsidP="007F53F9">
      <w:pPr>
        <w:spacing w:line="360" w:lineRule="auto"/>
        <w:rPr>
          <w:rFonts w:ascii="Times New Roman" w:hAnsi="Times New Roman"/>
          <w:b/>
          <w:caps/>
        </w:rPr>
      </w:pPr>
      <w:r w:rsidRPr="007F53F9">
        <w:rPr>
          <w:rFonts w:ascii="Times New Roman" w:hAnsi="Times New Roman"/>
          <w:b/>
          <w:caps/>
        </w:rPr>
        <w:t>Všeobecné údaje</w:t>
      </w:r>
    </w:p>
    <w:p w:rsidR="00581895" w:rsidRPr="007F53F9" w:rsidRDefault="00581895" w:rsidP="007F53F9">
      <w:pPr>
        <w:spacing w:line="360" w:lineRule="auto"/>
        <w:jc w:val="center"/>
        <w:rPr>
          <w:rFonts w:ascii="Times New Roman" w:hAnsi="Times New Roman"/>
        </w:rPr>
      </w:pPr>
    </w:p>
    <w:p w:rsidR="00581895" w:rsidRPr="007F53F9" w:rsidRDefault="00581895" w:rsidP="007F53F9">
      <w:pPr>
        <w:spacing w:line="360" w:lineRule="auto"/>
        <w:rPr>
          <w:rFonts w:ascii="Times New Roman" w:hAnsi="Times New Roman"/>
          <w:b/>
          <w:i/>
        </w:rPr>
      </w:pPr>
      <w:r w:rsidRPr="007F53F9">
        <w:rPr>
          <w:rFonts w:ascii="Times New Roman" w:hAnsi="Times New Roman"/>
          <w:b/>
          <w:i/>
        </w:rPr>
        <w:t>Identifikačné údaje o  konsolidujúcej účtovnej jednotke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036"/>
      </w:tblGrid>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Názov konsolidujúcej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Obec Závod</w:t>
            </w:r>
          </w:p>
        </w:tc>
      </w:tr>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Sídlo konsolidujúcej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Sokolská 243; 908 72  Závod</w:t>
            </w:r>
          </w:p>
        </w:tc>
      </w:tr>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Dátum založenia, vzniku konsolidujúcej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1.1.1991</w:t>
            </w:r>
          </w:p>
        </w:tc>
      </w:tr>
    </w:tbl>
    <w:p w:rsidR="00581895" w:rsidRPr="007F53F9" w:rsidRDefault="00581895" w:rsidP="007F53F9">
      <w:pPr>
        <w:spacing w:line="360" w:lineRule="auto"/>
        <w:rPr>
          <w:rFonts w:ascii="Times New Roman" w:hAnsi="Times New Roman"/>
        </w:rPr>
      </w:pPr>
    </w:p>
    <w:p w:rsidR="00581895" w:rsidRPr="007F53F9" w:rsidRDefault="00581895" w:rsidP="007F53F9">
      <w:pPr>
        <w:spacing w:line="360" w:lineRule="auto"/>
        <w:rPr>
          <w:rFonts w:ascii="Times New Roman" w:hAnsi="Times New Roman"/>
        </w:rPr>
      </w:pPr>
      <w:r w:rsidRPr="007F53F9">
        <w:rPr>
          <w:rFonts w:ascii="Times New Roman" w:hAnsi="Times New Roman"/>
        </w:rPr>
        <w:t xml:space="preserve">Starostom obce je Ing. Peter Vrablec a zástupcom starostu je </w:t>
      </w:r>
      <w:r w:rsidR="00BB666E">
        <w:rPr>
          <w:rFonts w:ascii="Times New Roman" w:hAnsi="Times New Roman"/>
        </w:rPr>
        <w:t>Ing. Milan Šišolák</w:t>
      </w:r>
      <w:r w:rsidRPr="007F53F9">
        <w:rPr>
          <w:rFonts w:ascii="Times New Roman" w:hAnsi="Times New Roman"/>
        </w:rPr>
        <w:t>.</w:t>
      </w:r>
    </w:p>
    <w:p w:rsidR="00581895" w:rsidRPr="007F53F9" w:rsidRDefault="00581895" w:rsidP="007F53F9">
      <w:pPr>
        <w:spacing w:line="360" w:lineRule="auto"/>
        <w:rPr>
          <w:rFonts w:ascii="Times New Roman" w:hAnsi="Times New Roman"/>
        </w:rPr>
      </w:pPr>
    </w:p>
    <w:p w:rsidR="00581895" w:rsidRPr="007F53F9" w:rsidRDefault="00581895" w:rsidP="007F53F9">
      <w:pPr>
        <w:spacing w:line="360" w:lineRule="auto"/>
        <w:rPr>
          <w:rFonts w:ascii="Times New Roman" w:hAnsi="Times New Roman"/>
          <w:b/>
          <w:i/>
        </w:rPr>
      </w:pPr>
      <w:r w:rsidRPr="007F53F9">
        <w:rPr>
          <w:rFonts w:ascii="Times New Roman" w:hAnsi="Times New Roman"/>
          <w:b/>
          <w:i/>
        </w:rPr>
        <w:t>Identifikačné údaje o konsolidovanej  účtovnej  jednotke – rozpočtovej organizácii v zriaďovateľskej pôsobnosti konsolidujúcej účtovnej jednotky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589"/>
      </w:tblGrid>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Názov konsolidovanej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Základná škola s materskou školou</w:t>
            </w:r>
          </w:p>
        </w:tc>
      </w:tr>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Sídlo konsolidovanej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Sokolská 81; 908 72  Závod</w:t>
            </w:r>
          </w:p>
        </w:tc>
      </w:tr>
      <w:tr w:rsidR="00581895" w:rsidRPr="007F53F9" w:rsidTr="00581895">
        <w:trPr>
          <w:trHeight w:val="452"/>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Dátum založenia konsolidovanej účtovnej jednotky</w:t>
            </w:r>
          </w:p>
        </w:tc>
        <w:tc>
          <w:tcPr>
            <w:tcW w:w="0" w:type="auto"/>
          </w:tcPr>
          <w:p w:rsidR="00581895" w:rsidRPr="007F53F9" w:rsidRDefault="00581895" w:rsidP="007F53F9">
            <w:pPr>
              <w:spacing w:line="360" w:lineRule="auto"/>
              <w:rPr>
                <w:rFonts w:ascii="Times New Roman" w:hAnsi="Times New Roman"/>
              </w:rPr>
            </w:pPr>
            <w:r w:rsidRPr="007F53F9">
              <w:rPr>
                <w:rFonts w:ascii="Times New Roman" w:hAnsi="Times New Roman"/>
              </w:rPr>
              <w:t>1.9. 2007</w:t>
            </w:r>
          </w:p>
        </w:tc>
      </w:tr>
    </w:tbl>
    <w:p w:rsidR="00581895" w:rsidRPr="007F53F9" w:rsidRDefault="00581895" w:rsidP="007F53F9">
      <w:pPr>
        <w:spacing w:line="360" w:lineRule="auto"/>
        <w:rPr>
          <w:rFonts w:ascii="Times New Roman" w:hAnsi="Times New Roman"/>
        </w:rPr>
      </w:pPr>
    </w:p>
    <w:p w:rsidR="00581895" w:rsidRPr="007F53F9" w:rsidRDefault="00581895" w:rsidP="007F53F9">
      <w:pPr>
        <w:spacing w:line="360" w:lineRule="auto"/>
        <w:rPr>
          <w:rFonts w:ascii="Times New Roman" w:hAnsi="Times New Roman"/>
        </w:rPr>
      </w:pPr>
    </w:p>
    <w:p w:rsidR="00581895" w:rsidRPr="007F53F9" w:rsidRDefault="00581895" w:rsidP="007F53F9">
      <w:pPr>
        <w:spacing w:line="360" w:lineRule="auto"/>
        <w:rPr>
          <w:rFonts w:ascii="Times New Roman" w:hAnsi="Times New Roman"/>
          <w:b/>
          <w:i/>
        </w:rPr>
      </w:pPr>
      <w:r w:rsidRPr="007F53F9">
        <w:rPr>
          <w:rFonts w:ascii="Times New Roman" w:hAnsi="Times New Roman"/>
          <w:b/>
          <w:i/>
        </w:rPr>
        <w:t xml:space="preserve">Informácie o zamestnancoch konsolidovaného celku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683"/>
      </w:tblGrid>
      <w:tr w:rsidR="00581895" w:rsidRPr="007F53F9" w:rsidTr="00581895">
        <w:trPr>
          <w:trHeight w:val="758"/>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Priemerný počet zamestnancov  konsolidovaného celku počas účtovného obdobia</w:t>
            </w:r>
          </w:p>
        </w:tc>
        <w:tc>
          <w:tcPr>
            <w:tcW w:w="0" w:type="auto"/>
          </w:tcPr>
          <w:p w:rsidR="00581895" w:rsidRPr="007F53F9" w:rsidRDefault="00BB666E" w:rsidP="007F53F9">
            <w:pPr>
              <w:spacing w:line="360" w:lineRule="auto"/>
              <w:rPr>
                <w:rFonts w:ascii="Times New Roman" w:hAnsi="Times New Roman"/>
                <w:i/>
                <w:color w:val="000000"/>
              </w:rPr>
            </w:pPr>
            <w:r>
              <w:rPr>
                <w:rFonts w:ascii="Times New Roman" w:hAnsi="Times New Roman"/>
                <w:i/>
                <w:color w:val="000000"/>
              </w:rPr>
              <w:t>56,22</w:t>
            </w:r>
            <w:r w:rsidR="00581895" w:rsidRPr="007F53F9">
              <w:rPr>
                <w:rFonts w:ascii="Times New Roman" w:hAnsi="Times New Roman"/>
                <w:i/>
                <w:color w:val="000000"/>
              </w:rPr>
              <w:t xml:space="preserve">  (v roku </w:t>
            </w:r>
            <w:r w:rsidR="0057553D">
              <w:rPr>
                <w:rFonts w:ascii="Times New Roman" w:hAnsi="Times New Roman"/>
                <w:i/>
                <w:color w:val="000000"/>
              </w:rPr>
              <w:t>2017</w:t>
            </w:r>
            <w:r w:rsidR="002170AE" w:rsidRPr="007F53F9">
              <w:rPr>
                <w:rFonts w:ascii="Times New Roman" w:hAnsi="Times New Roman"/>
                <w:i/>
                <w:color w:val="000000"/>
              </w:rPr>
              <w:t xml:space="preserve"> to bolo 51,7</w:t>
            </w:r>
            <w:r w:rsidR="00581895" w:rsidRPr="007F53F9">
              <w:rPr>
                <w:rFonts w:ascii="Times New Roman" w:hAnsi="Times New Roman"/>
                <w:i/>
                <w:color w:val="000000"/>
              </w:rPr>
              <w:t>)</w:t>
            </w:r>
          </w:p>
        </w:tc>
      </w:tr>
      <w:tr w:rsidR="00581895" w:rsidRPr="007F53F9" w:rsidTr="00581895">
        <w:trPr>
          <w:jc w:val="center"/>
        </w:trPr>
        <w:tc>
          <w:tcPr>
            <w:tcW w:w="0" w:type="auto"/>
            <w:vAlign w:val="center"/>
          </w:tcPr>
          <w:p w:rsidR="00581895" w:rsidRPr="007F53F9" w:rsidRDefault="00581895" w:rsidP="007F53F9">
            <w:pPr>
              <w:spacing w:line="360" w:lineRule="auto"/>
              <w:rPr>
                <w:rFonts w:ascii="Times New Roman" w:hAnsi="Times New Roman"/>
              </w:rPr>
            </w:pPr>
            <w:r w:rsidRPr="007F53F9">
              <w:rPr>
                <w:rFonts w:ascii="Times New Roman" w:hAnsi="Times New Roman"/>
              </w:rPr>
              <w:t xml:space="preserve"> z toho : Počet  vedúcich  zamestnancov </w:t>
            </w:r>
          </w:p>
        </w:tc>
        <w:tc>
          <w:tcPr>
            <w:tcW w:w="0" w:type="auto"/>
          </w:tcPr>
          <w:p w:rsidR="00581895" w:rsidRPr="007F53F9" w:rsidRDefault="00581895" w:rsidP="007F53F9">
            <w:pPr>
              <w:spacing w:line="360" w:lineRule="auto"/>
              <w:rPr>
                <w:rFonts w:ascii="Times New Roman" w:hAnsi="Times New Roman"/>
                <w:i/>
                <w:color w:val="000000"/>
              </w:rPr>
            </w:pPr>
            <w:r w:rsidRPr="007F53F9">
              <w:rPr>
                <w:rFonts w:ascii="Times New Roman" w:hAnsi="Times New Roman"/>
                <w:i/>
                <w:color w:val="000000"/>
              </w:rPr>
              <w:t xml:space="preserve"> 3 (v roku </w:t>
            </w:r>
            <w:r w:rsidR="0057553D">
              <w:rPr>
                <w:rFonts w:ascii="Times New Roman" w:hAnsi="Times New Roman"/>
                <w:i/>
                <w:color w:val="000000"/>
              </w:rPr>
              <w:t>2017</w:t>
            </w:r>
            <w:r w:rsidRPr="007F53F9">
              <w:rPr>
                <w:rFonts w:ascii="Times New Roman" w:hAnsi="Times New Roman"/>
                <w:i/>
                <w:color w:val="000000"/>
              </w:rPr>
              <w:t xml:space="preserve"> to bolo tiež 3)</w:t>
            </w:r>
          </w:p>
        </w:tc>
      </w:tr>
    </w:tbl>
    <w:p w:rsidR="00581895" w:rsidRPr="007F53F9" w:rsidRDefault="00581895" w:rsidP="007F53F9">
      <w:pPr>
        <w:spacing w:line="360" w:lineRule="auto"/>
        <w:rPr>
          <w:rFonts w:ascii="Times New Roman" w:hAnsi="Times New Roman"/>
          <w:b/>
          <w:i/>
        </w:rPr>
      </w:pPr>
    </w:p>
    <w:p w:rsidR="00581895" w:rsidRPr="007F53F9" w:rsidRDefault="00581895" w:rsidP="007F53F9">
      <w:pPr>
        <w:spacing w:line="360" w:lineRule="auto"/>
        <w:rPr>
          <w:rFonts w:ascii="Times New Roman" w:hAnsi="Times New Roman"/>
          <w:b/>
          <w:i/>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Konsolidovaný celok sa v roku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oproti minulým účtovným obdobiam nezmenil.</w:t>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Prehľad o účtovných jednotkách konsolidovaného celku je uvedený v prílohe, v tabuľkovej časti </w:t>
      </w:r>
      <w:r w:rsidRPr="007F53F9">
        <w:rPr>
          <w:rFonts w:ascii="Times New Roman" w:hAnsi="Times New Roman" w:cs="Times New Roman"/>
          <w:i/>
          <w:sz w:val="24"/>
          <w:szCs w:val="24"/>
        </w:rPr>
        <w:t>Poznámok</w:t>
      </w:r>
      <w:r w:rsidRPr="007F53F9">
        <w:rPr>
          <w:rFonts w:ascii="Times New Roman" w:hAnsi="Times New Roman" w:cs="Times New Roman"/>
          <w:sz w:val="24"/>
          <w:szCs w:val="24"/>
        </w:rPr>
        <w:t xml:space="preserve">. </w:t>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lastRenderedPageBreak/>
        <w:t xml:space="preserve">Konsolidovaná účtovná závierka k 31. decembru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je zostavená ako riadna konsolidovaná účtovná závierka podľa zákona č. 431/2002 Z. z. o účtovníctve v znení neskorších predpisov, za účtovné obdobie od 1. januára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do 31. decembra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w:t>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Konsolidujúca účtovná jednotka je súčasťou súhrnného celku verejnej správy Slovenskej republiky.</w:t>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Konsolidovaná účtovná závierka bola zostavená za predpokladu nepretržitého trvania  činnosti v súlade so zákonom o účtovníctve a nadväzujúcimi právnymi predpismi.</w:t>
      </w:r>
    </w:p>
    <w:p w:rsidR="00581895" w:rsidRPr="007F53F9" w:rsidRDefault="00581895" w:rsidP="007F53F9">
      <w:pPr>
        <w:pStyle w:val="odstavec"/>
        <w:shd w:val="clear" w:color="auto" w:fill="FFFFFF"/>
        <w:rPr>
          <w:rFonts w:ascii="Times New Roman" w:hAnsi="Times New Roman" w:cs="Times New Roman"/>
          <w:sz w:val="24"/>
          <w:szCs w:val="24"/>
        </w:rPr>
      </w:pPr>
      <w:r w:rsidRPr="007F53F9">
        <w:rPr>
          <w:rFonts w:ascii="Times New Roman" w:hAnsi="Times New Roman" w:cs="Times New Roman"/>
          <w:sz w:val="24"/>
          <w:szCs w:val="24"/>
        </w:rPr>
        <w:t>Účtovné metódy a všeobecné účtovné zásady boli účtovnou jednotkou konzistentne aplikované.</w:t>
      </w:r>
    </w:p>
    <w:p w:rsidR="00581895" w:rsidRPr="00137D2C" w:rsidRDefault="00581895" w:rsidP="007F53F9">
      <w:pPr>
        <w:spacing w:line="360" w:lineRule="auto"/>
        <w:jc w:val="both"/>
        <w:rPr>
          <w:rFonts w:ascii="Times New Roman" w:hAnsi="Times New Roman"/>
          <w:lang w:val="sk-SK"/>
        </w:rPr>
      </w:pPr>
      <w:r w:rsidRPr="00137D2C">
        <w:rPr>
          <w:rFonts w:ascii="Times New Roman" w:hAnsi="Times New Roman"/>
          <w:lang w:val="sk-SK"/>
        </w:rPr>
        <w:t>Medzi účtovnými jednotkami konsolidovaného celku neboli uskutočnené transakcie z dôvodu predaja majetku.</w:t>
      </w:r>
    </w:p>
    <w:p w:rsidR="00581895" w:rsidRPr="00137D2C" w:rsidRDefault="00581895" w:rsidP="007F53F9">
      <w:pPr>
        <w:spacing w:line="360" w:lineRule="auto"/>
        <w:rPr>
          <w:rFonts w:ascii="Times New Roman" w:hAnsi="Times New Roman"/>
          <w:b/>
          <w:i/>
          <w:lang w:val="sk-SK"/>
        </w:rPr>
      </w:pPr>
    </w:p>
    <w:p w:rsidR="00581895" w:rsidRPr="00137D2C" w:rsidRDefault="00581895" w:rsidP="007F53F9">
      <w:pPr>
        <w:spacing w:line="360" w:lineRule="auto"/>
        <w:rPr>
          <w:rFonts w:ascii="Times New Roman" w:hAnsi="Times New Roman"/>
          <w:b/>
          <w:i/>
          <w:lang w:val="sk-SK"/>
        </w:rPr>
      </w:pPr>
    </w:p>
    <w:p w:rsidR="00581895" w:rsidRPr="00137D2C" w:rsidRDefault="00581895" w:rsidP="007F53F9">
      <w:pPr>
        <w:spacing w:line="360" w:lineRule="auto"/>
        <w:jc w:val="both"/>
        <w:rPr>
          <w:rFonts w:ascii="Times New Roman" w:hAnsi="Times New Roman"/>
          <w:b/>
          <w:lang w:val="sk-SK"/>
        </w:rPr>
      </w:pPr>
      <w:r w:rsidRPr="00137D2C">
        <w:rPr>
          <w:rFonts w:ascii="Times New Roman" w:hAnsi="Times New Roman"/>
          <w:b/>
          <w:lang w:val="sk-SK"/>
        </w:rPr>
        <w:t>Informácie o metódach oceňovania použitých pri ocenení jednotlivých položiek konsolidovanej účtovnej závierky:</w:t>
      </w:r>
    </w:p>
    <w:p w:rsidR="00581895" w:rsidRPr="007F53F9" w:rsidRDefault="00581895" w:rsidP="007F53F9">
      <w:pPr>
        <w:pStyle w:val="odstavec"/>
        <w:rPr>
          <w:rFonts w:ascii="Times New Roman" w:hAnsi="Times New Roman" w:cs="Times New Roman"/>
          <w:sz w:val="24"/>
          <w:szCs w:val="24"/>
          <w:u w:val="single"/>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Dlhodobý majetok</w:t>
      </w:r>
      <w:r w:rsidRPr="007F53F9">
        <w:rPr>
          <w:rFonts w:ascii="Times New Roman" w:hAnsi="Times New Roman" w:cs="Times New Roman"/>
          <w:sz w:val="24"/>
          <w:szCs w:val="24"/>
        </w:rPr>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Dlhodobý majetok vytvorený vlastnou činnosťou sa oceňuje vlastnými nákladmi. </w:t>
      </w:r>
    </w:p>
    <w:p w:rsidR="00581895" w:rsidRPr="00137D2C" w:rsidRDefault="00581895" w:rsidP="007F53F9">
      <w:pPr>
        <w:tabs>
          <w:tab w:val="num" w:pos="540"/>
        </w:tabs>
        <w:spacing w:line="360" w:lineRule="auto"/>
        <w:jc w:val="both"/>
        <w:rPr>
          <w:rFonts w:ascii="Times New Roman" w:hAnsi="Times New Roman"/>
          <w:lang w:val="sk-SK"/>
        </w:rPr>
      </w:pPr>
      <w:r w:rsidRPr="00137D2C">
        <w:rPr>
          <w:rFonts w:ascii="Times New Roman" w:hAnsi="Times New Roman"/>
          <w:lang w:val="sk-SK"/>
        </w:rPr>
        <w:t xml:space="preserve">Dlhodobý majetok nadobudnutý bezodplatným prevodom pri splynutí, zlúčení, rozdelení alebo pri prevode správy sa oceňuje cenou, v ktorej sa doteraz viedol v účtovníctve. </w:t>
      </w:r>
    </w:p>
    <w:p w:rsidR="00581895" w:rsidRPr="00137D2C" w:rsidRDefault="00581895" w:rsidP="007F53F9">
      <w:pPr>
        <w:tabs>
          <w:tab w:val="num" w:pos="540"/>
        </w:tabs>
        <w:spacing w:line="360" w:lineRule="auto"/>
        <w:jc w:val="both"/>
        <w:rPr>
          <w:rFonts w:ascii="Times New Roman" w:hAnsi="Times New Roman"/>
          <w:lang w:val="sk-SK"/>
        </w:rPr>
      </w:pPr>
    </w:p>
    <w:p w:rsidR="00581895" w:rsidRPr="007F53F9" w:rsidRDefault="00581895" w:rsidP="007F53F9">
      <w:pPr>
        <w:pStyle w:val="Default"/>
        <w:spacing w:line="360" w:lineRule="auto"/>
        <w:jc w:val="both"/>
        <w:rPr>
          <w:rFonts w:ascii="Times New Roman" w:hAnsi="Times New Roman" w:cs="Times New Roman"/>
        </w:rPr>
      </w:pPr>
      <w:r w:rsidRPr="007F53F9">
        <w:rPr>
          <w:rFonts w:ascii="Times New Roman" w:hAnsi="Times New Roman" w:cs="Times New Roman"/>
        </w:rPr>
        <w:t xml:space="preserve">Odpisy dlhodobého nehmotného majetku a dlhodobého hmotného majetku sú stanovené tak, že sa vychádza z predpokladanej doby jeho užívania a predpokladaného priebehu jeho opotrebenia. Odpisovať sa začína odo dňa jeho zaradenia do používania. Účtovné odpisy sa zaokrúhľujú na celé eurá nahor. Metóda odpisovania sa používa lineárna. </w:t>
      </w:r>
    </w:p>
    <w:p w:rsidR="00581895" w:rsidRPr="007F53F9" w:rsidRDefault="00581895" w:rsidP="007F53F9">
      <w:pPr>
        <w:pStyle w:val="Default"/>
        <w:spacing w:line="360" w:lineRule="auto"/>
        <w:jc w:val="both"/>
        <w:rPr>
          <w:rFonts w:ascii="Times New Roman" w:hAnsi="Times New Roman" w:cs="Times New Roman"/>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Cenné papiere a podiely</w:t>
      </w:r>
      <w:r w:rsidRPr="007F53F9">
        <w:rPr>
          <w:rFonts w:ascii="Times New Roman" w:hAnsi="Times New Roman" w:cs="Times New Roman"/>
          <w:sz w:val="24"/>
          <w:szCs w:val="24"/>
        </w:rPr>
        <w:t xml:space="preserve"> sa oceňujú pri ich nadobudnutí obstarávacími cenami, t. j. vrátane nákladov súvisiacich s obstaraním. </w:t>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ab/>
      </w:r>
      <w:r w:rsidRPr="007F53F9">
        <w:rPr>
          <w:rFonts w:ascii="Times New Roman" w:hAnsi="Times New Roman" w:cs="Times New Roman"/>
          <w:sz w:val="24"/>
          <w:szCs w:val="24"/>
        </w:rPr>
        <w:tab/>
      </w:r>
      <w:r w:rsidRPr="007F53F9">
        <w:rPr>
          <w:rFonts w:ascii="Times New Roman" w:hAnsi="Times New Roman" w:cs="Times New Roman"/>
          <w:sz w:val="24"/>
          <w:szCs w:val="24"/>
        </w:rPr>
        <w:tab/>
      </w: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 xml:space="preserve">Zásoby </w:t>
      </w:r>
      <w:r w:rsidRPr="007F53F9">
        <w:rPr>
          <w:rFonts w:ascii="Times New Roman" w:hAnsi="Times New Roman" w:cs="Times New Roman"/>
          <w:sz w:val="24"/>
          <w:szCs w:val="24"/>
        </w:rPr>
        <w:t xml:space="preserve">nakupované sa oceňujú obstarávacou cenou, ktorá zahrňuje cenu obstarania a náklady súvisiace s obstaraním (clo, prepravu a pod.) znížené o zľavy z ceny. </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 xml:space="preserve">Pohľadávky </w:t>
      </w:r>
      <w:r w:rsidRPr="007F53F9">
        <w:rPr>
          <w:rFonts w:ascii="Times New Roman" w:hAnsi="Times New Roman" w:cs="Times New Roman"/>
          <w:sz w:val="24"/>
          <w:szCs w:val="24"/>
        </w:rPr>
        <w:t>pri ich vzniku sa oceňujú menovitou hodnotou. Pohľadávky pri odplatnom nadobudnutí sa oceňujú obstarávacou cenou, t.j. vrátane nákladov súvisiacich s obstaraním. Toto ocenenie sa znižuje o pochybné,  nedobytným pohľadávky a o pohľadávky, pri ktorých existuje riziko nevymožiteľnosti.</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Peňažné prostriedky a ceniny</w:t>
      </w:r>
      <w:r w:rsidRPr="007F53F9">
        <w:rPr>
          <w:rFonts w:ascii="Times New Roman" w:hAnsi="Times New Roman" w:cs="Times New Roman"/>
          <w:sz w:val="24"/>
          <w:szCs w:val="24"/>
        </w:rPr>
        <w:t xml:space="preserve"> sa oceňujú menovitou hodnotou.</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Rezervy</w:t>
      </w:r>
      <w:r w:rsidRPr="007F53F9">
        <w:rPr>
          <w:rFonts w:ascii="Times New Roman" w:hAnsi="Times New Roman" w:cs="Times New Roman"/>
          <w:sz w:val="24"/>
          <w:szCs w:val="24"/>
        </w:rPr>
        <w:t xml:space="preserve"> sú záväzky s neurčitým časovým vymedzením alebo výškou a oceňujú sa v očakávanej výške záväzku alebo poistno-matematickými metódami.</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u w:val="single"/>
        </w:rPr>
        <w:t>Záväzky</w:t>
      </w:r>
      <w:r w:rsidRPr="007F53F9">
        <w:rPr>
          <w:rFonts w:ascii="Times New Roman" w:hAnsi="Times New Roman" w:cs="Times New Roman"/>
          <w:sz w:val="24"/>
          <w:szCs w:val="24"/>
        </w:rPr>
        <w:t xml:space="preserve"> sa pri ich vzniku oceňujú menovitou hodnotou a pri ich prevzatí sa oceňujú obstarávacou cenou. </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Účty </w:t>
      </w:r>
      <w:r w:rsidRPr="007F53F9">
        <w:rPr>
          <w:rFonts w:ascii="Times New Roman" w:hAnsi="Times New Roman" w:cs="Times New Roman"/>
          <w:sz w:val="24"/>
          <w:szCs w:val="24"/>
          <w:u w:val="single"/>
        </w:rPr>
        <w:t>časového rozlíšenia aktív a pasív</w:t>
      </w:r>
      <w:r w:rsidRPr="007F53F9">
        <w:rPr>
          <w:rFonts w:ascii="Times New Roman" w:hAnsi="Times New Roman" w:cs="Times New Roman"/>
          <w:sz w:val="24"/>
          <w:szCs w:val="24"/>
        </w:rPr>
        <w:t xml:space="preserve"> sú vykázané vo výške, ktorá je potrebná na dodržanie zásady vecnej a časovej súvislosti s účtovným obdobím.</w:t>
      </w:r>
    </w:p>
    <w:p w:rsidR="00581895" w:rsidRPr="00137D2C" w:rsidRDefault="00581895" w:rsidP="007F53F9">
      <w:pPr>
        <w:spacing w:line="360" w:lineRule="auto"/>
        <w:rPr>
          <w:rFonts w:ascii="Times New Roman" w:hAnsi="Times New Roman"/>
          <w:b/>
          <w:caps/>
          <w:lang w:val="sk-SK"/>
        </w:rPr>
      </w:pPr>
    </w:p>
    <w:p w:rsidR="00581895" w:rsidRPr="007F53F9" w:rsidRDefault="00581895" w:rsidP="007F53F9">
      <w:pPr>
        <w:spacing w:line="360" w:lineRule="auto"/>
        <w:rPr>
          <w:rFonts w:ascii="Times New Roman" w:hAnsi="Times New Roman"/>
          <w:b/>
          <w:caps/>
        </w:rPr>
      </w:pPr>
      <w:r w:rsidRPr="007F53F9">
        <w:rPr>
          <w:rFonts w:ascii="Times New Roman" w:hAnsi="Times New Roman"/>
          <w:b/>
          <w:caps/>
        </w:rPr>
        <w:t>Informácie o metódach a postupoch konsolidácie</w:t>
      </w:r>
    </w:p>
    <w:p w:rsidR="00581895" w:rsidRPr="007F53F9" w:rsidRDefault="00581895" w:rsidP="007F53F9">
      <w:pPr>
        <w:spacing w:line="360" w:lineRule="auto"/>
        <w:jc w:val="center"/>
        <w:rPr>
          <w:rFonts w:ascii="Times New Roman" w:hAnsi="Times New Roman"/>
          <w:b/>
        </w:rPr>
      </w:pPr>
    </w:p>
    <w:p w:rsidR="00581895" w:rsidRPr="007F53F9" w:rsidRDefault="00581895" w:rsidP="007F53F9">
      <w:pPr>
        <w:spacing w:line="360" w:lineRule="auto"/>
        <w:jc w:val="both"/>
        <w:rPr>
          <w:rFonts w:ascii="Times New Roman" w:hAnsi="Times New Roman"/>
        </w:rPr>
      </w:pPr>
      <w:r w:rsidRPr="007F53F9">
        <w:rPr>
          <w:rFonts w:ascii="Times New Roman" w:hAnsi="Times New Roman"/>
        </w:rPr>
        <w:t>Konsolidovaná  účtovná  závierka  Obce  Závod  bola z</w:t>
      </w:r>
      <w:r w:rsidR="007F53F9" w:rsidRPr="007F53F9">
        <w:rPr>
          <w:rFonts w:ascii="Times New Roman" w:hAnsi="Times New Roman"/>
        </w:rPr>
        <w:t xml:space="preserve">ostavená v súlade so zákonom </w:t>
      </w:r>
      <w:r w:rsidRPr="007F53F9">
        <w:rPr>
          <w:rFonts w:ascii="Times New Roman" w:hAnsi="Times New Roman"/>
        </w:rPr>
        <w:t xml:space="preserve">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7F53F9" w:rsidRPr="007F53F9" w:rsidRDefault="007F53F9" w:rsidP="007F53F9">
      <w:pPr>
        <w:spacing w:line="360" w:lineRule="auto"/>
        <w:jc w:val="both"/>
        <w:rPr>
          <w:rFonts w:ascii="Times New Roman" w:hAnsi="Times New Roman"/>
        </w:rPr>
      </w:pPr>
    </w:p>
    <w:p w:rsidR="00581895" w:rsidRPr="007F53F9" w:rsidRDefault="00581895" w:rsidP="007F53F9">
      <w:pPr>
        <w:spacing w:line="360" w:lineRule="auto"/>
        <w:jc w:val="both"/>
        <w:rPr>
          <w:rFonts w:ascii="Times New Roman" w:hAnsi="Times New Roman"/>
          <w:b/>
          <w:i/>
        </w:rPr>
      </w:pPr>
      <w:r w:rsidRPr="007F53F9">
        <w:rPr>
          <w:rFonts w:ascii="Times New Roman" w:hAnsi="Times New Roman"/>
          <w:b/>
          <w:i/>
        </w:rPr>
        <w:t>Zahrnutie konsolidovaných účtovných jednotiek do konsolidovanej účtovnej závierky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2000"/>
        <w:gridCol w:w="2000"/>
        <w:gridCol w:w="1686"/>
      </w:tblGrid>
      <w:tr w:rsidR="00581895" w:rsidRPr="007F53F9" w:rsidTr="00581895">
        <w:trPr>
          <w:jc w:val="center"/>
        </w:trPr>
        <w:tc>
          <w:tcPr>
            <w:tcW w:w="3756" w:type="dxa"/>
          </w:tcPr>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 xml:space="preserve">Názov resp. obchodné meno </w:t>
            </w:r>
          </w:p>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konsolidovanej účtovnej jednotky</w:t>
            </w:r>
          </w:p>
        </w:tc>
        <w:tc>
          <w:tcPr>
            <w:tcW w:w="2126" w:type="dxa"/>
          </w:tcPr>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 xml:space="preserve">Metóda </w:t>
            </w:r>
          </w:p>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úplnej konsolidácie</w:t>
            </w:r>
          </w:p>
        </w:tc>
        <w:tc>
          <w:tcPr>
            <w:tcW w:w="2126" w:type="dxa"/>
          </w:tcPr>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 xml:space="preserve">Metóda </w:t>
            </w:r>
          </w:p>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podielovej konsolidácie</w:t>
            </w:r>
          </w:p>
        </w:tc>
        <w:tc>
          <w:tcPr>
            <w:tcW w:w="1808" w:type="dxa"/>
          </w:tcPr>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 xml:space="preserve">Metóda </w:t>
            </w:r>
          </w:p>
          <w:p w:rsidR="00581895" w:rsidRPr="007F53F9" w:rsidRDefault="00581895" w:rsidP="007F53F9">
            <w:pPr>
              <w:spacing w:line="360" w:lineRule="auto"/>
              <w:jc w:val="center"/>
              <w:rPr>
                <w:rFonts w:ascii="Times New Roman" w:hAnsi="Times New Roman"/>
                <w:i/>
              </w:rPr>
            </w:pPr>
            <w:r w:rsidRPr="007F53F9">
              <w:rPr>
                <w:rFonts w:ascii="Times New Roman" w:hAnsi="Times New Roman"/>
                <w:i/>
              </w:rPr>
              <w:t>vlastného imania</w:t>
            </w:r>
          </w:p>
        </w:tc>
      </w:tr>
      <w:tr w:rsidR="00581895" w:rsidRPr="007F53F9" w:rsidTr="00581895">
        <w:trPr>
          <w:jc w:val="center"/>
        </w:trPr>
        <w:tc>
          <w:tcPr>
            <w:tcW w:w="3756" w:type="dxa"/>
          </w:tcPr>
          <w:p w:rsidR="00581895" w:rsidRPr="007F53F9" w:rsidRDefault="00581895" w:rsidP="007F53F9">
            <w:pPr>
              <w:spacing w:line="360" w:lineRule="auto"/>
              <w:jc w:val="center"/>
              <w:rPr>
                <w:rFonts w:ascii="Times New Roman" w:hAnsi="Times New Roman"/>
                <w:i/>
                <w:color w:val="0070C0"/>
              </w:rPr>
            </w:pPr>
            <w:r w:rsidRPr="007F53F9">
              <w:rPr>
                <w:rFonts w:ascii="Times New Roman" w:hAnsi="Times New Roman"/>
                <w:i/>
              </w:rPr>
              <w:t>Základná škola s materskou školou</w:t>
            </w:r>
          </w:p>
        </w:tc>
        <w:tc>
          <w:tcPr>
            <w:tcW w:w="2126" w:type="dxa"/>
          </w:tcPr>
          <w:p w:rsidR="00581895" w:rsidRPr="007F53F9" w:rsidRDefault="00581895" w:rsidP="007F53F9">
            <w:pPr>
              <w:spacing w:line="360" w:lineRule="auto"/>
              <w:jc w:val="both"/>
              <w:rPr>
                <w:rFonts w:ascii="Times New Roman" w:hAnsi="Times New Roman"/>
                <w:i/>
              </w:rPr>
            </w:pPr>
            <w:r w:rsidRPr="007F53F9">
              <w:rPr>
                <w:rFonts w:ascii="Times New Roman" w:hAnsi="Times New Roman"/>
                <w:i/>
              </w:rPr>
              <w:t>áno</w:t>
            </w:r>
          </w:p>
        </w:tc>
        <w:tc>
          <w:tcPr>
            <w:tcW w:w="2126" w:type="dxa"/>
          </w:tcPr>
          <w:p w:rsidR="00581895" w:rsidRPr="007F53F9" w:rsidRDefault="00581895" w:rsidP="007F53F9">
            <w:pPr>
              <w:spacing w:line="360" w:lineRule="auto"/>
              <w:jc w:val="both"/>
              <w:rPr>
                <w:rFonts w:ascii="Times New Roman" w:hAnsi="Times New Roman"/>
              </w:rPr>
            </w:pPr>
          </w:p>
        </w:tc>
        <w:tc>
          <w:tcPr>
            <w:tcW w:w="1808" w:type="dxa"/>
          </w:tcPr>
          <w:p w:rsidR="00581895" w:rsidRPr="007F53F9" w:rsidRDefault="00581895" w:rsidP="007F53F9">
            <w:pPr>
              <w:spacing w:line="360" w:lineRule="auto"/>
              <w:jc w:val="both"/>
              <w:rPr>
                <w:rFonts w:ascii="Times New Roman" w:hAnsi="Times New Roman"/>
              </w:rPr>
            </w:pPr>
          </w:p>
        </w:tc>
      </w:tr>
    </w:tbl>
    <w:p w:rsidR="00581895" w:rsidRPr="007F53F9" w:rsidRDefault="00581895" w:rsidP="007F53F9">
      <w:pPr>
        <w:spacing w:line="360" w:lineRule="auto"/>
        <w:jc w:val="both"/>
        <w:rPr>
          <w:rFonts w:ascii="Times New Roman" w:hAnsi="Times New Roman"/>
        </w:rPr>
      </w:pPr>
    </w:p>
    <w:p w:rsidR="00581895" w:rsidRPr="007F53F9" w:rsidRDefault="00581895" w:rsidP="007F53F9">
      <w:pPr>
        <w:spacing w:line="360" w:lineRule="auto"/>
        <w:jc w:val="both"/>
        <w:rPr>
          <w:rFonts w:ascii="Times New Roman" w:hAnsi="Times New Roman"/>
        </w:rPr>
      </w:pPr>
      <w:r w:rsidRPr="007F53F9">
        <w:rPr>
          <w:rFonts w:ascii="Times New Roman" w:hAnsi="Times New Roman"/>
        </w:rPr>
        <w:t>Metóda úplnej konsolidácie bola použitá pri dcérskej účtovnej jednotke.</w:t>
      </w:r>
    </w:p>
    <w:p w:rsidR="00581895" w:rsidRPr="007F53F9" w:rsidRDefault="00581895" w:rsidP="007F53F9">
      <w:pPr>
        <w:spacing w:line="360" w:lineRule="auto"/>
        <w:jc w:val="center"/>
        <w:rPr>
          <w:rFonts w:ascii="Times New Roman" w:hAnsi="Times New Roman"/>
          <w:b/>
          <w:i/>
        </w:rPr>
      </w:pPr>
    </w:p>
    <w:p w:rsidR="00581895" w:rsidRPr="007F53F9" w:rsidRDefault="00581895" w:rsidP="007F53F9">
      <w:pPr>
        <w:spacing w:line="360" w:lineRule="auto"/>
        <w:jc w:val="center"/>
        <w:rPr>
          <w:rFonts w:ascii="Times New Roman" w:hAnsi="Times New Roman"/>
          <w:b/>
          <w:i/>
        </w:rPr>
      </w:pPr>
    </w:p>
    <w:p w:rsidR="00581895" w:rsidRPr="007F53F9" w:rsidRDefault="00581895" w:rsidP="007F53F9">
      <w:pPr>
        <w:spacing w:line="360" w:lineRule="auto"/>
        <w:rPr>
          <w:rFonts w:ascii="Times New Roman" w:hAnsi="Times New Roman"/>
          <w:b/>
          <w:caps/>
        </w:rPr>
      </w:pPr>
      <w:r w:rsidRPr="007F53F9">
        <w:rPr>
          <w:rFonts w:ascii="Times New Roman" w:hAnsi="Times New Roman"/>
          <w:b/>
          <w:caps/>
        </w:rPr>
        <w:t>Informácie o údajoch aktív a pasív</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i/>
          <w:sz w:val="24"/>
          <w:szCs w:val="24"/>
        </w:rPr>
      </w:pPr>
      <w:r w:rsidRPr="007F53F9">
        <w:rPr>
          <w:rFonts w:ascii="Times New Roman" w:hAnsi="Times New Roman" w:cs="Times New Roman"/>
          <w:sz w:val="24"/>
          <w:szCs w:val="24"/>
        </w:rPr>
        <w:t xml:space="preserve">Prehľad pohybu dlhodobého nehmotného a dlhodobého hmotného majetku od 1. januára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do  31. decembra </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je uvedený v  tabuľkovej časti </w:t>
      </w:r>
      <w:r w:rsidRPr="007F53F9">
        <w:rPr>
          <w:rFonts w:ascii="Times New Roman" w:hAnsi="Times New Roman" w:cs="Times New Roman"/>
          <w:i/>
          <w:sz w:val="24"/>
          <w:szCs w:val="24"/>
        </w:rPr>
        <w:t>Poznámok.</w:t>
      </w:r>
    </w:p>
    <w:p w:rsidR="00581895" w:rsidRPr="007F53F9" w:rsidRDefault="00581895" w:rsidP="007F53F9">
      <w:pPr>
        <w:pStyle w:val="odstavec"/>
        <w:rPr>
          <w:rFonts w:ascii="Times New Roman" w:hAnsi="Times New Roman" w:cs="Times New Roman"/>
          <w:i/>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V rámci dlhodobého finančného  majetku vykazuje konsolidovaný celok</w:t>
      </w:r>
      <w:r w:rsidRPr="007F53F9">
        <w:rPr>
          <w:rFonts w:ascii="Times New Roman" w:hAnsi="Times New Roman" w:cs="Times New Roman"/>
          <w:color w:val="0070C0"/>
          <w:sz w:val="24"/>
          <w:szCs w:val="24"/>
        </w:rPr>
        <w:t xml:space="preserve"> </w:t>
      </w:r>
      <w:r w:rsidRPr="007F53F9">
        <w:rPr>
          <w:rFonts w:ascii="Times New Roman" w:hAnsi="Times New Roman" w:cs="Times New Roman"/>
          <w:sz w:val="24"/>
          <w:szCs w:val="24"/>
        </w:rPr>
        <w:t>akcie Bratislavskej vodárenskej spoločnosti, ktoré k 31.12.</w:t>
      </w:r>
      <w:r w:rsidR="0057553D">
        <w:rPr>
          <w:rFonts w:ascii="Times New Roman" w:hAnsi="Times New Roman" w:cs="Times New Roman"/>
          <w:sz w:val="24"/>
          <w:szCs w:val="24"/>
        </w:rPr>
        <w:t>2018</w:t>
      </w:r>
      <w:r w:rsidRPr="007F53F9">
        <w:rPr>
          <w:rFonts w:ascii="Times New Roman" w:hAnsi="Times New Roman" w:cs="Times New Roman"/>
          <w:sz w:val="24"/>
          <w:szCs w:val="24"/>
        </w:rPr>
        <w:t xml:space="preserve"> vykazujú hodnotu  959 489,71 eur (nezmenená čiastka oproti roku </w:t>
      </w:r>
      <w:r w:rsidR="0057553D">
        <w:rPr>
          <w:rFonts w:ascii="Times New Roman" w:hAnsi="Times New Roman" w:cs="Times New Roman"/>
          <w:sz w:val="24"/>
          <w:szCs w:val="24"/>
        </w:rPr>
        <w:t>2017</w:t>
      </w:r>
      <w:r w:rsidRPr="007F53F9">
        <w:rPr>
          <w:rFonts w:ascii="Times New Roman" w:hAnsi="Times New Roman" w:cs="Times New Roman"/>
          <w:sz w:val="24"/>
          <w:szCs w:val="24"/>
        </w:rPr>
        <w:t>).</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Najvýznamnejšou položkou pohľadávok sú pohľadávky </w:t>
      </w:r>
      <w:r w:rsidR="00BB50C1">
        <w:rPr>
          <w:rFonts w:ascii="Times New Roman" w:hAnsi="Times New Roman" w:cs="Times New Roman"/>
          <w:sz w:val="24"/>
          <w:szCs w:val="24"/>
        </w:rPr>
        <w:t xml:space="preserve">z </w:t>
      </w:r>
      <w:r w:rsidRPr="007F53F9">
        <w:rPr>
          <w:rFonts w:ascii="Times New Roman" w:hAnsi="Times New Roman" w:cs="Times New Roman"/>
          <w:sz w:val="24"/>
          <w:szCs w:val="24"/>
        </w:rPr>
        <w:t xml:space="preserve">nedaňových príjmov obce vo výške </w:t>
      </w:r>
      <w:r w:rsidR="00BB666E">
        <w:rPr>
          <w:rFonts w:ascii="Times New Roman" w:hAnsi="Times New Roman" w:cs="Times New Roman"/>
          <w:sz w:val="24"/>
          <w:szCs w:val="24"/>
        </w:rPr>
        <w:t>18 915,45</w:t>
      </w:r>
      <w:r w:rsidRPr="007F53F9">
        <w:rPr>
          <w:rFonts w:ascii="Times New Roman" w:hAnsi="Times New Roman" w:cs="Times New Roman"/>
          <w:sz w:val="24"/>
          <w:szCs w:val="24"/>
        </w:rPr>
        <w:t xml:space="preserve"> eur (v roku </w:t>
      </w:r>
      <w:r w:rsidR="0057553D">
        <w:rPr>
          <w:rFonts w:ascii="Times New Roman" w:hAnsi="Times New Roman" w:cs="Times New Roman"/>
          <w:sz w:val="24"/>
          <w:szCs w:val="24"/>
        </w:rPr>
        <w:t>2017</w:t>
      </w:r>
      <w:r w:rsidR="00BB50C1">
        <w:rPr>
          <w:rFonts w:ascii="Times New Roman" w:hAnsi="Times New Roman" w:cs="Times New Roman"/>
          <w:sz w:val="24"/>
          <w:szCs w:val="24"/>
        </w:rPr>
        <w:t xml:space="preserve"> </w:t>
      </w:r>
      <w:r w:rsidRPr="007F53F9">
        <w:rPr>
          <w:rFonts w:ascii="Times New Roman" w:hAnsi="Times New Roman" w:cs="Times New Roman"/>
          <w:sz w:val="24"/>
          <w:szCs w:val="24"/>
        </w:rPr>
        <w:t xml:space="preserve">to bolo </w:t>
      </w:r>
      <w:r w:rsidR="0057553D">
        <w:rPr>
          <w:rFonts w:ascii="Times New Roman" w:hAnsi="Times New Roman" w:cs="Times New Roman"/>
          <w:sz w:val="24"/>
          <w:szCs w:val="24"/>
        </w:rPr>
        <w:t>27 492,55</w:t>
      </w:r>
      <w:r w:rsidR="0057553D" w:rsidRPr="007F53F9">
        <w:rPr>
          <w:rFonts w:ascii="Times New Roman" w:hAnsi="Times New Roman" w:cs="Times New Roman"/>
          <w:sz w:val="24"/>
          <w:szCs w:val="24"/>
        </w:rPr>
        <w:t xml:space="preserve"> </w:t>
      </w:r>
      <w:r w:rsidRPr="007F53F9">
        <w:rPr>
          <w:rFonts w:ascii="Times New Roman" w:hAnsi="Times New Roman" w:cs="Times New Roman"/>
          <w:sz w:val="24"/>
          <w:szCs w:val="24"/>
        </w:rPr>
        <w:t>eur).</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pStyle w:val="odstavec"/>
        <w:rPr>
          <w:rFonts w:ascii="Times New Roman" w:hAnsi="Times New Roman" w:cs="Times New Roman"/>
          <w:sz w:val="24"/>
          <w:szCs w:val="24"/>
        </w:rPr>
      </w:pPr>
      <w:r w:rsidRPr="007F53F9">
        <w:rPr>
          <w:rFonts w:ascii="Times New Roman" w:hAnsi="Times New Roman" w:cs="Times New Roman"/>
          <w:sz w:val="24"/>
          <w:szCs w:val="24"/>
        </w:rPr>
        <w:t xml:space="preserve">Ako finančný majetok sú vykázané peňažné prostriedky v pokladnici a účty v bankách. Účtami v bankách môže konsolidovaný celok voľne disponovať v sume </w:t>
      </w:r>
      <w:r w:rsidR="00BB666E">
        <w:rPr>
          <w:rFonts w:ascii="Times New Roman" w:hAnsi="Times New Roman" w:cs="Times New Roman"/>
          <w:sz w:val="24"/>
          <w:szCs w:val="24"/>
        </w:rPr>
        <w:t>454 589</w:t>
      </w:r>
      <w:r w:rsidRPr="007F53F9">
        <w:rPr>
          <w:rFonts w:ascii="Times New Roman" w:hAnsi="Times New Roman" w:cs="Times New Roman"/>
          <w:sz w:val="24"/>
          <w:szCs w:val="24"/>
        </w:rPr>
        <w:t xml:space="preserve"> eur (v roku </w:t>
      </w:r>
      <w:r w:rsidR="0057553D">
        <w:rPr>
          <w:rFonts w:ascii="Times New Roman" w:hAnsi="Times New Roman" w:cs="Times New Roman"/>
          <w:sz w:val="24"/>
          <w:szCs w:val="24"/>
        </w:rPr>
        <w:t>2017</w:t>
      </w:r>
      <w:r w:rsidRPr="007F53F9">
        <w:rPr>
          <w:rFonts w:ascii="Times New Roman" w:hAnsi="Times New Roman" w:cs="Times New Roman"/>
          <w:sz w:val="24"/>
          <w:szCs w:val="24"/>
        </w:rPr>
        <w:t xml:space="preserve"> to bolo </w:t>
      </w:r>
      <w:r w:rsidR="0057553D">
        <w:rPr>
          <w:rFonts w:ascii="Times New Roman" w:hAnsi="Times New Roman" w:cs="Times New Roman"/>
          <w:sz w:val="24"/>
          <w:szCs w:val="24"/>
        </w:rPr>
        <w:t>418 824,94</w:t>
      </w:r>
      <w:r w:rsidR="0057553D" w:rsidRPr="007F53F9">
        <w:rPr>
          <w:rFonts w:ascii="Times New Roman" w:hAnsi="Times New Roman" w:cs="Times New Roman"/>
          <w:sz w:val="24"/>
          <w:szCs w:val="24"/>
        </w:rPr>
        <w:t xml:space="preserve"> </w:t>
      </w:r>
      <w:r w:rsidRPr="007F53F9">
        <w:rPr>
          <w:rFonts w:ascii="Times New Roman" w:hAnsi="Times New Roman" w:cs="Times New Roman"/>
          <w:sz w:val="24"/>
          <w:szCs w:val="24"/>
        </w:rPr>
        <w:t>eur).</w:t>
      </w:r>
    </w:p>
    <w:p w:rsidR="00581895" w:rsidRPr="007F53F9" w:rsidRDefault="00581895" w:rsidP="007F53F9">
      <w:pPr>
        <w:pStyle w:val="odstavec"/>
        <w:rPr>
          <w:rFonts w:ascii="Times New Roman" w:hAnsi="Times New Roman" w:cs="Times New Roman"/>
          <w:sz w:val="24"/>
          <w:szCs w:val="24"/>
        </w:rPr>
      </w:pPr>
    </w:p>
    <w:p w:rsidR="00581895" w:rsidRPr="00137D2C" w:rsidRDefault="00581895" w:rsidP="007F53F9">
      <w:pPr>
        <w:spacing w:line="360" w:lineRule="auto"/>
        <w:jc w:val="both"/>
        <w:rPr>
          <w:rFonts w:ascii="Times New Roman" w:hAnsi="Times New Roman"/>
          <w:lang w:val="sk-SK"/>
        </w:rPr>
      </w:pPr>
      <w:r w:rsidRPr="00137D2C">
        <w:rPr>
          <w:rFonts w:ascii="Times New Roman" w:hAnsi="Times New Roman"/>
          <w:lang w:val="sk-SK"/>
        </w:rPr>
        <w:t xml:space="preserve">Prehľad záväzkov podľa splatnosti je uvedený v tabuľkovej časti </w:t>
      </w:r>
      <w:r w:rsidRPr="00137D2C">
        <w:rPr>
          <w:rFonts w:ascii="Times New Roman" w:hAnsi="Times New Roman"/>
          <w:i/>
          <w:lang w:val="sk-SK"/>
        </w:rPr>
        <w:t>Poznámok.</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spacing w:line="360" w:lineRule="auto"/>
        <w:jc w:val="both"/>
        <w:rPr>
          <w:rFonts w:ascii="Times New Roman" w:hAnsi="Times New Roman"/>
        </w:rPr>
      </w:pPr>
      <w:r w:rsidRPr="007F53F9">
        <w:rPr>
          <w:rFonts w:ascii="Times New Roman" w:hAnsi="Times New Roman"/>
        </w:rPr>
        <w:t xml:space="preserve">Konsolidovaný celok vykazuje úvery vo </w:t>
      </w:r>
      <w:r w:rsidRPr="007F53F9">
        <w:rPr>
          <w:rFonts w:ascii="Times New Roman" w:hAnsi="Times New Roman"/>
          <w:shd w:val="clear" w:color="auto" w:fill="FFFFFF"/>
        </w:rPr>
        <w:t xml:space="preserve">výške </w:t>
      </w:r>
      <w:r w:rsidR="00BB666E">
        <w:rPr>
          <w:rFonts w:ascii="Times New Roman" w:hAnsi="Times New Roman"/>
          <w:shd w:val="clear" w:color="auto" w:fill="FFFFFF"/>
        </w:rPr>
        <w:t>88 860,48</w:t>
      </w:r>
      <w:r w:rsidRPr="007F53F9">
        <w:rPr>
          <w:rFonts w:ascii="Times New Roman" w:hAnsi="Times New Roman"/>
          <w:shd w:val="clear" w:color="auto" w:fill="FFFFFF"/>
        </w:rPr>
        <w:t xml:space="preserve"> eu</w:t>
      </w:r>
      <w:r w:rsidRPr="007F53F9">
        <w:rPr>
          <w:rFonts w:ascii="Times New Roman" w:hAnsi="Times New Roman"/>
        </w:rPr>
        <w:t xml:space="preserve">r (v roku </w:t>
      </w:r>
      <w:r w:rsidR="0057553D">
        <w:rPr>
          <w:rFonts w:ascii="Times New Roman" w:hAnsi="Times New Roman"/>
        </w:rPr>
        <w:t>2017</w:t>
      </w:r>
      <w:r w:rsidRPr="007F53F9">
        <w:rPr>
          <w:rFonts w:ascii="Times New Roman" w:hAnsi="Times New Roman"/>
        </w:rPr>
        <w:t xml:space="preserve"> to bolo                                </w:t>
      </w:r>
      <w:r w:rsidR="0057553D">
        <w:rPr>
          <w:rFonts w:ascii="Times New Roman" w:hAnsi="Times New Roman"/>
          <w:shd w:val="clear" w:color="auto" w:fill="FFFFFF"/>
        </w:rPr>
        <w:t>124 943,84</w:t>
      </w:r>
      <w:r w:rsidR="0057553D" w:rsidRPr="007F53F9">
        <w:rPr>
          <w:rFonts w:ascii="Times New Roman" w:hAnsi="Times New Roman"/>
          <w:shd w:val="clear" w:color="auto" w:fill="FFFFFF"/>
        </w:rPr>
        <w:t xml:space="preserve"> </w:t>
      </w:r>
      <w:r w:rsidRPr="007F53F9">
        <w:rPr>
          <w:rFonts w:ascii="Times New Roman" w:hAnsi="Times New Roman"/>
        </w:rPr>
        <w:t>eur).</w:t>
      </w:r>
    </w:p>
    <w:p w:rsidR="00581895" w:rsidRPr="007F53F9" w:rsidRDefault="00581895" w:rsidP="007F53F9">
      <w:pPr>
        <w:pStyle w:val="odstavec"/>
        <w:rPr>
          <w:rFonts w:ascii="Times New Roman" w:hAnsi="Times New Roman" w:cs="Times New Roman"/>
          <w:sz w:val="24"/>
          <w:szCs w:val="24"/>
        </w:rPr>
      </w:pPr>
    </w:p>
    <w:p w:rsidR="00581895" w:rsidRPr="007F53F9" w:rsidRDefault="00581895" w:rsidP="007F53F9">
      <w:pPr>
        <w:tabs>
          <w:tab w:val="left" w:pos="0"/>
          <w:tab w:val="left" w:pos="360"/>
          <w:tab w:val="left" w:pos="420"/>
        </w:tabs>
        <w:spacing w:line="360" w:lineRule="auto"/>
        <w:ind w:left="-14" w:firstLine="14"/>
        <w:rPr>
          <w:rFonts w:ascii="Times New Roman" w:hAnsi="Times New Roman"/>
          <w:b/>
          <w:caps/>
        </w:rPr>
      </w:pPr>
    </w:p>
    <w:p w:rsidR="00581895" w:rsidRPr="007F53F9" w:rsidRDefault="00581895" w:rsidP="007F53F9">
      <w:pPr>
        <w:tabs>
          <w:tab w:val="left" w:pos="0"/>
          <w:tab w:val="left" w:pos="360"/>
          <w:tab w:val="left" w:pos="420"/>
        </w:tabs>
        <w:spacing w:line="360" w:lineRule="auto"/>
        <w:ind w:left="-14" w:firstLine="14"/>
        <w:rPr>
          <w:rFonts w:ascii="Times New Roman" w:hAnsi="Times New Roman"/>
          <w:b/>
          <w:caps/>
        </w:rPr>
      </w:pPr>
      <w:r w:rsidRPr="007F53F9">
        <w:rPr>
          <w:rFonts w:ascii="Times New Roman" w:hAnsi="Times New Roman"/>
          <w:b/>
          <w:caps/>
        </w:rPr>
        <w:t>Informácie o výnosoch a nákladoch</w:t>
      </w:r>
    </w:p>
    <w:p w:rsidR="00581895" w:rsidRPr="007F53F9" w:rsidRDefault="00581895" w:rsidP="007F53F9">
      <w:pPr>
        <w:tabs>
          <w:tab w:val="left" w:pos="0"/>
          <w:tab w:val="left" w:pos="360"/>
          <w:tab w:val="left" w:pos="420"/>
        </w:tabs>
        <w:spacing w:line="360" w:lineRule="auto"/>
        <w:ind w:left="-14" w:hanging="70"/>
        <w:rPr>
          <w:rFonts w:ascii="Times New Roman" w:hAnsi="Times New Roman"/>
          <w:b/>
          <w:caps/>
        </w:rPr>
      </w:pPr>
    </w:p>
    <w:p w:rsidR="00581895" w:rsidRPr="007F53F9" w:rsidRDefault="00581895" w:rsidP="007F53F9">
      <w:pPr>
        <w:tabs>
          <w:tab w:val="left" w:pos="0"/>
          <w:tab w:val="left" w:pos="420"/>
        </w:tabs>
        <w:spacing w:line="360" w:lineRule="auto"/>
        <w:ind w:left="-14" w:firstLine="14"/>
        <w:jc w:val="both"/>
        <w:rPr>
          <w:rFonts w:ascii="Times New Roman" w:eastAsia="Calibri" w:hAnsi="Times New Roman"/>
        </w:rPr>
      </w:pPr>
      <w:r w:rsidRPr="007F53F9">
        <w:rPr>
          <w:rFonts w:ascii="Times New Roman" w:eastAsia="Calibri" w:hAnsi="Times New Roman"/>
        </w:rPr>
        <w:t xml:space="preserve">Z hľadiska kvantity sú najvýznamnejšími nákladmi osobné náklady vo výške  </w:t>
      </w:r>
      <w:r w:rsidR="00BB666E">
        <w:rPr>
          <w:rFonts w:ascii="Times New Roman" w:eastAsia="Calibri" w:hAnsi="Times New Roman"/>
        </w:rPr>
        <w:t>943 905,87</w:t>
      </w:r>
      <w:r w:rsidRPr="007F53F9">
        <w:rPr>
          <w:rFonts w:ascii="Times New Roman" w:eastAsia="Calibri" w:hAnsi="Times New Roman"/>
        </w:rPr>
        <w:t xml:space="preserve"> eur (v roku </w:t>
      </w:r>
      <w:r w:rsidR="0057553D">
        <w:rPr>
          <w:rFonts w:ascii="Times New Roman" w:eastAsia="Calibri" w:hAnsi="Times New Roman"/>
        </w:rPr>
        <w:t>2017</w:t>
      </w:r>
      <w:r w:rsidRPr="007F53F9">
        <w:rPr>
          <w:rFonts w:ascii="Times New Roman" w:eastAsia="Calibri" w:hAnsi="Times New Roman"/>
        </w:rPr>
        <w:t xml:space="preserve"> to bolo  </w:t>
      </w:r>
      <w:r w:rsidR="0057553D">
        <w:rPr>
          <w:rFonts w:ascii="Times New Roman" w:eastAsia="Calibri" w:hAnsi="Times New Roman"/>
        </w:rPr>
        <w:t>856 466,19</w:t>
      </w:r>
      <w:r w:rsidR="0057553D" w:rsidRPr="007F53F9">
        <w:rPr>
          <w:rFonts w:ascii="Times New Roman" w:eastAsia="Calibri" w:hAnsi="Times New Roman"/>
        </w:rPr>
        <w:t xml:space="preserve"> </w:t>
      </w:r>
      <w:r w:rsidRPr="007F53F9">
        <w:rPr>
          <w:rFonts w:ascii="Times New Roman" w:eastAsia="Calibri" w:hAnsi="Times New Roman"/>
        </w:rPr>
        <w:t xml:space="preserve">eur). </w:t>
      </w:r>
    </w:p>
    <w:p w:rsidR="00581895" w:rsidRPr="007F53F9" w:rsidRDefault="00581895" w:rsidP="007F53F9">
      <w:pPr>
        <w:tabs>
          <w:tab w:val="left" w:pos="0"/>
          <w:tab w:val="left" w:pos="360"/>
          <w:tab w:val="left" w:pos="420"/>
        </w:tabs>
        <w:spacing w:line="360" w:lineRule="auto"/>
        <w:ind w:left="-14" w:hanging="70"/>
        <w:rPr>
          <w:rFonts w:ascii="Times New Roman" w:hAnsi="Times New Roman"/>
          <w:b/>
          <w:caps/>
        </w:rPr>
      </w:pPr>
    </w:p>
    <w:p w:rsidR="00581895" w:rsidRPr="007F53F9" w:rsidRDefault="00581895" w:rsidP="007F53F9">
      <w:pPr>
        <w:tabs>
          <w:tab w:val="left" w:pos="0"/>
          <w:tab w:val="left" w:pos="360"/>
          <w:tab w:val="left" w:pos="420"/>
        </w:tabs>
        <w:spacing w:line="360" w:lineRule="auto"/>
        <w:ind w:left="-14" w:firstLine="14"/>
        <w:jc w:val="both"/>
        <w:rPr>
          <w:rFonts w:ascii="Times New Roman" w:hAnsi="Times New Roman"/>
        </w:rPr>
      </w:pPr>
      <w:r w:rsidRPr="007F53F9">
        <w:rPr>
          <w:rFonts w:ascii="Times New Roman" w:hAnsi="Times New Roman"/>
        </w:rPr>
        <w:t xml:space="preserve"> Najvýznamnejšími výnosmi sú daňové výnosy vo výške </w:t>
      </w:r>
      <w:r w:rsidR="00BB666E">
        <w:rPr>
          <w:rFonts w:ascii="Times New Roman" w:hAnsi="Times New Roman"/>
        </w:rPr>
        <w:t>967 700,14</w:t>
      </w:r>
      <w:r w:rsidRPr="007F53F9">
        <w:rPr>
          <w:rFonts w:ascii="Times New Roman" w:hAnsi="Times New Roman"/>
        </w:rPr>
        <w:t xml:space="preserve"> eur (v roku </w:t>
      </w:r>
      <w:r w:rsidR="0057553D">
        <w:rPr>
          <w:rFonts w:ascii="Times New Roman" w:hAnsi="Times New Roman"/>
        </w:rPr>
        <w:t>2017</w:t>
      </w:r>
      <w:r w:rsidRPr="007F53F9">
        <w:rPr>
          <w:rFonts w:ascii="Times New Roman" w:hAnsi="Times New Roman"/>
        </w:rPr>
        <w:t xml:space="preserve"> to bolo </w:t>
      </w:r>
      <w:r w:rsidR="0057553D">
        <w:rPr>
          <w:rFonts w:ascii="Times New Roman" w:hAnsi="Times New Roman"/>
        </w:rPr>
        <w:t>881 031,550</w:t>
      </w:r>
      <w:r w:rsidR="0057553D" w:rsidRPr="007F53F9">
        <w:rPr>
          <w:rFonts w:ascii="Times New Roman" w:hAnsi="Times New Roman"/>
        </w:rPr>
        <w:t xml:space="preserve"> </w:t>
      </w:r>
      <w:r w:rsidRPr="007F53F9">
        <w:rPr>
          <w:rFonts w:ascii="Times New Roman" w:hAnsi="Times New Roman"/>
        </w:rPr>
        <w:t xml:space="preserve">eur) a výnosy zo zúčtovania transferov bežných aj kapitálových od subjektov verejnej správy vrátane štátneho rozpočtu, a to vo výške </w:t>
      </w:r>
      <w:r w:rsidR="00BB666E">
        <w:rPr>
          <w:rFonts w:ascii="Times New Roman" w:hAnsi="Times New Roman"/>
        </w:rPr>
        <w:t>638 021,59</w:t>
      </w:r>
      <w:r w:rsidRPr="007F53F9">
        <w:rPr>
          <w:rFonts w:ascii="Times New Roman" w:hAnsi="Times New Roman"/>
        </w:rPr>
        <w:t xml:space="preserve"> eur (v roku </w:t>
      </w:r>
      <w:r w:rsidR="0057553D">
        <w:rPr>
          <w:rFonts w:ascii="Times New Roman" w:hAnsi="Times New Roman"/>
        </w:rPr>
        <w:t>2017</w:t>
      </w:r>
      <w:r w:rsidRPr="007F53F9">
        <w:rPr>
          <w:rFonts w:ascii="Times New Roman" w:hAnsi="Times New Roman"/>
        </w:rPr>
        <w:t xml:space="preserve"> to bolo </w:t>
      </w:r>
      <w:r w:rsidR="0057553D">
        <w:rPr>
          <w:rFonts w:ascii="Times New Roman" w:hAnsi="Times New Roman"/>
        </w:rPr>
        <w:t>565 875,35</w:t>
      </w:r>
      <w:r w:rsidR="0057553D" w:rsidRPr="007F53F9">
        <w:rPr>
          <w:rFonts w:ascii="Times New Roman" w:hAnsi="Times New Roman"/>
        </w:rPr>
        <w:t xml:space="preserve"> </w:t>
      </w:r>
      <w:r w:rsidRPr="007F53F9">
        <w:rPr>
          <w:rFonts w:ascii="Times New Roman" w:hAnsi="Times New Roman"/>
        </w:rPr>
        <w:t xml:space="preserve">eur). </w:t>
      </w:r>
    </w:p>
    <w:p w:rsidR="00581895" w:rsidRPr="007F53F9" w:rsidRDefault="00581895" w:rsidP="007F53F9">
      <w:pPr>
        <w:tabs>
          <w:tab w:val="left" w:pos="0"/>
          <w:tab w:val="left" w:pos="360"/>
          <w:tab w:val="left" w:pos="420"/>
        </w:tabs>
        <w:spacing w:line="360" w:lineRule="auto"/>
        <w:ind w:left="-14" w:hanging="128"/>
        <w:jc w:val="both"/>
        <w:rPr>
          <w:rFonts w:ascii="Times New Roman" w:hAnsi="Times New Roman"/>
        </w:rPr>
      </w:pPr>
      <w:r w:rsidRPr="007F53F9">
        <w:rPr>
          <w:rFonts w:ascii="Times New Roman" w:hAnsi="Times New Roman"/>
        </w:rPr>
        <w:t xml:space="preserve"> </w:t>
      </w:r>
    </w:p>
    <w:p w:rsidR="00581895" w:rsidRPr="007F53F9" w:rsidRDefault="00581895" w:rsidP="007F53F9">
      <w:pPr>
        <w:tabs>
          <w:tab w:val="left" w:pos="0"/>
          <w:tab w:val="left" w:pos="360"/>
          <w:tab w:val="left" w:pos="420"/>
        </w:tabs>
        <w:spacing w:line="360" w:lineRule="auto"/>
        <w:ind w:left="-14" w:hanging="128"/>
        <w:jc w:val="both"/>
        <w:rPr>
          <w:rFonts w:ascii="Times New Roman" w:hAnsi="Times New Roman"/>
        </w:rPr>
      </w:pPr>
    </w:p>
    <w:p w:rsidR="00581895" w:rsidRPr="007F53F9" w:rsidRDefault="00581895" w:rsidP="007F53F9">
      <w:pPr>
        <w:tabs>
          <w:tab w:val="left" w:pos="0"/>
          <w:tab w:val="left" w:pos="360"/>
          <w:tab w:val="left" w:pos="420"/>
        </w:tabs>
        <w:spacing w:line="360" w:lineRule="auto"/>
        <w:ind w:left="-14" w:hanging="128"/>
        <w:jc w:val="both"/>
        <w:rPr>
          <w:rFonts w:ascii="Times New Roman" w:hAnsi="Times New Roman"/>
        </w:rPr>
      </w:pPr>
    </w:p>
    <w:p w:rsidR="00581895" w:rsidRPr="007F53F9" w:rsidRDefault="00581895" w:rsidP="007F53F9">
      <w:pPr>
        <w:tabs>
          <w:tab w:val="left" w:pos="0"/>
          <w:tab w:val="left" w:pos="360"/>
          <w:tab w:val="left" w:pos="420"/>
        </w:tabs>
        <w:spacing w:line="360" w:lineRule="auto"/>
        <w:ind w:left="-14" w:firstLine="14"/>
        <w:rPr>
          <w:rFonts w:ascii="Times New Roman" w:hAnsi="Times New Roman"/>
          <w:b/>
        </w:rPr>
      </w:pPr>
      <w:r w:rsidRPr="007F53F9">
        <w:rPr>
          <w:rFonts w:ascii="Times New Roman" w:hAnsi="Times New Roman"/>
          <w:b/>
        </w:rPr>
        <w:t>INFORMÁCIE NA PODSÚVAHOVÝCH ÚČTOCH</w:t>
      </w:r>
    </w:p>
    <w:p w:rsidR="00581895" w:rsidRPr="007F53F9" w:rsidRDefault="00581895" w:rsidP="007F53F9">
      <w:pPr>
        <w:tabs>
          <w:tab w:val="left" w:pos="0"/>
          <w:tab w:val="left" w:pos="360"/>
          <w:tab w:val="left" w:pos="420"/>
        </w:tabs>
        <w:spacing w:line="360" w:lineRule="auto"/>
        <w:ind w:left="-14" w:firstLine="14"/>
        <w:rPr>
          <w:rFonts w:ascii="Times New Roman" w:hAnsi="Times New Roman"/>
        </w:rPr>
      </w:pPr>
      <w:r w:rsidRPr="007F53F9">
        <w:rPr>
          <w:rFonts w:ascii="Times New Roman" w:hAnsi="Times New Roman"/>
        </w:rPr>
        <w:t xml:space="preserve">Konsolidovaný celok účtuje na podsúvahových účtoch majetok v hodnote </w:t>
      </w:r>
      <w:r w:rsidR="00BB666E">
        <w:rPr>
          <w:rFonts w:ascii="Times New Roman" w:hAnsi="Times New Roman"/>
        </w:rPr>
        <w:t>2 307 160,75</w:t>
      </w:r>
      <w:r w:rsidRPr="007F53F9">
        <w:rPr>
          <w:rFonts w:ascii="Times New Roman" w:hAnsi="Times New Roman"/>
        </w:rPr>
        <w:t xml:space="preserve"> eur (v roku </w:t>
      </w:r>
      <w:r w:rsidR="0057553D">
        <w:rPr>
          <w:rFonts w:ascii="Times New Roman" w:hAnsi="Times New Roman"/>
        </w:rPr>
        <w:t>2017</w:t>
      </w:r>
      <w:r w:rsidRPr="007F53F9">
        <w:rPr>
          <w:rFonts w:ascii="Times New Roman" w:hAnsi="Times New Roman"/>
        </w:rPr>
        <w:t xml:space="preserve"> to bolo </w:t>
      </w:r>
      <w:r w:rsidR="0057553D">
        <w:rPr>
          <w:rFonts w:ascii="Times New Roman" w:hAnsi="Times New Roman"/>
        </w:rPr>
        <w:t>2 310 027,10</w:t>
      </w:r>
      <w:r w:rsidR="0057553D" w:rsidRPr="007F53F9">
        <w:rPr>
          <w:rFonts w:ascii="Times New Roman" w:hAnsi="Times New Roman"/>
        </w:rPr>
        <w:t xml:space="preserve"> </w:t>
      </w:r>
      <w:r w:rsidRPr="007F53F9">
        <w:rPr>
          <w:rFonts w:ascii="Times New Roman" w:hAnsi="Times New Roman"/>
        </w:rPr>
        <w:t>eur).</w:t>
      </w:r>
    </w:p>
    <w:p w:rsidR="00581895" w:rsidRPr="007F53F9" w:rsidRDefault="00581895" w:rsidP="007F53F9">
      <w:pPr>
        <w:tabs>
          <w:tab w:val="left" w:pos="0"/>
          <w:tab w:val="left" w:pos="360"/>
          <w:tab w:val="left" w:pos="420"/>
        </w:tabs>
        <w:spacing w:line="360" w:lineRule="auto"/>
        <w:ind w:left="-14" w:hanging="70"/>
        <w:rPr>
          <w:rFonts w:ascii="Times New Roman" w:hAnsi="Times New Roman"/>
          <w:b/>
        </w:rPr>
      </w:pPr>
    </w:p>
    <w:p w:rsidR="00581895" w:rsidRDefault="00581895" w:rsidP="007F53F9">
      <w:pPr>
        <w:tabs>
          <w:tab w:val="left" w:pos="0"/>
          <w:tab w:val="left" w:pos="360"/>
          <w:tab w:val="left" w:pos="420"/>
        </w:tabs>
        <w:spacing w:line="360" w:lineRule="auto"/>
        <w:ind w:left="-14" w:firstLine="14"/>
        <w:jc w:val="both"/>
        <w:rPr>
          <w:rFonts w:ascii="Times New Roman" w:hAnsi="Times New Roman"/>
          <w:b/>
        </w:rPr>
      </w:pPr>
      <w:r w:rsidRPr="007F53F9">
        <w:rPr>
          <w:rFonts w:ascii="Times New Roman" w:hAnsi="Times New Roman"/>
          <w:b/>
        </w:rPr>
        <w:t>SKUTOČNOSTI, KTORÉ NASTALI PO DNI, KU KTORÉMU SA ZOSTAVUJE KONSOLIDOVANA ÚČTOVNÁ ZÁVIERKA, DO DŇA JEJ ZOSTAVENIA</w:t>
      </w:r>
    </w:p>
    <w:p w:rsidR="00BB666E" w:rsidRPr="007F53F9" w:rsidRDefault="00BB666E" w:rsidP="007F53F9">
      <w:pPr>
        <w:tabs>
          <w:tab w:val="left" w:pos="0"/>
          <w:tab w:val="left" w:pos="360"/>
          <w:tab w:val="left" w:pos="420"/>
        </w:tabs>
        <w:spacing w:line="360" w:lineRule="auto"/>
        <w:ind w:left="-14" w:firstLine="14"/>
        <w:jc w:val="both"/>
        <w:rPr>
          <w:rFonts w:ascii="Times New Roman" w:hAnsi="Times New Roman"/>
          <w:b/>
        </w:rPr>
      </w:pPr>
    </w:p>
    <w:p w:rsidR="00BB666E" w:rsidRPr="00BB666E" w:rsidRDefault="00BB666E" w:rsidP="00BB666E">
      <w:pPr>
        <w:spacing w:line="360" w:lineRule="auto"/>
        <w:jc w:val="both"/>
        <w:rPr>
          <w:rFonts w:ascii="Times New Roman" w:hAnsi="Times New Roman"/>
          <w:b/>
        </w:rPr>
      </w:pPr>
      <w:r w:rsidRPr="00BB666E">
        <w:rPr>
          <w:rFonts w:ascii="Times New Roman" w:hAnsi="Times New Roman"/>
          <w:b/>
        </w:rPr>
        <w:t>Prvý súdny spor:</w:t>
      </w: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Obec vedie súdny spor  v právnej veci zložiteľa: Obec Závod, pre príjemcu v 1. rade: BCI, a.s., v 2. rade: OHL ŽS SK, a.s., pre príjemcu v 3. rade: TuCon a.s., príjemcu v 4.rade: UNISTAV spol. s r.o. o vydanie predmetu úschovy. Uznesením Okresného súdu Žilina zo dňa 11.1.2017 (spis. zn. 15U/2/2014) obec právoplatne zložila peňažné prostriedky vo výške 2.160.712,65 € do úschovy súdu. Okresný súd Žilina opakovane zamietol žiadosť jednotlivých príjemcov o vydanie predmetu úschovy. Všetci označení príjemcovia sa voči rozhodnutiu odvolali. Na základe uvedeného bude o rozhodnutí súdu prvého stupňa rozhodovať Krajský súd v Žiline. Súdny spor naďalej trvá.  </w:t>
      </w:r>
    </w:p>
    <w:p w:rsidR="00BB666E" w:rsidRPr="00BB666E" w:rsidRDefault="00BB666E" w:rsidP="00BB666E">
      <w:pPr>
        <w:spacing w:line="360" w:lineRule="auto"/>
        <w:jc w:val="both"/>
        <w:rPr>
          <w:rFonts w:ascii="Times New Roman" w:hAnsi="Times New Roman"/>
        </w:rPr>
      </w:pPr>
    </w:p>
    <w:p w:rsidR="00BB666E" w:rsidRPr="00BB666E" w:rsidRDefault="00BB666E" w:rsidP="00BB666E">
      <w:pPr>
        <w:spacing w:line="360" w:lineRule="auto"/>
        <w:jc w:val="both"/>
        <w:rPr>
          <w:rFonts w:ascii="Times New Roman" w:hAnsi="Times New Roman"/>
          <w:b/>
        </w:rPr>
      </w:pPr>
      <w:r w:rsidRPr="00BB666E">
        <w:rPr>
          <w:rFonts w:ascii="Times New Roman" w:hAnsi="Times New Roman"/>
          <w:b/>
        </w:rPr>
        <w:t xml:space="preserve">Druhý súdny spor: </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Podrobný popis súdneho sporu: </w:t>
      </w:r>
      <w:r w:rsidRPr="00BB666E">
        <w:rPr>
          <w:rFonts w:ascii="Times New Roman" w:hAnsi="Times New Roman"/>
        </w:rPr>
        <w:t>10Cb 106/2017 - Okresný súd Malacky: žalobca: BCI, a.s. spoločnosť so sídlom Mydlárska 8718/7A, 010 01  Žilina, zapísaná v obchodnom registri Okresného súdu Žilina, odd.: Sa, vložka č. 237/L, IČO: 31617794 – žalovaná Obec Závod</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Štádium rozpracovania súdneho sporu: </w:t>
      </w:r>
      <w:r w:rsidRPr="00BB666E">
        <w:rPr>
          <w:rFonts w:ascii="Times New Roman" w:hAnsi="Times New Roman"/>
        </w:rPr>
        <w:t>Po podaní žaloby sa k žalobe vyjadril žalovaný. Očakávajú sa ďalšie vyjadrenia strán v konaní a nariadenie prvého pojednávania vo veci.</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Dátum vzniku súdneho sporu: </w:t>
      </w:r>
      <w:r w:rsidRPr="00BB666E">
        <w:rPr>
          <w:rFonts w:ascii="Times New Roman" w:hAnsi="Times New Roman"/>
        </w:rPr>
        <w:t>Žaloba bola podaná žalobcom na súde dňa 13.07.2017</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Čiastka o ktorú sa vedie súdny spor: </w:t>
      </w:r>
      <w:r w:rsidRPr="00BB666E">
        <w:rPr>
          <w:rFonts w:ascii="Times New Roman" w:hAnsi="Times New Roman"/>
        </w:rPr>
        <w:t>2.182.562,12 EUR s príslušenstvom</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Vyčíslenie celkových nákladov, ktoré vyplynú zo súdneho sporu - výška očakávaného plnenia: </w:t>
      </w:r>
      <w:r w:rsidRPr="00BB666E">
        <w:rPr>
          <w:rFonts w:ascii="Times New Roman" w:hAnsi="Times New Roman"/>
        </w:rPr>
        <w:t xml:space="preserve">V prípade prehry v spore bude žalovaný zaviazaný max. na úhradu žalovanej sumy s jej príslušenstvom. Je potrebné uviesť, že suma vo výške 2.160.712,65 EUR je zložená v súdnej úschove Okresného súdu Žilina. V prípade prehry sa žalobca bude usilovať sa uspokojiť tak, že požiada o vydanie peňažných prostriedkov zložených v súdnej úschovy.    </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 xml:space="preserve">Percento pravdepodobnosti prehry súdneho sporu: </w:t>
      </w:r>
      <w:r w:rsidRPr="00BB666E">
        <w:rPr>
          <w:rFonts w:ascii="Times New Roman" w:hAnsi="Times New Roman"/>
        </w:rPr>
        <w:t xml:space="preserve">30% </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lastRenderedPageBreak/>
        <w:t>Predmet sporu:</w:t>
      </w:r>
      <w:r w:rsidRPr="00BB666E">
        <w:rPr>
          <w:rFonts w:ascii="Times New Roman" w:hAnsi="Times New Roman"/>
        </w:rPr>
        <w:t xml:space="preserve"> žalobca pre Obec Závod zhotovil dielo – „Závod – kanalizácia II. etapa“ na základe uzatvorenej zmluvy o dielo č. 2/2012 zo dňa 17.09.2012, v znení jej dodatku č. 1. Žalobca sa žalobou zo dňa 13.07.2017 domáha zaplatenia sumy 2.182.562,12 EUR s príslušenstvom.</w:t>
      </w: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Žalobca na zhotovenie diela využíval hlavných subdodávateľov, spoločnosti OHL Pozemné stavby a.s. (teraz OHL ŽS SK, a.s.), UNISTAV spol. s r.o. a TuCon, a.s. (ďalej ako subdodávatelia). </w:t>
      </w: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Žalovanému bolo oznámené, že došlo k postúpeniu pohľadávok zo žalobcu na subdodávateľov. Neskôr zmluvy o postúpení žalobca spochybnil a označil ich za neplatné. Keďže žalovaný bol v stave právnej neistoty ohľadom toho, kto je veriteľom, návrhom zo dňa 21.03.2014 podal na Okresný súd Žilina návrh na prijatie peňažných prostriedkov do súdnej úschovy (konanie spis.zn.15U/2/2014). Okresný súd Žilina považoval spornosť ohľadom toho, kto je veriteľom pohľadávky za danú a prijal prostriedky vo výške 2 160 712,65 EUR do súdnej úschovy. Okresný súd Žilina vydá zložené prostriedky tomu subjektu, ktorý preukáže, že je oprávnený na ich obdržanie. Nakoľko úschova je nesporovým konaním, Okresný súd Žilina nemôže sám rozhodnúť o tom, ktorý subjekt takéto oprávnenie má alebo nemá. </w:t>
      </w: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Spornosť práva sa rozhodol žalobca odstrániť tak, že podal na žalovaného žalobu, ktorá je predmetom prebiehajúceho súdneho konania pred Okresným súdom Malacky. </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Nárok:</w:t>
      </w:r>
      <w:r w:rsidRPr="00BB666E">
        <w:rPr>
          <w:rFonts w:ascii="Times New Roman" w:hAnsi="Times New Roman"/>
        </w:rPr>
        <w:t xml:space="preserve"> 2.182.562,12 Eur s príslušenstvom pozostávajúci z 2.157.396,76 EUR – neuhradená časť faktúry, úrok z omeškania vo výške 9,25% ročne zo sumy 383 922,87 EUR od 04.01.2014 do 31.03.2014, ktorý predstavuje sumu 8.464,71 EUR a zmluvná pokuta vo výške 0,05% denne zo sumy 383.922,87 EUR od 04.01.2014 do 31.03.2014, ktorá predstavuje sumu 16.700,65 EUR.</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Stav k 31.12.2018:</w:t>
      </w:r>
      <w:r w:rsidRPr="00BB666E">
        <w:rPr>
          <w:rFonts w:ascii="Times New Roman" w:hAnsi="Times New Roman"/>
        </w:rPr>
        <w:t xml:space="preserve"> Po vyjadrení strán sporu súd vytýčil vo veci prvé pojednávanie. Termín prvého pojednávania bol stanovený na 17.4.2019.</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Stanovisko v spore</w:t>
      </w:r>
      <w:r w:rsidRPr="00BB666E">
        <w:rPr>
          <w:rFonts w:ascii="Times New Roman" w:hAnsi="Times New Roman"/>
        </w:rPr>
        <w:t xml:space="preserve">: Žalovaný: </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 xml:space="preserve">poukazuje na existujúcu spornosť otázky kto je veriteľom, t.j. oprávneným subjektom na plnenie žalovanej sumy, </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 xml:space="preserve">popiera, že žalobca preukázal, že je z titulu jeho hmotnoprávneho postavenia veriteľom žalovaného, </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upozorňuje na skutočnosť, že žalovaný zložil do súdnej úschovy peňažné prostriedky, ktorých sa domáha žalobca v časti jeho nároku vo výške 2 157 396,76 EUR, čím došlo k splneniu záväzku.</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lastRenderedPageBreak/>
        <w:t>Posúdenie pravdepodobnosti priaznivého alebo nepriaznivého výsledku:</w:t>
      </w:r>
      <w:r w:rsidRPr="00BB666E">
        <w:rPr>
          <w:rFonts w:ascii="Times New Roman" w:hAnsi="Times New Roman"/>
        </w:rPr>
        <w:t xml:space="preserve"> mieru možného úspechu žalovaného v spore je možné ohodnotiť na 70%</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Odhad čiastky alebo rozsahu možnej straty:</w:t>
      </w:r>
      <w:r w:rsidRPr="00BB666E">
        <w:rPr>
          <w:rFonts w:ascii="Times New Roman" w:hAnsi="Times New Roman"/>
        </w:rPr>
        <w:t xml:space="preserve"> Okresný súd Žilina prijal prostriedky vo výške 2 160 712,65 EUR do súdnej úschovy, t.j. v prípade prehry v spore pred Okresným súdom Malacky, bude mať žalobca záujem sa uspokojiť z týchto prostriedkov. </w:t>
      </w: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Súdny spor naďalej trvá.  </w:t>
      </w:r>
    </w:p>
    <w:p w:rsidR="00BB666E" w:rsidRPr="00BB666E" w:rsidRDefault="00BB666E" w:rsidP="00BB666E">
      <w:pPr>
        <w:spacing w:line="360" w:lineRule="auto"/>
        <w:jc w:val="both"/>
        <w:rPr>
          <w:rFonts w:ascii="Times New Roman" w:hAnsi="Times New Roman"/>
        </w:rPr>
      </w:pPr>
    </w:p>
    <w:p w:rsidR="00BB666E" w:rsidRPr="00BB666E" w:rsidRDefault="00BB666E" w:rsidP="00BB666E">
      <w:pPr>
        <w:spacing w:line="360" w:lineRule="auto"/>
        <w:jc w:val="both"/>
        <w:rPr>
          <w:rFonts w:ascii="Times New Roman" w:hAnsi="Times New Roman"/>
          <w:b/>
        </w:rPr>
      </w:pPr>
      <w:r w:rsidRPr="00BB666E">
        <w:rPr>
          <w:rFonts w:ascii="Times New Roman" w:hAnsi="Times New Roman"/>
          <w:b/>
        </w:rPr>
        <w:t>Tretí súdny spor:</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Podrobný popis súdneho sporu:</w:t>
      </w:r>
      <w:r w:rsidRPr="00BB666E">
        <w:rPr>
          <w:rFonts w:ascii="Times New Roman" w:hAnsi="Times New Roman"/>
        </w:rPr>
        <w:t xml:space="preserve"> 31C 187/2018 – Okresný súd Malacky: žalobca 1. TuCon, a. s., IČO: 44 802 030, so sídlom K cintorínu 63, 010 04  Žilina, 2. UNISTAV spol. s r. o., IČO: 31 409 539, so sídlom Priemyselná 279, 905 01 Senica, 3. OHL ŽS Slovakia, a. s., IČO: 31 365 701, so sídlom Tuhovská 10722/29, 831 06  Bratislava – Rača – žalovaná Obec Závod.</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Opis charakteru súdneho sporu:</w:t>
      </w:r>
      <w:r w:rsidRPr="00BB666E">
        <w:rPr>
          <w:rFonts w:ascii="Times New Roman" w:hAnsi="Times New Roman"/>
        </w:rPr>
        <w:t xml:space="preserve"> o určenie vlastníckeho práva k nehnuteľnosti</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Predmet sporu:</w:t>
      </w:r>
      <w:r w:rsidRPr="00BB666E">
        <w:rPr>
          <w:rFonts w:ascii="Times New Roman" w:hAnsi="Times New Roman"/>
        </w:rPr>
        <w:t xml:space="preserve"> Žalobca sa žalobou zo dňa 29.6.2018 domáha určenia vlastníckeho práva k nehnuteľnosti, diela – stavba „Závod – kanalizácia II. etapa.“ Medzi žalobcami a tretím subjektom (BCI, a. s. ako hlavný zhotoviteľ diela) existoval a existuje spor o platnosť zmlúv o postúpení pohľadávky. Napriek spornosti tejto otázky sa žalobcovia domáhajú touto žalobou určenia, že k Dielu majú vlastnícke právo, keďže medzi žalobcami a BCI, a. s. bola dohodnutá výhrada vlastníckeho práva. BCI, a. s. teda mohlo nadobudnúť vlastnícke právo k dielu iba po úhrade zmluvnej ceny dohodnutej subdodávateľmi. Žalobcovia tvrdia, že nakoľko BCI, a. s. nenadobudlo vlastnícke právo k dielu kvôli nesplneniu záväzku uhradenia zmluvnej ceny, nemohlo toto prejsť ani na žalovaného.</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Stav k 31.12.2018:</w:t>
      </w:r>
      <w:r w:rsidRPr="00BB666E">
        <w:rPr>
          <w:rFonts w:ascii="Times New Roman" w:hAnsi="Times New Roman"/>
        </w:rPr>
        <w:t xml:space="preserve"> Konanie sa nachádza vo svojej úvodnej fáze – súd doručil žalovanému žalobu, ku ktorej sa vyjadril. V rámci procesného postupu by sa pred nariadením prvého pojednávania vo veci mal ešte vyjadriť žalobca a následnej žalovaný.</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Stanovisko v spore:</w:t>
      </w:r>
      <w:r w:rsidRPr="00BB666E">
        <w:rPr>
          <w:rFonts w:ascii="Times New Roman" w:hAnsi="Times New Roman"/>
        </w:rPr>
        <w:t xml:space="preserve"> Žalovaný:</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žalobcovia nie sú vecne aktívne legitimovaným subjektom na podanie tejto žaloby – žalobcovia zvolili nesprávny typ žaloby</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neexistuje naliehavý právny záujem na určení vlastníckeho práva k dielu – táto žaloba nemôže napĺňať svoj preventívny účel – má pred ňou totižto prednosť žaloba na plnenie, ktorú mali žalobcovia podať voči spoločnosti BCI, a. s.</w:t>
      </w:r>
    </w:p>
    <w:p w:rsidR="00BB666E" w:rsidRPr="00BB666E" w:rsidRDefault="00BB666E" w:rsidP="00BB666E">
      <w:pPr>
        <w:numPr>
          <w:ilvl w:val="0"/>
          <w:numId w:val="1"/>
        </w:numPr>
        <w:spacing w:line="360" w:lineRule="auto"/>
        <w:jc w:val="both"/>
        <w:rPr>
          <w:rFonts w:ascii="Times New Roman" w:hAnsi="Times New Roman"/>
        </w:rPr>
      </w:pPr>
      <w:r w:rsidRPr="00BB666E">
        <w:rPr>
          <w:rFonts w:ascii="Times New Roman" w:hAnsi="Times New Roman"/>
        </w:rPr>
        <w:t xml:space="preserve">zmluvné dojednania medzi hlavným zhotoviteľom (BCI, a. s.) a jeho subdodávateľmi (žalobcovia) nemôžu negovať zmluvné dojednania medzi zhotoviteľom (BCI, a. s.) a objednávateľom (žalovaný), t. j. úpravu nadobudnutia vlastníckeho práva nemôžu </w:t>
      </w:r>
      <w:r w:rsidRPr="00BB666E">
        <w:rPr>
          <w:rFonts w:ascii="Times New Roman" w:hAnsi="Times New Roman"/>
        </w:rPr>
        <w:lastRenderedPageBreak/>
        <w:t>subdodávatelia (žalobcovia) a hlavný zhotoviteľ dohodnúť tak, aby táto pôsobila na úkor skôr uzatvorených zmluvných záväzkov učinených s objednávateľom – žalovaným.</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Posúdenie pravdepodobnosti priaznivého alebo nepriaznivého výsledku:</w:t>
      </w:r>
      <w:r w:rsidRPr="00BB666E">
        <w:rPr>
          <w:rFonts w:ascii="Times New Roman" w:hAnsi="Times New Roman"/>
        </w:rPr>
        <w:t xml:space="preserve"> mieru možného úspechu žalovaného v spore je možné ohodnotiť na 70 %.</w:t>
      </w:r>
    </w:p>
    <w:p w:rsidR="00BB666E" w:rsidRPr="00BB666E" w:rsidRDefault="00BB666E" w:rsidP="00BB666E">
      <w:pPr>
        <w:spacing w:line="360" w:lineRule="auto"/>
        <w:jc w:val="both"/>
        <w:rPr>
          <w:rFonts w:ascii="Times New Roman" w:hAnsi="Times New Roman"/>
        </w:rPr>
      </w:pPr>
      <w:r w:rsidRPr="00BB666E">
        <w:rPr>
          <w:rFonts w:ascii="Times New Roman" w:hAnsi="Times New Roman"/>
          <w:b/>
        </w:rPr>
        <w:t>Odhad čiastky alebo rozsahu možnej straty:</w:t>
      </w:r>
      <w:r w:rsidRPr="00BB666E">
        <w:rPr>
          <w:rFonts w:ascii="Times New Roman" w:hAnsi="Times New Roman"/>
        </w:rPr>
        <w:t xml:space="preserve"> V prípade neúspechu bude najväčší negatívny dôsledok spočívať v tom, že dielo, ktoré bolo doteraz evidované ako majetok obce Závod bude prisúdené žalobcom, t. j. títo budú vlastníkmi stavby Závod – kanalizácia II. etapa.</w:t>
      </w:r>
    </w:p>
    <w:p w:rsidR="00BB666E" w:rsidRPr="00BB666E" w:rsidRDefault="00BB666E" w:rsidP="00BB666E">
      <w:pPr>
        <w:spacing w:line="360" w:lineRule="auto"/>
        <w:jc w:val="both"/>
        <w:rPr>
          <w:rFonts w:ascii="Times New Roman" w:hAnsi="Times New Roman"/>
        </w:rPr>
      </w:pPr>
    </w:p>
    <w:p w:rsidR="00BB666E" w:rsidRPr="00BB666E" w:rsidRDefault="00BB666E" w:rsidP="00BB666E">
      <w:pPr>
        <w:spacing w:line="360" w:lineRule="auto"/>
        <w:jc w:val="both"/>
        <w:rPr>
          <w:rFonts w:ascii="Times New Roman" w:hAnsi="Times New Roman"/>
        </w:rPr>
      </w:pPr>
    </w:p>
    <w:p w:rsidR="00BB666E" w:rsidRPr="00BB666E" w:rsidRDefault="00BB666E" w:rsidP="00BB666E">
      <w:pPr>
        <w:spacing w:line="360" w:lineRule="auto"/>
        <w:jc w:val="both"/>
        <w:rPr>
          <w:rFonts w:ascii="Times New Roman" w:hAnsi="Times New Roman"/>
        </w:rPr>
      </w:pPr>
    </w:p>
    <w:p w:rsidR="00BB666E" w:rsidRPr="00BB666E" w:rsidRDefault="00BB666E" w:rsidP="00BB666E">
      <w:pPr>
        <w:spacing w:line="360" w:lineRule="auto"/>
        <w:jc w:val="both"/>
        <w:rPr>
          <w:rFonts w:ascii="Times New Roman" w:hAnsi="Times New Roman"/>
        </w:rPr>
      </w:pPr>
      <w:r w:rsidRPr="00BB666E">
        <w:rPr>
          <w:rFonts w:ascii="Times New Roman" w:hAnsi="Times New Roman"/>
        </w:rPr>
        <w:t xml:space="preserve">Po 31. decembri </w:t>
      </w:r>
      <w:r w:rsidRPr="00BB666E">
        <w:rPr>
          <w:rFonts w:ascii="Times New Roman" w:hAnsi="Times New Roman"/>
          <w:iCs/>
        </w:rPr>
        <w:t>2018</w:t>
      </w:r>
      <w:r w:rsidRPr="00BB666E">
        <w:rPr>
          <w:rFonts w:ascii="Times New Roman" w:hAnsi="Times New Roman"/>
        </w:rPr>
        <w:t xml:space="preserve"> nenastali iné také udalosti, ktoré by si vyžadovali zverejnenie alebo vykázanie v účtovnej závierke za rok 2018.</w:t>
      </w:r>
    </w:p>
    <w:p w:rsidR="00581895" w:rsidRPr="00BB666E" w:rsidRDefault="00581895" w:rsidP="00BB666E">
      <w:pPr>
        <w:tabs>
          <w:tab w:val="left" w:pos="0"/>
          <w:tab w:val="left" w:pos="360"/>
          <w:tab w:val="left" w:pos="420"/>
        </w:tabs>
        <w:spacing w:line="360" w:lineRule="auto"/>
        <w:ind w:left="-14" w:firstLine="14"/>
        <w:jc w:val="both"/>
        <w:rPr>
          <w:rFonts w:ascii="Times New Roman" w:hAnsi="Times New Roman"/>
          <w:b/>
        </w:rPr>
      </w:pPr>
    </w:p>
    <w:sectPr w:rsidR="00581895" w:rsidRPr="00BB66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177" w:rsidRDefault="00EB4177" w:rsidP="00BB50C1">
      <w:r>
        <w:separator/>
      </w:r>
    </w:p>
  </w:endnote>
  <w:endnote w:type="continuationSeparator" w:id="0">
    <w:p w:rsidR="00EB4177" w:rsidRDefault="00EB4177" w:rsidP="00BB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788095"/>
      <w:docPartObj>
        <w:docPartGallery w:val="Page Numbers (Bottom of Page)"/>
        <w:docPartUnique/>
      </w:docPartObj>
    </w:sdtPr>
    <w:sdtEndPr/>
    <w:sdtContent>
      <w:p w:rsidR="00BB50C1" w:rsidRDefault="00BB50C1">
        <w:pPr>
          <w:pStyle w:val="Pta"/>
          <w:jc w:val="center"/>
        </w:pPr>
        <w:r>
          <w:fldChar w:fldCharType="begin"/>
        </w:r>
        <w:r>
          <w:instrText>PAGE   \* MERGEFORMAT</w:instrText>
        </w:r>
        <w:r>
          <w:fldChar w:fldCharType="separate"/>
        </w:r>
        <w:r w:rsidR="00BB666E" w:rsidRPr="00BB666E">
          <w:rPr>
            <w:noProof/>
            <w:lang w:val="sk-SK"/>
          </w:rPr>
          <w:t>1</w:t>
        </w:r>
        <w:r>
          <w:fldChar w:fldCharType="end"/>
        </w:r>
      </w:p>
    </w:sdtContent>
  </w:sdt>
  <w:p w:rsidR="00BB50C1" w:rsidRDefault="00BB50C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177" w:rsidRDefault="00EB4177" w:rsidP="00BB50C1">
      <w:r>
        <w:separator/>
      </w:r>
    </w:p>
  </w:footnote>
  <w:footnote w:type="continuationSeparator" w:id="0">
    <w:p w:rsidR="00EB4177" w:rsidRDefault="00EB4177" w:rsidP="00BB5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19C"/>
    <w:rsid w:val="000D7A51"/>
    <w:rsid w:val="00137D2C"/>
    <w:rsid w:val="001C519C"/>
    <w:rsid w:val="002170AE"/>
    <w:rsid w:val="00275B4E"/>
    <w:rsid w:val="0056000F"/>
    <w:rsid w:val="0057553D"/>
    <w:rsid w:val="00581895"/>
    <w:rsid w:val="007F53F9"/>
    <w:rsid w:val="00BB50C1"/>
    <w:rsid w:val="00BB666E"/>
    <w:rsid w:val="00D51A28"/>
    <w:rsid w:val="00EB4177"/>
    <w:rsid w:val="00F201D9"/>
    <w:rsid w:val="00F212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5158C-0887-46F7-BE7E-5055AACD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81895"/>
    <w:pPr>
      <w:spacing w:after="0" w:line="240" w:lineRule="auto"/>
    </w:pPr>
    <w:rPr>
      <w:rFonts w:ascii="Calibri" w:eastAsia="Times New Roman" w:hAnsi="Calibri" w:cs="Times New Roman"/>
      <w:sz w:val="24"/>
      <w:szCs w:val="24"/>
      <w:lang w:val="en-US"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81895"/>
    <w:pPr>
      <w:autoSpaceDE w:val="0"/>
      <w:autoSpaceDN w:val="0"/>
      <w:adjustRightInd w:val="0"/>
      <w:spacing w:after="0" w:line="240" w:lineRule="auto"/>
    </w:pPr>
    <w:rPr>
      <w:rFonts w:ascii="Calibri" w:eastAsia="Times New Roman" w:hAnsi="Calibri" w:cs="Calibri"/>
      <w:color w:val="000000"/>
      <w:sz w:val="24"/>
      <w:szCs w:val="24"/>
      <w:lang w:eastAsia="sk-SK"/>
    </w:rPr>
  </w:style>
  <w:style w:type="paragraph" w:customStyle="1" w:styleId="odstavec">
    <w:name w:val="odstavec"/>
    <w:basedOn w:val="Normlny"/>
    <w:autoRedefine/>
    <w:rsid w:val="00581895"/>
    <w:pPr>
      <w:spacing w:line="360" w:lineRule="auto"/>
      <w:ind w:right="-79"/>
      <w:jc w:val="both"/>
    </w:pPr>
    <w:rPr>
      <w:rFonts w:ascii="Arial" w:hAnsi="Arial" w:cs="Arial"/>
      <w:sz w:val="22"/>
      <w:szCs w:val="22"/>
      <w:lang w:val="sk-SK" w:eastAsia="sk-SK" w:bidi="ar-SA"/>
    </w:rPr>
  </w:style>
  <w:style w:type="paragraph" w:styleId="Hlavika">
    <w:name w:val="header"/>
    <w:basedOn w:val="Normlny"/>
    <w:link w:val="HlavikaChar"/>
    <w:uiPriority w:val="99"/>
    <w:unhideWhenUsed/>
    <w:rsid w:val="00BB50C1"/>
    <w:pPr>
      <w:tabs>
        <w:tab w:val="center" w:pos="4536"/>
        <w:tab w:val="right" w:pos="9072"/>
      </w:tabs>
    </w:pPr>
  </w:style>
  <w:style w:type="character" w:customStyle="1" w:styleId="HlavikaChar">
    <w:name w:val="Hlavička Char"/>
    <w:basedOn w:val="Predvolenpsmoodseku"/>
    <w:link w:val="Hlavika"/>
    <w:uiPriority w:val="99"/>
    <w:rsid w:val="00BB50C1"/>
    <w:rPr>
      <w:rFonts w:ascii="Calibri" w:eastAsia="Times New Roman" w:hAnsi="Calibri" w:cs="Times New Roman"/>
      <w:sz w:val="24"/>
      <w:szCs w:val="24"/>
      <w:lang w:val="en-US" w:bidi="en-US"/>
    </w:rPr>
  </w:style>
  <w:style w:type="paragraph" w:styleId="Pta">
    <w:name w:val="footer"/>
    <w:basedOn w:val="Normlny"/>
    <w:link w:val="PtaChar"/>
    <w:uiPriority w:val="99"/>
    <w:unhideWhenUsed/>
    <w:rsid w:val="00BB50C1"/>
    <w:pPr>
      <w:tabs>
        <w:tab w:val="center" w:pos="4536"/>
        <w:tab w:val="right" w:pos="9072"/>
      </w:tabs>
    </w:pPr>
  </w:style>
  <w:style w:type="character" w:customStyle="1" w:styleId="PtaChar">
    <w:name w:val="Päta Char"/>
    <w:basedOn w:val="Predvolenpsmoodseku"/>
    <w:link w:val="Pta"/>
    <w:uiPriority w:val="99"/>
    <w:rsid w:val="00BB50C1"/>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2052</Words>
  <Characters>11701</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Company>
  <LinksUpToDate>false</LinksUpToDate>
  <CharactersWithSpaces>13726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Miriam</cp:lastModifiedBy>
  <cp:revision>2</cp:revision>
  <cp:lastPrinted>2017-06-14T08:59:00Z</cp:lastPrinted>
  <dcterms:created xsi:type="dcterms:W3CDTF">2019-06-15T20:51:00Z</dcterms:created>
  <dcterms:modified xsi:type="dcterms:W3CDTF">2019-06-15T20:51:00Z</dcterms:modified>
</cp:coreProperties>
</file>