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34AA">
        <w:rPr>
          <w:rFonts w:ascii="Times New Roman" w:eastAsia="Times New Roman" w:hAnsi="Times New Roman" w:cs="Times New Roman"/>
          <w:b/>
          <w:sz w:val="28"/>
          <w:szCs w:val="28"/>
        </w:rPr>
        <w:t xml:space="preserve">Poznámky konsolidovanej účtovnej závierky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34AA">
        <w:rPr>
          <w:rFonts w:ascii="Times New Roman" w:eastAsia="Times New Roman" w:hAnsi="Times New Roman" w:cs="Times New Roman"/>
          <w:b/>
          <w:sz w:val="28"/>
          <w:szCs w:val="28"/>
        </w:rPr>
        <w:t xml:space="preserve">  obce Ivanka pri Nitre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34AA">
        <w:rPr>
          <w:rFonts w:ascii="Times New Roman" w:eastAsia="Times New Roman" w:hAnsi="Times New Roman" w:cs="Times New Roman"/>
          <w:b/>
          <w:sz w:val="28"/>
          <w:szCs w:val="28"/>
        </w:rPr>
        <w:t xml:space="preserve">  zostavenej k 31.12.2018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4AA">
        <w:rPr>
          <w:rFonts w:ascii="Times New Roman" w:eastAsia="Times New Roman" w:hAnsi="Times New Roman" w:cs="Times New Roman"/>
          <w:b/>
          <w:sz w:val="24"/>
          <w:szCs w:val="24"/>
        </w:rPr>
        <w:t>VŠEOBECNÉ  ÚDAJE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DA34A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Identifikačné údaje konsolidujúcej účtovnej jednotky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</w:rPr>
        <w:t>Obec Ivanka pri Nitre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</w:rPr>
        <w:t>Novozámocká 326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</w:rPr>
        <w:t>951 12 Ivanka pri Nitre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</w:rPr>
        <w:t>IČO: 31827004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</w:rPr>
        <w:t>Obec Ivanka pri Nitre  vznikla na základe uznesenia vlády číslo 657 s účinnosťou od 1. júla 1992.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</w:rPr>
        <w:t>Vznik Obce Ivanka pri Nitre bol vyhlásený v Zbierke zákonov ČSFR r. 1992 opatrením Ministerstva vnútra SR č. III/2-479/1992 z 7 septembra 1992.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</w:rPr>
        <w:t xml:space="preserve">    Identifikačné údaje konsolidovaných účtovných jednotiek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</w:rPr>
        <w:t>Obec Ivanka pri Nitre má v zriaďovateľskej pôsobnosti rozpočtovú organizáciu a to: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</w:rPr>
        <w:t xml:space="preserve">     - Základná škola Ivanka pri Nitre, so sídlom na ulici Novozámocká 300, 951 12 Ivanka pri Nitre.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</w:rPr>
        <w:t>Konsolidovaný celok obce sa v roku 2017 nezmenil oproti minulých účtovným obdobiam.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</w:rPr>
        <w:t xml:space="preserve">Konsolidovaná účtovná závierka konsolidovaného celku obce k 31.12.2018 je zostavená ako riadna konsolidovaná účtovná závierka podľa zákona č. 431/2002 </w:t>
      </w:r>
      <w:proofErr w:type="spellStart"/>
      <w:r w:rsidRPr="00DA34AA">
        <w:rPr>
          <w:rFonts w:ascii="Times New Roman" w:eastAsia="Times New Roman" w:hAnsi="Times New Roman" w:cs="Times New Roman"/>
        </w:rPr>
        <w:t>Z.z.o</w:t>
      </w:r>
      <w:proofErr w:type="spellEnd"/>
      <w:r w:rsidRPr="00DA34AA">
        <w:rPr>
          <w:rFonts w:ascii="Times New Roman" w:eastAsia="Times New Roman" w:hAnsi="Times New Roman" w:cs="Times New Roman"/>
        </w:rPr>
        <w:t xml:space="preserve"> účtovníctve  v znení neskorších predpisov za účtovné obdobie od 1.1.2018 do 31.12.2018.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</w:rPr>
        <w:t>Obec je súčasťou súhrnného celku verejnej správy Slovenskej republiky.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</w:rPr>
        <w:t xml:space="preserve">    Informácie o vedúcich predstaviteľoch a zamestnancoch konsolidovaného celku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</w:rPr>
        <w:t xml:space="preserve">Starosta obce:                 </w:t>
      </w:r>
      <w:proofErr w:type="spellStart"/>
      <w:r w:rsidRPr="00DA34AA">
        <w:rPr>
          <w:rFonts w:ascii="Times New Roman" w:eastAsia="Times New Roman" w:hAnsi="Times New Roman" w:cs="Times New Roman"/>
        </w:rPr>
        <w:t>Ing</w:t>
      </w:r>
      <w:proofErr w:type="spellEnd"/>
      <w:r w:rsidRPr="00DA34AA">
        <w:rPr>
          <w:rFonts w:ascii="Times New Roman" w:eastAsia="Times New Roman" w:hAnsi="Times New Roman" w:cs="Times New Roman"/>
        </w:rPr>
        <w:t xml:space="preserve">, Jana </w:t>
      </w:r>
      <w:proofErr w:type="spellStart"/>
      <w:r w:rsidRPr="00DA34AA">
        <w:rPr>
          <w:rFonts w:ascii="Times New Roman" w:eastAsia="Times New Roman" w:hAnsi="Times New Roman" w:cs="Times New Roman"/>
        </w:rPr>
        <w:t>Maršálková</w:t>
      </w:r>
      <w:proofErr w:type="spellEnd"/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</w:rPr>
        <w:t xml:space="preserve">Zástupca starostu:           Stanislav </w:t>
      </w:r>
      <w:proofErr w:type="spellStart"/>
      <w:r w:rsidRPr="00DA34AA">
        <w:rPr>
          <w:rFonts w:ascii="Times New Roman" w:eastAsia="Times New Roman" w:hAnsi="Times New Roman" w:cs="Times New Roman"/>
        </w:rPr>
        <w:t>Kurek</w:t>
      </w:r>
      <w:proofErr w:type="spellEnd"/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</w:rPr>
        <w:t>Hlavný kontrolór obce:  Ing. Peter Kolník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</w:rPr>
        <w:t>Priemerný počet zamestnancov konsolidovaného celku obce bol 19, z toho 2 vedúci zamestnanci.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DA34A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Informácia o splnení predpokladu nepretržitého pokračovania v činnosti účtovnej jednotky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</w:rPr>
        <w:t>Konsolidovaná účtovná závierka obce bola zostavená v súlade so zákonom o účtovníctve a nadväzujúcimi právnymi predpismi za predpokladu nepretržitého pokračovania v činnosti jednotlivých účtovných jednotiek tvoriacich konsolidovaný celok.</w:t>
      </w:r>
    </w:p>
    <w:p w:rsidR="00DA34AA" w:rsidRPr="00DA34AA" w:rsidRDefault="00DA34AA" w:rsidP="00E766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DA34A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lastRenderedPageBreak/>
        <w:t>Zmeny účtovných metód a účtovných zásad</w:t>
      </w:r>
    </w:p>
    <w:p w:rsidR="00DA34AA" w:rsidRPr="00DA34AA" w:rsidRDefault="00DA34AA" w:rsidP="00E766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Účtovná jednotka oproti predchádzajúcemu účtovnému obdobiu nezmenila účtovné metódy a účtovné zásady.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     Spôsob ocenenia jednotlivých položiek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Položky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Spôsob oceňovania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a) dlhodobý nehmotný majetok nakupovaný obstarávacou cenou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b) dlhodobý nehmotný majetok vytvorený vlastnou činnosťou vlastnými nákladmi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c) dlhodobý hmotný majetok nakupovaný obstarávacou cenou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d) dlhodobý hmotný majetok vytvorený vlastnou činnosťou vlastnými nákladmi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e) dlhodobý nehmotný majetok a dlhodobý hmotný majetok získaný 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   bezodplatne reálnou hodnotou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f) dlhodobý finančný majetok obstarávacou cenou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g) zásoby nakupované obstarávacou cenou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h) zásoby vytvorené vlastnou činnosťou vlastnými nákladmi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i) zásoby získané bezodplatne reálnou hodnotou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j) pohľadávky menovitou hodnotou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k) krátkodobý finančný majetok menovitou hodnotou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l) časové rozlíšenie na strane aktív náklady budúcich období a príjmy budúcich období sa vykazujú vo výške, ktorá je potrebná na dodržanie zásady vecnej a časovej súvislosti s účtovným obdobím.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m) záväzky, vrátane dlhopisov, pôžičiek a úverov menovitou hodnotou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n) rezervy oceňujú sa v očakávanej výške záväzku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o) časové rozlíšenie na strane pasív výdavky budúcich období a výnosy budúcich období sa vykazujú vo výške, ktorá je potrebná na dodržanie zásady vecnej a časovej súvislosti s účtovným obdobím.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p) deriváty pri nadobudnutí obstarávacou cenou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Spôsob zostavenia odpisového plánu pre dlhodobý majetok, doba odpisovania, sadzby odpisov a odpisové metódy pri stanovení účtovných odpisov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Odpisy dlhodobého nehmotného majetku a dlhodobého hmotného majetku sú stanovené tak, že sa vychádza z predpokladanej doby jeho užívania a predpokladaného priebehu jeho opotrebenia. Odpisovať sa začína odo dňa jeho zaradenia do používania.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Účtovné odpisy sa zaokrúhľujú na celé eurá nahor.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Účtovná jednotka zaraďuje majetok do odpisových skupín v zmysle zákona č.595/2003 </w:t>
      </w:r>
      <w:proofErr w:type="spellStart"/>
      <w:r w:rsidRPr="00DA34AA">
        <w:rPr>
          <w:rFonts w:ascii="Times New Roman" w:eastAsia="Times New Roman" w:hAnsi="Times New Roman" w:cs="Times New Roman"/>
          <w:sz w:val="20"/>
          <w:szCs w:val="20"/>
        </w:rPr>
        <w:t>Z.z</w:t>
      </w:r>
      <w:proofErr w:type="spellEnd"/>
      <w:r w:rsidRPr="00DA34AA">
        <w:rPr>
          <w:rFonts w:ascii="Times New Roman" w:eastAsia="Times New Roman" w:hAnsi="Times New Roman" w:cs="Times New Roman"/>
          <w:sz w:val="20"/>
          <w:szCs w:val="20"/>
        </w:rPr>
        <w:t>. o dani z príjmov v </w:t>
      </w:r>
      <w:proofErr w:type="spellStart"/>
      <w:r w:rsidRPr="00DA34AA">
        <w:rPr>
          <w:rFonts w:ascii="Times New Roman" w:eastAsia="Times New Roman" w:hAnsi="Times New Roman" w:cs="Times New Roman"/>
          <w:sz w:val="20"/>
          <w:szCs w:val="20"/>
        </w:rPr>
        <w:t>z.n.p</w:t>
      </w:r>
      <w:proofErr w:type="spellEnd"/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. Ak účtovná jednotka nemôže zaradiť majetok do 1. - 6. odpisovej skupiny, individuálne prehodnotí odpisový plán konkrétneho majetku podľa špecifických podmienok používania.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Predpokladaná doba užívania a odpisové sadzby sú stanovené takto: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b/>
          <w:sz w:val="20"/>
          <w:szCs w:val="20"/>
        </w:rPr>
        <w:t xml:space="preserve">Odpisová skupina           Predpokladaná doba </w:t>
      </w:r>
      <w:proofErr w:type="spellStart"/>
      <w:r w:rsidRPr="00DA34AA">
        <w:rPr>
          <w:rFonts w:ascii="Times New Roman" w:eastAsia="Times New Roman" w:hAnsi="Times New Roman" w:cs="Times New Roman"/>
          <w:b/>
          <w:sz w:val="20"/>
          <w:szCs w:val="20"/>
        </w:rPr>
        <w:t>použ</w:t>
      </w:r>
      <w:proofErr w:type="spellEnd"/>
      <w:r w:rsidRPr="00DA34AA">
        <w:rPr>
          <w:rFonts w:ascii="Times New Roman" w:eastAsia="Times New Roman" w:hAnsi="Times New Roman" w:cs="Times New Roman"/>
          <w:b/>
          <w:sz w:val="20"/>
          <w:szCs w:val="20"/>
        </w:rPr>
        <w:t xml:space="preserve">.      Ročná odpisová sadzba %                                       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1                                                           4                                           25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2                                                           6                                           16,67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3                                                           8                                           12,50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4                                                         12                                             8,33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5                                                         20                                             5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6                                                         40                                             2,50     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Cenné papiere a podiely sa oceňujú pri ich nadobudnutí obstarávacími cenami, t.j. k cene sa pripočítajú náklady súvisiace s obstaraním.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lastRenderedPageBreak/>
        <w:t>Zásoby nakupované sa oceňujú obstarávacou cenou, ktorá zahrňuje cenu obstarania a náklady súvisiace s obstaraním ( clo, preprava, poistné, provízie a pod.) znížené o zľavy z ceny. Úbytok zásob rovnakého druhu sa účtuje v ocenení cenou zistenou váženým aritmetickým priemerom z obstarávacích cien ( alebo vlastných nákladov obstarania alebo metódou FIFO – prvá cena na ocenenie prírastku zásob sa použije ako prvá cena na ocenenie úbytku zásob ).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Vážený aritmetický priemer sa počíta najmenej raz za mesiac.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Zásoby vytvorené vlastnou činnosťou sa oceňujú vlastnými nákladmi. Sú to priame náklady – priamy materiál, priame mzdy a ostatné priame náklady a časť nepriamych nákladov bezprostredne súvisiacich s vytvorením zásob vlastnou činnosťou – výrobná réžia. Výrobná réžia sa do vlastných nákladov zahrňuje v závislosti od </w:t>
      </w:r>
      <w:proofErr w:type="spellStart"/>
      <w:r w:rsidRPr="00DA34AA">
        <w:rPr>
          <w:rFonts w:ascii="Times New Roman" w:eastAsia="Times New Roman" w:hAnsi="Times New Roman" w:cs="Times New Roman"/>
          <w:sz w:val="20"/>
          <w:szCs w:val="20"/>
        </w:rPr>
        <w:t>stuúňa</w:t>
      </w:r>
      <w:proofErr w:type="spellEnd"/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 rozpracovanosti týchto zásob.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Zásoby nadobudnuté bezodplatne napr. darovaním alebo delimitáciou, prebytky zásob, odpad a zvyškové produkty sa oceňujú reálnou obstarávacou cenou, čo je cena, za ktorú by sa majetok obstaral v čase, keď sa o ňom účtuje.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Pohľadávky sa pri ich vzniku oceňujú menovitou hodnotou. Pohľadávky pri odplatnom nadobudnutí sa oceňujú obstarávacou cenou, to znamená vrátane nákladov súvisiacich s obstaraním.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Peňažné prostriedky a ceniny sa oceňujú menovitou hodnotou.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Rezervy sú záväzky s neurčitým časovým vymedzením alebo výškou a oceňujú sa v očakávanej výške záväzku.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Záväzky sa pri ich vzniku oceňujú menovitou hodnotou a pri ich prevzatí sa oceňujú obstarávacou cenou.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Účty časového rozlíšenia aktív a pasív sú vykázané vo výške, ktorá je potrebná na dodržanie zásady vecnej a časovej súvislosti s účtovným obdobím.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4AA">
        <w:rPr>
          <w:rFonts w:ascii="Times New Roman" w:eastAsia="Times New Roman" w:hAnsi="Times New Roman" w:cs="Times New Roman"/>
          <w:b/>
          <w:sz w:val="24"/>
          <w:szCs w:val="24"/>
        </w:rPr>
        <w:t>INFORMÁCIE O METÓDACH A POSTUPOCH KONSOLIDÁCIE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Konsolidovaná účtovná závierka Obce Ivanka pri Nitre bola zostavená v súlade so zákonom č. 431/2002 </w:t>
      </w:r>
      <w:proofErr w:type="spellStart"/>
      <w:r w:rsidRPr="00DA34AA">
        <w:rPr>
          <w:rFonts w:ascii="Times New Roman" w:eastAsia="Times New Roman" w:hAnsi="Times New Roman" w:cs="Times New Roman"/>
          <w:sz w:val="20"/>
          <w:szCs w:val="20"/>
        </w:rPr>
        <w:t>Z.z</w:t>
      </w:r>
      <w:proofErr w:type="spellEnd"/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. o účtovníctve v </w:t>
      </w:r>
      <w:proofErr w:type="spellStart"/>
      <w:r w:rsidRPr="00DA34AA">
        <w:rPr>
          <w:rFonts w:ascii="Times New Roman" w:eastAsia="Times New Roman" w:hAnsi="Times New Roman" w:cs="Times New Roman"/>
          <w:sz w:val="20"/>
          <w:szCs w:val="20"/>
        </w:rPr>
        <w:t>z.n.p</w:t>
      </w:r>
      <w:proofErr w:type="spellEnd"/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. a v súlade s Opatrením Ministerstva financií SR zo dňa 17.12.2008 č. MF/27526/2008-31, ktorým sa ustanovujú podrobnosti o metódach a postupoch konsolidácie vo verejnej správe a podrobnosti o usporiadaní a označovaní položiek konsolidovanej účtovnej závierky vo verejnej správe z </w:t>
      </w:r>
      <w:proofErr w:type="spellStart"/>
      <w:r w:rsidRPr="00DA34AA">
        <w:rPr>
          <w:rFonts w:ascii="Times New Roman" w:eastAsia="Times New Roman" w:hAnsi="Times New Roman" w:cs="Times New Roman"/>
          <w:sz w:val="20"/>
          <w:szCs w:val="20"/>
        </w:rPr>
        <w:t>z.n.p</w:t>
      </w:r>
      <w:proofErr w:type="spellEnd"/>
      <w:r w:rsidRPr="00DA34AA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V rámci konsolidácie konsolidovaného celku obce boli eliminované vzájomné pohľadávky, záväzky, náklady a výnosy.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Zahrnutie konsolidovaných účtovných jednotiek do konsolidovanej účtovnej závierky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Názov konsolidovanej                                 Metóda úplnej konsolidácie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účtovnej jednotky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Obec Ivanka pri Nitre                                                 Áno                                                             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Základná škola Ivanka pri Nitre                                 Áno                                                  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V roku 2018 sa medzi účtovnými jednotkami konsolidovaného celku obce neuskutočnil nákup alebo predaj majetku, preto nebolo potrebné vykonať konsolidáciu medzivýsledku.</w:t>
      </w:r>
    </w:p>
    <w:p w:rsid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766E6" w:rsidRPr="00DA34AA" w:rsidRDefault="00E766E6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766E6" w:rsidRDefault="00E766E6" w:rsidP="00E766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66E6" w:rsidRDefault="00E766E6" w:rsidP="00E766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34AA" w:rsidRPr="00DA34AA" w:rsidRDefault="00DA34AA" w:rsidP="00E766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34A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INFORMÁCIE O ÚDAJOCH NA STRANE AKTÍV SÚVAHY</w:t>
      </w:r>
    </w:p>
    <w:p w:rsidR="00DA34AA" w:rsidRPr="00DA34AA" w:rsidRDefault="00DA34AA" w:rsidP="00E766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b/>
          <w:bCs/>
          <w:sz w:val="20"/>
          <w:szCs w:val="20"/>
        </w:rPr>
        <w:t>Dlhodobý nehmotný a hmotný majetok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Prehľad pohybu dlhodobého nehmotného a dlhodobého hmotného majetku za rok 2018 je uvedený v tabuľkovej časti.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V tabuľke č.1 bol vykázaný prírastok na účte 021 - stavby v sume 187 625,24 €, ktorý vznikol zaradením majetku: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 – vybudovanie chodníka v areáli materskej školy v sume 10 234,44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 - vybudovanie chodníka na ulici Novozámocká ( od požiarnej zbrojnice ) v sume    38 788,37 €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 - vybudovanie oplotenia v areáli materskej školy v sume 3 851,22 €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 - rekonštrukcia materskej školy 3. trieda v sume 134 751,21 €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:rsid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Zároveň bol vykázaný  prírastok na účte 029 – ostatný dlhodobý hmotný majetok v sume 9 750,93 € 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 Išlo o nákup interaktívnej tabule pre výchovno-vzdelávací proces v materskej škole v sume 1 952,47 €, nákup veľkoobjemového kontajnera v sume 5 040,00 € a inštalovanie klimatizačnej jednotky v kancelárii 1. kontaktu </w:t>
      </w:r>
      <w:proofErr w:type="spellStart"/>
      <w:r w:rsidRPr="00DA34AA">
        <w:rPr>
          <w:rFonts w:ascii="Times New Roman" w:eastAsia="Times New Roman" w:hAnsi="Times New Roman" w:cs="Times New Roman"/>
          <w:sz w:val="20"/>
          <w:szCs w:val="20"/>
        </w:rPr>
        <w:t>av</w:t>
      </w:r>
      <w:proofErr w:type="spellEnd"/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DA34AA">
        <w:rPr>
          <w:rFonts w:ascii="Times New Roman" w:eastAsia="Times New Roman" w:hAnsi="Times New Roman" w:cs="Times New Roman"/>
          <w:sz w:val="20"/>
          <w:szCs w:val="20"/>
        </w:rPr>
        <w:t>poklani</w:t>
      </w:r>
      <w:proofErr w:type="spellEnd"/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 v sume 2 758,46 €.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Na účte  042-11 – obstaranie bol zaúčtovaný prírastok v sume 46 338,92 € - rozšírenie kanalizačnej siete a vypracovanie projektovej dokumentácie na rekonštrukciu budovy zdravotného strediska v sume 4 104,00 €.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Dlhodobý finančný majetok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Dlhodobý finančný majetok predstavujú kmeňové akcie Západoslovenskej vodárenskej spoločnosti a.s. Nitra.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b/>
          <w:bCs/>
          <w:sz w:val="20"/>
          <w:szCs w:val="20"/>
        </w:rPr>
        <w:t>Pohľadávky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Rozdelenie pohľadávok podľa doby splatnosti a vývoj opravnej položky k pohľadávkam sú uvedené v tabuľkovej časti.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b/>
          <w:bCs/>
          <w:sz w:val="20"/>
          <w:szCs w:val="20"/>
        </w:rPr>
        <w:t>Finančný majetok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Finančný majetok predstavujú zostatky peňažných prostriedkov evidované v pokladnici obce a na bankových účtoch obce k 31.12.2018.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E766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b/>
          <w:bCs/>
          <w:sz w:val="24"/>
          <w:szCs w:val="24"/>
        </w:rPr>
        <w:t>INFORMÁCIE O ÚDAJOCH NA STRANE PASÍV SÚVAHY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b/>
          <w:bCs/>
          <w:sz w:val="20"/>
          <w:szCs w:val="20"/>
        </w:rPr>
        <w:t>Vlastné imanie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Prehľad vlastného imania konsolidovaného celku za rok 2018 je uvedený v tabuľkovej časti.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b/>
          <w:bCs/>
          <w:sz w:val="20"/>
          <w:szCs w:val="20"/>
        </w:rPr>
        <w:t>Záväzky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Prehľad záväzkov podľa doby splatnosti je uvedený v tabuľkovej časti. Významnú položku dlhodobých záväzkov tvorí úver zo Štátneho fondu rozvoja bývania so splatnosťou v roku 2032.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Nesplatená časť istiny k 31.12.2018 je v sume 413 306,85 €.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b/>
          <w:bCs/>
          <w:sz w:val="20"/>
          <w:szCs w:val="20"/>
        </w:rPr>
        <w:t>Bankové úvery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Prehľad o stave a vývoji bankových úverov je uvedený v tabuľkovej časti.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V roku 2018 obec splácala investičný úver  obec prijatý z </w:t>
      </w:r>
      <w:proofErr w:type="spellStart"/>
      <w:r w:rsidRPr="00DA34AA">
        <w:rPr>
          <w:rFonts w:ascii="Times New Roman" w:eastAsia="Times New Roman" w:hAnsi="Times New Roman" w:cs="Times New Roman"/>
          <w:sz w:val="20"/>
          <w:szCs w:val="20"/>
        </w:rPr>
        <w:t>Prima</w:t>
      </w:r>
      <w:proofErr w:type="spellEnd"/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 banka Slovensko v roku 2017 a  použitý na splatenie  2 investičných úverov prijatých z </w:t>
      </w:r>
      <w:proofErr w:type="spellStart"/>
      <w:r w:rsidRPr="00DA34AA">
        <w:rPr>
          <w:rFonts w:ascii="Times New Roman" w:eastAsia="Times New Roman" w:hAnsi="Times New Roman" w:cs="Times New Roman"/>
          <w:sz w:val="20"/>
          <w:szCs w:val="20"/>
        </w:rPr>
        <w:t>UniCredit</w:t>
      </w:r>
      <w:proofErr w:type="spellEnd"/>
      <w:r w:rsidRPr="00DA34AA">
        <w:rPr>
          <w:rFonts w:ascii="Times New Roman" w:eastAsia="Times New Roman" w:hAnsi="Times New Roman" w:cs="Times New Roman"/>
          <w:sz w:val="20"/>
          <w:szCs w:val="20"/>
        </w:rPr>
        <w:t xml:space="preserve"> Bank v rokoch 2012 a 2015 a  na úhradu záväzkov, ktoré vznikli za vybudovanie kanalizačnej siete. 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Nesplatená časť istiny k 31.12.2018 je v sume 508 643,80 €.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  SKUTOČNOSTI, KTORÉ NASTALI PO DNI, KU KTORÉMU SA ZOSTAVUJE KONSOLIDOVANÁ ÚČTOVNÁ ZÁVIERKA, DO DŇA JEJ ZOSTAVENIA</w:t>
      </w: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4AA" w:rsidRPr="00DA34AA" w:rsidRDefault="00DA34AA" w:rsidP="00DA3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34AA">
        <w:rPr>
          <w:rFonts w:ascii="Times New Roman" w:eastAsia="Times New Roman" w:hAnsi="Times New Roman" w:cs="Times New Roman"/>
          <w:sz w:val="20"/>
          <w:szCs w:val="20"/>
        </w:rPr>
        <w:t>Po 31.12.2018 nenastali také udalosti, ktoré by si vyžadovali zverejnenie alebo vykázanie v konsolidovanej účtovnej závierke za rok 2018.</w:t>
      </w:r>
    </w:p>
    <w:p w:rsidR="000B19E8" w:rsidRPr="00DA34AA" w:rsidRDefault="000B19E8">
      <w:pPr>
        <w:rPr>
          <w:rFonts w:ascii="Times New Roman" w:hAnsi="Times New Roman" w:cs="Times New Roman"/>
        </w:rPr>
      </w:pPr>
    </w:p>
    <w:sectPr w:rsidR="000B19E8" w:rsidRPr="00DA34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FELayout/>
  </w:compat>
  <w:rsids>
    <w:rsidRoot w:val="00DA34AA"/>
    <w:rsid w:val="000B19E8"/>
    <w:rsid w:val="00DA34AA"/>
    <w:rsid w:val="00E76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DA34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DA34A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9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3</cp:revision>
  <cp:lastPrinted>2019-06-20T09:18:00Z</cp:lastPrinted>
  <dcterms:created xsi:type="dcterms:W3CDTF">2019-06-20T08:39:00Z</dcterms:created>
  <dcterms:modified xsi:type="dcterms:W3CDTF">2019-06-20T09:24:00Z</dcterms:modified>
</cp:coreProperties>
</file>