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A34AA">
        <w:rPr>
          <w:rFonts w:ascii="Times New Roman" w:eastAsia="Times New Roman" w:hAnsi="Times New Roman" w:cs="Times New Roman"/>
          <w:b/>
          <w:sz w:val="28"/>
          <w:szCs w:val="28"/>
        </w:rPr>
        <w:t xml:space="preserve">Poznámky konsolidovanej účtovnej závierky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A34AA">
        <w:rPr>
          <w:rFonts w:ascii="Times New Roman" w:eastAsia="Times New Roman" w:hAnsi="Times New Roman" w:cs="Times New Roman"/>
          <w:b/>
          <w:sz w:val="28"/>
          <w:szCs w:val="28"/>
        </w:rPr>
        <w:t xml:space="preserve">  obce Ivanka pri Nitre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A34AA">
        <w:rPr>
          <w:rFonts w:ascii="Times New Roman" w:eastAsia="Times New Roman" w:hAnsi="Times New Roman" w:cs="Times New Roman"/>
          <w:b/>
          <w:sz w:val="28"/>
          <w:szCs w:val="28"/>
        </w:rPr>
        <w:t xml:space="preserve">  zostavenej k 31.12.2018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A34AA">
        <w:rPr>
          <w:rFonts w:ascii="Times New Roman" w:eastAsia="Times New Roman" w:hAnsi="Times New Roman" w:cs="Times New Roman"/>
          <w:b/>
          <w:sz w:val="24"/>
          <w:szCs w:val="24"/>
        </w:rPr>
        <w:t>VŠEOBECNÉ  ÚDAJE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DA34A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Identifikačné údaje konsolidujúcej účtovnej jednotky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Obec Ivanka pri Nitre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Novozámocká 326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951 12 Ivanka pri Nitre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IČO: 31827004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Obec Ivanka pri Nitre  vznikla na základe uznesenia vlády číslo 657 s účinnosťou od 1. júla 1992.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Vznik Obce Ivanka pri Nitre bol vyhlásený v Zbierke zákonov ČSFR r. 1992 opatrením Ministerstva vnútra SR č. III/2-479/1992 z 7 septembra 1992.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    Identifikačné údaje konsolidovaných účtovných jednotiek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Obec Ivanka pri Nitre má v zriaďovateľskej pôsobnosti rozpočtovú organizáciu a to: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     - Základná škola Ivanka pri Nitre, so sídlom na ulici Novozámocká 300, 951 12 Ivanka pri Nitre.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Konsolidovaný celok obce sa v roku 2017 nezmenil oproti minulých účtovným obdobiam.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Konsolidovaná účtovná závierka konsolidovaného celku obce k 31.12.2018 je zostavená ako riadna konsolidovaná účtovná závierka podľa zákona č. 431/2002 </w:t>
      </w:r>
      <w:proofErr w:type="spellStart"/>
      <w:r w:rsidRPr="00DA34AA">
        <w:rPr>
          <w:rFonts w:ascii="Times New Roman" w:eastAsia="Times New Roman" w:hAnsi="Times New Roman" w:cs="Times New Roman"/>
        </w:rPr>
        <w:t>Z.z.o</w:t>
      </w:r>
      <w:proofErr w:type="spellEnd"/>
      <w:r w:rsidRPr="00DA34AA">
        <w:rPr>
          <w:rFonts w:ascii="Times New Roman" w:eastAsia="Times New Roman" w:hAnsi="Times New Roman" w:cs="Times New Roman"/>
        </w:rPr>
        <w:t xml:space="preserve"> účtovníctve  v znení neskorších predpisov za účtovné obdobie od 1.1.2018 do 31.12.2018.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Obec je súčasťou súhrnného celku verejnej správy Slovenskej republiky.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    Informácie o vedúcich predstaviteľoch a zamestnancoch konsolidovaného celku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Starosta obce:                 </w:t>
      </w:r>
      <w:proofErr w:type="spellStart"/>
      <w:r w:rsidRPr="00DA34AA">
        <w:rPr>
          <w:rFonts w:ascii="Times New Roman" w:eastAsia="Times New Roman" w:hAnsi="Times New Roman" w:cs="Times New Roman"/>
        </w:rPr>
        <w:t>Ing</w:t>
      </w:r>
      <w:proofErr w:type="spellEnd"/>
      <w:r w:rsidRPr="00DA34AA">
        <w:rPr>
          <w:rFonts w:ascii="Times New Roman" w:eastAsia="Times New Roman" w:hAnsi="Times New Roman" w:cs="Times New Roman"/>
        </w:rPr>
        <w:t xml:space="preserve">, Jana </w:t>
      </w:r>
      <w:proofErr w:type="spellStart"/>
      <w:r w:rsidRPr="00DA34AA">
        <w:rPr>
          <w:rFonts w:ascii="Times New Roman" w:eastAsia="Times New Roman" w:hAnsi="Times New Roman" w:cs="Times New Roman"/>
        </w:rPr>
        <w:t>Maršálková</w:t>
      </w:r>
      <w:proofErr w:type="spellEnd"/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 xml:space="preserve">Zástupca starostu:           Stanislav </w:t>
      </w:r>
      <w:proofErr w:type="spellStart"/>
      <w:r w:rsidRPr="00DA34AA">
        <w:rPr>
          <w:rFonts w:ascii="Times New Roman" w:eastAsia="Times New Roman" w:hAnsi="Times New Roman" w:cs="Times New Roman"/>
        </w:rPr>
        <w:t>Kurek</w:t>
      </w:r>
      <w:proofErr w:type="spellEnd"/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Hlavný kontrolór obce:  Ing. Peter Kolník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Priemerný počet zamestnancov konsolidovaného celku obce bol 19, z toho 2 vedúci zamestnanci.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DA34A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Informácia o splnení predpokladu nepretržitého pokračovania v činnosti účtovnej jednotky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</w:rPr>
        <w:t>Konsolidovaná účtovná závierka obce bola zostavená v súlade so zákonom o účtovníctve a nadväzujúcimi právnymi predpismi za predpokladu nepretržitého pokračovania v činnosti jednotlivých účtovných jednotiek tvoriacich konsolidovaný celok.</w:t>
      </w:r>
    </w:p>
    <w:p w:rsidR="00DA34AA" w:rsidRPr="00DA34AA" w:rsidRDefault="00DA34AA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DA34A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lastRenderedPageBreak/>
        <w:t>Zmeny účtovných metód a účtovných zásad</w:t>
      </w:r>
    </w:p>
    <w:p w:rsidR="00DA34AA" w:rsidRPr="00DA34AA" w:rsidRDefault="00DA34AA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Účtovná jednotka oproti predchádzajúcemu účtovnému obdobiu nezmenila účtovné metódy a účtovné zásady.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    Spôsob ocenenia jednotlivých položiek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Položky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Spôsob oceňovania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a) dlhodobý nehmotný majetok nakupovaný obstarávacou cenou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b) dlhodobý nehmotný majetok vytvorený vlastnou činnosťou vlastnými nákladmi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c) dlhodobý hmotný majetok nakupovaný obstarávacou cenou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d) dlhodobý hmotný majetok vytvorený vlastnou činnosťou vlastnými nákladmi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e) dlhodobý nehmotný majetok a dlhodobý hmotný majetok získaný 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  bezodplatne reálnou hodnotou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f) dlhodobý finančný majetok obstarávacou cenou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g) zásoby nakupované obstarávacou cenou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h) zásoby vytvorené vlastnou činnosťou vlastnými nákladmi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i) zásoby získané bezodplatne reálnou hodnotou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j) pohľadávky menovitou hodnotou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k) krátkodobý finančný majetok menovitou hodnotou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l) časové rozlíšenie na strane aktív náklady budúcich období a príjmy budúcich období sa vykazujú vo výške, ktorá je potrebná na dodržanie zásady vecnej a časovej súvislosti s účtovným obdobím.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m) záväzky, vrátane dlhopisov, pôžičiek a úverov menovitou hodnotou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n) rezervy oceňujú sa v očakávanej výške záväzku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o) časové rozlíšenie na strane pasív výdavky budúcich období a výnosy budúcich období sa vykazujú vo výške, ktorá je potrebná na dodržanie zásady vecnej a časovej súvislosti s účtovným obdobím.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p) deriváty pri nadobudnutí obstarávacou cenou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Spôsob zostavenia odpisového plánu pre dlhodobý majetok, doba odpisovania, sadzby odpisov a odpisové metódy pri stanovení účtovných odpisov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Účtovné odpisy sa zaokrúhľujú na celé eurá nahor.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Účtovná jednotka zaraďuje majetok do odpisových skupín v zmysle zákona č.595/2003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Z.z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>. o dani z príjmov v 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z.n.p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Predpokladaná doba užívania a odpisové sadzby sú stanovené takto: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sz w:val="20"/>
          <w:szCs w:val="20"/>
        </w:rPr>
        <w:t xml:space="preserve">Odpisová skupina           Predpokladaná doba </w:t>
      </w:r>
      <w:proofErr w:type="spellStart"/>
      <w:r w:rsidRPr="00DA34AA">
        <w:rPr>
          <w:rFonts w:ascii="Times New Roman" w:eastAsia="Times New Roman" w:hAnsi="Times New Roman" w:cs="Times New Roman"/>
          <w:b/>
          <w:sz w:val="20"/>
          <w:szCs w:val="20"/>
        </w:rPr>
        <w:t>použ</w:t>
      </w:r>
      <w:proofErr w:type="spellEnd"/>
      <w:r w:rsidRPr="00DA34AA">
        <w:rPr>
          <w:rFonts w:ascii="Times New Roman" w:eastAsia="Times New Roman" w:hAnsi="Times New Roman" w:cs="Times New Roman"/>
          <w:b/>
          <w:sz w:val="20"/>
          <w:szCs w:val="20"/>
        </w:rPr>
        <w:t xml:space="preserve">.      Ročná odpisová sadzba %                                       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1                                                           4                                           25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2                                                           6                                           16,67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3                                                           8                                           12,50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4                                                         12                                             8,33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5                                                         20                                             5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6                                                         40                                             2,50     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Cenné papiere a podiely sa oceňujú pri ich nadobudnutí obstarávacími cenami, t.j. k cene sa pripočítajú náklady súvisiace s obstaraním.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lastRenderedPageBreak/>
        <w:t>Zásoby nakupované sa oceňujú obstarávacou cenou, ktorá zahrňuje cenu obstarania a náklady súvisiace s obstaraním ( clo, preprava, poistné, provízie a pod.) znížené o zľavy z ceny. Úbytok zásob rovnakého druhu sa účtuje v ocenení cenou zistenou váženým aritmetickým priemerom z obstarávacích cien ( alebo vlastných nákladov obstarania alebo metódou FIFO – prvá cena na ocenenie prírastku zásob sa použije ako prvá cena na ocenenie úbytku zásob ).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Vážený aritmetický priemer sa počíta najmenej raz za mesiac.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Zásoby vytvorené vlastnou činnosťou sa oceňujú vlastnými nákladmi. Sú to priame náklady – priamy materiál, priame mzdy a ostatné priame náklady a časť nepriamych nákladov bezprostredne súvisiacich s vytvorením zásob vlastnou činnosťou – výrobná réžia. Výrobná réžia sa do vlastných nákladov zahrňuje v závislosti od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stuúňa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rozpracovanosti týchto zásob.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Zásoby nadobudnuté bezodplatne napr. darovaním alebo delimitáciou, prebytky zásob, odpad a zvyškové produkty sa oceňujú reálnou obstarávacou cenou, čo je cena, za ktorú by sa majetok obstaral v čase, keď sa o ňom účtuje.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Pohľadávky sa pri ich vzniku oceňujú menovitou hodnotou. Pohľadávky pri odplatnom nadobudnutí sa oceňujú obstarávacou cenou, to znamená vrátane nákladov súvisiacich s obstaraním.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Peňažné prostriedky a ceniny sa oceňujú menovitou hodnotou.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Rezervy sú záväzky s neurčitým časovým vymedzením alebo výškou a oceňujú sa v očakávanej výške záväzku.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Záväzky sa pri ich vzniku oceňujú menovitou hodnotou a pri ich prevzatí sa oceňujú obstarávacou cenou.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Účty časového rozlíšenia aktív a pasív sú vykázané vo výške, ktorá je potrebná na dodržanie zásady vecnej a časovej súvislosti s účtovným obdobím.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A34AA">
        <w:rPr>
          <w:rFonts w:ascii="Times New Roman" w:eastAsia="Times New Roman" w:hAnsi="Times New Roman" w:cs="Times New Roman"/>
          <w:b/>
          <w:sz w:val="24"/>
          <w:szCs w:val="24"/>
        </w:rPr>
        <w:t>INFORMÁCIE O METÓDACH A POSTUPOCH KONSOLIDÁCIE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Konsolidovaná účtovná závierka Obce Ivanka pri Nitre bola zostavená v súlade so zákonom č. 431/2002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Z.z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. o účtovníctve v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z.n.p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. a v súlade s Opatrením Ministerstva financií SR zo dňa 17.12.2008 č. MF/27526/2008-31, ktorým sa ustanovujú podrobnosti o metódach a postupoch konsolidácie vo verejnej správe a podrobnosti o usporiadaní a označovaní položiek konsolidovanej účtovnej závierky vo verejnej správe z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z.n.p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V rámci konsolidácie konsolidovaného celku obce boli eliminované vzájomné pohľadávky, záväzky, náklady a výnosy.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Zahrnutie konsolidovaných účtovných jednotiek do konsolidovanej účtovnej závierky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Názov konsolidovanej                                 Metóda úplnej konsolidácie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účtovnej jednotky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Obec Ivanka pri Nitre                                                 Áno                                                             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Základná škola Ivanka pri Nitre                                 Áno                                                  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V roku 2018 sa medzi účtovnými jednotkami konsolidovaného celku obce neuskutočnil nákup alebo predaj majetku, preto nebolo potrebné vykonať konsolidáciu medzivýsledku.</w:t>
      </w:r>
    </w:p>
    <w:p w:rsid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766E6" w:rsidRPr="00DA34AA" w:rsidRDefault="00E766E6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766E6" w:rsidRDefault="00E766E6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766E6" w:rsidRDefault="00E766E6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A34AA" w:rsidRPr="00DA34AA" w:rsidRDefault="00DA34AA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A34AA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:rsidR="00DA34AA" w:rsidRPr="00DA34AA" w:rsidRDefault="00DA34AA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Dlhodobý nehmotný a hmotný majetok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Prehľad pohybu dlhodobého nehmotného a dlhodobého hmotného majetku za rok 2018 je uvedený v tabuľkovej časti.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V tabuľke č.1 bol vykázaný prírastok na účte 021 - stavby v sume 187 625,24 €, ktorý vznikol zaradením majetku: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– vybudovanie chodníka v areáli materskej školy v sume 10 234,44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- vybudovanie chodníka na ulici Novozámocká ( od požiarnej zbrojnice ) v sume    38 788,37 €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- vybudovanie oplotenia v areáli materskej školy v sume 3 851,22 €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- rekonštrukcia materskej školy 3. trieda v sume 134 751,21 €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</w:p>
    <w:p w:rsid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Zároveň bol vykázaný  prírastok na účte 029 – ostatný dlhodobý hmotný majetok v sume 9 750,93 € 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Išlo o nákup interaktívnej tabule pre výchovno-vzdelávací proces v materskej škole v sume 1 952,47 €, nákup veľkoobjemového kontajnera v sume 5 040,00 € a inštalovanie klimatizačnej jednotky v kancelárii 1. kontaktu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av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poklani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v sume 2 758,46 €.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Na účte  042-11 – obstaranie bol zaúčtovaný prírastok v sume 46 338,92 € - rozšírenie kanalizačnej siete a vypracovanie projektovej dokumentácie na rekonštrukciu budovy zdravotného strediska v sume 4 104,00 €.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Dlhodobý finančný majetok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Dlhodobý finančný majetok predstavujú kmeňové akcie Západoslovenskej vodárenskej spoločnosti a.s. Nitra.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Pohľadávky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Rozdelenie pohľadávok podľa doby splatnosti a vývoj opravnej položky k pohľadávkam sú uvedené v tabuľkovej časti.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Finančný majetok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Finančný majetok predstavujú zostatky peňažných prostriedkov evidované v pokladnici obce a na bankových účtoch obce k 31.12.2018.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E766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Vlastné imanie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Prehľad vlastného imania konsolidovaného celku za rok 2018 je uvedený v tabuľkovej časti.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Záväzky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Prehľad záväzkov podľa doby splatnosti je uvedený v tabuľkovej časti. Významnú položku dlhodobých záväzkov tvorí úver zo Štátneho fondu rozvoja bývania so splatnosťou v roku 2032.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Nesplatená časť istiny k 31.12.2018 je v sume 413 306,85 €.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b/>
          <w:bCs/>
          <w:sz w:val="20"/>
          <w:szCs w:val="20"/>
        </w:rPr>
        <w:t>Bankové úvery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Prehľad o stave a vývoji bankových úverov je uvedený v tabuľkovej časti.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V roku 2018 obec splácala investičný úver  obec prijatý z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Prima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banka Slovensko v roku 2017 a  použitý na splatenie  2 investičných úverov prijatých z </w:t>
      </w:r>
      <w:proofErr w:type="spellStart"/>
      <w:r w:rsidRPr="00DA34AA">
        <w:rPr>
          <w:rFonts w:ascii="Times New Roman" w:eastAsia="Times New Roman" w:hAnsi="Times New Roman" w:cs="Times New Roman"/>
          <w:sz w:val="20"/>
          <w:szCs w:val="20"/>
        </w:rPr>
        <w:t>UniCredit</w:t>
      </w:r>
      <w:proofErr w:type="spellEnd"/>
      <w:r w:rsidRPr="00DA34AA">
        <w:rPr>
          <w:rFonts w:ascii="Times New Roman" w:eastAsia="Times New Roman" w:hAnsi="Times New Roman" w:cs="Times New Roman"/>
          <w:sz w:val="20"/>
          <w:szCs w:val="20"/>
        </w:rPr>
        <w:t xml:space="preserve"> Bank v rokoch 2012 a 2015 a  na úhradu záväzkov, ktoré vznikli za vybudovanie kanalizačnej siete. 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Nesplatená časť istiny k 31.12.2018 je v sume 508 643,80 €.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   SKUTOČNOSTI, KTORÉ NASTALI PO DNI, KU KTORÉMU SA ZOSTAVUJE KONSOLIDOVANÁ ÚČTOVNÁ ZÁVIERKA, DO DŇA JEJ ZOSTAVENIA</w:t>
      </w: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A34AA" w:rsidRPr="00DA34AA" w:rsidRDefault="00DA34AA" w:rsidP="00DA3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A34AA">
        <w:rPr>
          <w:rFonts w:ascii="Times New Roman" w:eastAsia="Times New Roman" w:hAnsi="Times New Roman" w:cs="Times New Roman"/>
          <w:sz w:val="20"/>
          <w:szCs w:val="20"/>
        </w:rPr>
        <w:t>Po 31.12.2018 nenastali také udalosti, ktoré by si vyžadovali zverejnenie alebo vykázanie v konsolidovanej účtovnej závierke za rok 2018.</w:t>
      </w:r>
    </w:p>
    <w:p w:rsidR="000B19E8" w:rsidRPr="00DA34AA" w:rsidRDefault="000B19E8">
      <w:pPr>
        <w:rPr>
          <w:rFonts w:ascii="Times New Roman" w:hAnsi="Times New Roman" w:cs="Times New Roman"/>
        </w:rPr>
      </w:pPr>
    </w:p>
    <w:sectPr w:rsidR="000B19E8" w:rsidRPr="00DA34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DA34AA"/>
    <w:rsid w:val="000B19E8"/>
    <w:rsid w:val="00DA34AA"/>
    <w:rsid w:val="00E766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DA34A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DA34AA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9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1556</Words>
  <Characters>8873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cp:lastPrinted>2019-06-20T09:18:00Z</cp:lastPrinted>
  <dcterms:created xsi:type="dcterms:W3CDTF">2019-06-20T08:39:00Z</dcterms:created>
  <dcterms:modified xsi:type="dcterms:W3CDTF">2019-06-20T09:24:00Z</dcterms:modified>
</cp:coreProperties>
</file>