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8067D6">
        <w:rPr>
          <w:rFonts w:ascii="Book Antiqua" w:hAnsi="Book Antiqua" w:cs="Arial"/>
          <w:b/>
          <w:bCs/>
          <w:sz w:val="24"/>
          <w:szCs w:val="24"/>
        </w:rPr>
        <w:t xml:space="preserve"> k 31.12.201</w:t>
      </w:r>
      <w:r w:rsidR="001B5431">
        <w:rPr>
          <w:rFonts w:ascii="Book Antiqua" w:hAnsi="Book Antiqua" w:cs="Arial"/>
          <w:b/>
          <w:bCs/>
          <w:sz w:val="24"/>
          <w:szCs w:val="24"/>
        </w:rPr>
        <w:t>8</w:t>
      </w:r>
    </w:p>
    <w:p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:rsidR="00FC3946" w:rsidRPr="00402A07" w:rsidRDefault="008067D6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>Obce Nenince</w:t>
      </w:r>
    </w:p>
    <w:p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8067D6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Obec Nenince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8067D6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Hlavná 238/110,  991 26  Nenince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:rsidR="00930F58" w:rsidRPr="00402A07" w:rsidRDefault="00524E4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Zo zákona</w:t>
            </w:r>
          </w:p>
        </w:tc>
      </w:tr>
    </w:tbl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 konsolidovaných  účtovných  jednotkách – rozpočtových organizáciách 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8067D6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C836D2" w:rsidRPr="00402A07" w:rsidRDefault="00524E4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Základná škola</w:t>
            </w:r>
            <w:r w:rsidR="008067D6">
              <w:rPr>
                <w:rFonts w:ascii="Book Antiqua" w:hAnsi="Book Antiqua" w:cs="Arial"/>
                <w:i/>
                <w:sz w:val="24"/>
                <w:szCs w:val="24"/>
              </w:rPr>
              <w:t xml:space="preserve"> s materskou školou s vyučovacím a výchovným jazykom slovenským a maďarským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8067D6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C836D2" w:rsidRPr="00402A07" w:rsidRDefault="008067D6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Školská 50/1,  991 26  Nenince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8067D6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:rsidR="00C836D2" w:rsidRPr="00402A07" w:rsidRDefault="00524E49" w:rsidP="008067D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1.</w:t>
            </w:r>
            <w:r w:rsidR="008067D6">
              <w:rPr>
                <w:rFonts w:ascii="Book Antiqua" w:hAnsi="Book Antiqua" w:cs="Arial"/>
                <w:i/>
                <w:sz w:val="24"/>
                <w:szCs w:val="24"/>
              </w:rPr>
              <w:t>7.2002</w:t>
            </w:r>
          </w:p>
        </w:tc>
      </w:tr>
    </w:tbl>
    <w:p w:rsidR="00423928" w:rsidRPr="00402A07" w:rsidRDefault="00423928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162730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dentifikačné údaje o konsolidovaných  účtovných  jednotkách – obchodných spoločnostiach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162730" w:rsidRPr="00402A07" w:rsidTr="0096070D">
        <w:tc>
          <w:tcPr>
            <w:tcW w:w="4781" w:type="dxa"/>
            <w:vAlign w:val="center"/>
          </w:tcPr>
          <w:p w:rsidR="00162730" w:rsidRPr="00402A07" w:rsidRDefault="00162730" w:rsidP="008067D6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162730" w:rsidRPr="00402A07" w:rsidRDefault="008067D6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Obecný podnik Nenince s.r.o.</w:t>
            </w:r>
          </w:p>
        </w:tc>
      </w:tr>
      <w:tr w:rsidR="00162730" w:rsidRPr="00402A07" w:rsidTr="0096070D">
        <w:tc>
          <w:tcPr>
            <w:tcW w:w="4781" w:type="dxa"/>
            <w:vAlign w:val="center"/>
          </w:tcPr>
          <w:p w:rsidR="00162730" w:rsidRPr="00402A07" w:rsidRDefault="00162730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162730" w:rsidRPr="00402A07" w:rsidRDefault="008067D6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Hlavná 238/110,  991 26  Nenince</w:t>
            </w:r>
          </w:p>
        </w:tc>
      </w:tr>
      <w:tr w:rsidR="00162730" w:rsidRPr="00402A07" w:rsidTr="0096070D">
        <w:tc>
          <w:tcPr>
            <w:tcW w:w="4781" w:type="dxa"/>
            <w:vAlign w:val="center"/>
          </w:tcPr>
          <w:p w:rsidR="00162730" w:rsidRPr="00402A07" w:rsidRDefault="00162730" w:rsidP="008067D6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Dátum založenia/vzniku konsolidovanej účtovnej </w:t>
            </w:r>
            <w:r w:rsidR="00347A64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jednotky</w:t>
            </w:r>
          </w:p>
        </w:tc>
        <w:tc>
          <w:tcPr>
            <w:tcW w:w="5479" w:type="dxa"/>
          </w:tcPr>
          <w:p w:rsidR="00162730" w:rsidRPr="00402A07" w:rsidRDefault="008067D6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20.1.2009</w:t>
            </w:r>
          </w:p>
        </w:tc>
      </w:tr>
      <w:tr w:rsidR="00883949" w:rsidRPr="00402A07" w:rsidTr="0096070D">
        <w:tc>
          <w:tcPr>
            <w:tcW w:w="4781" w:type="dxa"/>
            <w:vAlign w:val="center"/>
          </w:tcPr>
          <w:p w:rsidR="00883949" w:rsidRPr="00402A07" w:rsidRDefault="00883949" w:rsidP="008067D6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Podiel konsolidujúcej účtovnej jednotky </w:t>
            </w:r>
            <w:r w:rsidR="00524E49" w:rsidRPr="00402A07">
              <w:rPr>
                <w:rFonts w:ascii="Book Antiqua" w:hAnsi="Book Antiqua" w:cs="Arial"/>
                <w:sz w:val="24"/>
                <w:szCs w:val="24"/>
              </w:rPr>
              <w:t>mesta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na  základnom imaní, hlasovacích právach konsolidovanej účtovnej</w:t>
            </w:r>
            <w:r w:rsidR="00347A64" w:rsidRPr="00402A07">
              <w:rPr>
                <w:rFonts w:ascii="Book Antiqua" w:hAnsi="Book Antiqua" w:cs="Arial"/>
                <w:sz w:val="24"/>
                <w:szCs w:val="24"/>
              </w:rPr>
              <w:t xml:space="preserve">  jednotky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(obchodnej spoločnosti) </w:t>
            </w:r>
          </w:p>
        </w:tc>
        <w:tc>
          <w:tcPr>
            <w:tcW w:w="5479" w:type="dxa"/>
          </w:tcPr>
          <w:p w:rsidR="00883949" w:rsidRPr="00402A07" w:rsidRDefault="00524E49" w:rsidP="008067D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100 % </w:t>
            </w:r>
          </w:p>
        </w:tc>
      </w:tr>
    </w:tbl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3301C3" w:rsidP="00B21F7D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:rsidR="003347AA" w:rsidRPr="00402A07" w:rsidRDefault="00627684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19</w:t>
            </w:r>
            <w:r w:rsidR="008067D6">
              <w:rPr>
                <w:rFonts w:ascii="Book Antiqua" w:hAnsi="Book Antiqua" w:cs="Arial"/>
                <w:i/>
                <w:sz w:val="24"/>
                <w:szCs w:val="24"/>
              </w:rPr>
              <w:t>O</w:t>
            </w:r>
            <w:r w:rsidR="00524E49"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 +  </w:t>
            </w:r>
            <w:r w:rsidR="00F03E6B">
              <w:rPr>
                <w:rFonts w:ascii="Book Antiqua" w:hAnsi="Book Antiqua" w:cs="Arial"/>
                <w:i/>
                <w:sz w:val="24"/>
                <w:szCs w:val="24"/>
              </w:rPr>
              <w:t>2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8</w:t>
            </w:r>
            <w:r w:rsidR="00524E49"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ZŠ + </w:t>
            </w:r>
            <w:r w:rsidR="001B5431">
              <w:rPr>
                <w:rFonts w:ascii="Book Antiqua" w:hAnsi="Book Antiqua" w:cs="Arial"/>
                <w:i/>
                <w:sz w:val="24"/>
                <w:szCs w:val="24"/>
              </w:rPr>
              <w:t>3</w:t>
            </w:r>
            <w:r w:rsidR="00524E49"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 w:rsidR="008067D6">
              <w:rPr>
                <w:rFonts w:ascii="Book Antiqua" w:hAnsi="Book Antiqua" w:cs="Arial"/>
                <w:i/>
                <w:sz w:val="24"/>
                <w:szCs w:val="24"/>
              </w:rPr>
              <w:t>OP</w:t>
            </w:r>
            <w:r w:rsidR="00524E49"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  = </w:t>
            </w:r>
            <w:r w:rsidR="001B5431">
              <w:rPr>
                <w:rFonts w:ascii="Book Antiqua" w:hAnsi="Book Antiqua" w:cs="Arial"/>
                <w:i/>
                <w:sz w:val="24"/>
                <w:szCs w:val="24"/>
              </w:rPr>
              <w:t>44</w:t>
            </w:r>
          </w:p>
          <w:p w:rsidR="00524E49" w:rsidRPr="00402A07" w:rsidRDefault="00524E4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883949" w:rsidP="00B21F7D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402A07" w:rsidRDefault="00B21F7D" w:rsidP="00B21F7D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1O</w:t>
            </w:r>
            <w:r w:rsidR="00524E49"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 +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1</w:t>
            </w:r>
            <w:r w:rsidR="00524E49"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 ZŠ + 1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OP</w:t>
            </w:r>
            <w:r w:rsidR="00524E49"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 =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3</w:t>
            </w:r>
          </w:p>
        </w:tc>
      </w:tr>
    </w:tbl>
    <w:p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(obec resp. VÚC) ovláda alebo vykonáva v nich podstatný vplyv, ktoré boli nadobudnuté  v priebehu účtovného obdobia</w:t>
      </w:r>
    </w:p>
    <w:p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E9707C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výsledku hospodárenia z dôvodu predaja majetku medzi účtovnými jednotkami konsolidovaného celku (obce resp. VÚC)</w:t>
      </w:r>
    </w:p>
    <w:p w:rsidR="00E9707C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B21F7D">
        <w:rPr>
          <w:rFonts w:ascii="Book Antiqua" w:hAnsi="Book Antiqua" w:cs="Arial"/>
          <w:b/>
          <w:i/>
          <w:sz w:val="24"/>
          <w:szCs w:val="24"/>
        </w:rPr>
        <w:t>Obce Nenince</w:t>
      </w:r>
    </w:p>
    <w:p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Deriváty sa pri nadobudnutí oceňujú cenou obstarania a ku dňu, ku ktorému sa zostavuje účtovná závierka, reálnou hodnotou.</w:t>
      </w:r>
    </w:p>
    <w:p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Majetok a záväzky zabezpečené derivátmi sa oceňujú reálnou hodnotou.</w:t>
      </w:r>
    </w:p>
    <w:p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B21F7D">
        <w:rPr>
          <w:rFonts w:ascii="Book Antiqua" w:hAnsi="Book Antiqua" w:cs="Arial"/>
          <w:b/>
          <w:i/>
          <w:sz w:val="24"/>
          <w:szCs w:val="24"/>
        </w:rPr>
        <w:t>Obce Nenince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 xml:space="preserve"> zahŕňa  </w:t>
      </w:r>
      <w:r w:rsidR="009E48BB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rozpočtov</w:t>
      </w:r>
      <w:r w:rsidR="009E48BB">
        <w:rPr>
          <w:rFonts w:ascii="Book Antiqua" w:hAnsi="Book Antiqua" w:cs="Arial"/>
          <w:b/>
          <w:sz w:val="24"/>
          <w:szCs w:val="24"/>
        </w:rPr>
        <w:t>ú</w:t>
      </w:r>
      <w:r w:rsidRPr="00402A07">
        <w:rPr>
          <w:rFonts w:ascii="Book Antiqua" w:hAnsi="Book Antiqua" w:cs="Arial"/>
          <w:b/>
          <w:sz w:val="24"/>
          <w:szCs w:val="24"/>
        </w:rPr>
        <w:t xml:space="preserve"> organizáci</w:t>
      </w:r>
      <w:r w:rsidR="009E48BB">
        <w:rPr>
          <w:rFonts w:ascii="Book Antiqua" w:hAnsi="Book Antiqua" w:cs="Arial"/>
          <w:b/>
          <w:sz w:val="24"/>
          <w:szCs w:val="24"/>
        </w:rPr>
        <w:t>u</w:t>
      </w:r>
      <w:r w:rsidRPr="00402A07">
        <w:rPr>
          <w:rFonts w:ascii="Book Antiqua" w:hAnsi="Book Antiqua" w:cs="Arial"/>
          <w:b/>
          <w:sz w:val="24"/>
          <w:szCs w:val="24"/>
        </w:rPr>
        <w:t>, 0 príspevkových organizácií, 1 obchodnú spoločnosť;  ich identifikačné údaje sa nachádzajú v úvode.</w:t>
      </w:r>
    </w:p>
    <w:p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9E48BB">
        <w:rPr>
          <w:rFonts w:ascii="Book Antiqua" w:hAnsi="Book Antiqua" w:cs="Arial"/>
          <w:sz w:val="24"/>
          <w:szCs w:val="24"/>
        </w:rPr>
        <w:t>Obce Nenince</w:t>
      </w:r>
      <w:r w:rsidR="009314B1" w:rsidRPr="00402A07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 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v súlade s Opatrením Ministerstva financií Slovenskej republiky  zo dňa 17. decembra 2008 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 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100"/>
        <w:gridCol w:w="1537"/>
        <w:gridCol w:w="1559"/>
        <w:gridCol w:w="1620"/>
      </w:tblGrid>
      <w:tr w:rsidR="00C82159" w:rsidRPr="00402A07" w:rsidTr="009314B1">
        <w:tc>
          <w:tcPr>
            <w:tcW w:w="510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:rsidTr="009314B1">
        <w:tc>
          <w:tcPr>
            <w:tcW w:w="510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Konsolidovaná účtovná jednotka </w:t>
            </w:r>
            <w:r w:rsidR="009E48BB">
              <w:rPr>
                <w:rFonts w:ascii="Book Antiqua" w:hAnsi="Book Antiqua" w:cs="Arial"/>
                <w:i/>
                <w:sz w:val="24"/>
                <w:szCs w:val="24"/>
              </w:rPr>
              <w:t>ZŠsMŠ</w:t>
            </w:r>
          </w:p>
        </w:tc>
        <w:tc>
          <w:tcPr>
            <w:tcW w:w="1537" w:type="dxa"/>
          </w:tcPr>
          <w:p w:rsidR="00C82159" w:rsidRPr="0051350A" w:rsidRDefault="009314B1" w:rsidP="00471365">
            <w:pPr>
              <w:spacing w:line="360" w:lineRule="auto"/>
              <w:jc w:val="both"/>
              <w:rPr>
                <w:rFonts w:ascii="Book Antiqua" w:hAnsi="Book Antiqua" w:cs="Arial"/>
                <w:b/>
                <w:i/>
                <w:sz w:val="24"/>
                <w:szCs w:val="24"/>
              </w:rPr>
            </w:pPr>
            <w:r w:rsidRPr="0051350A">
              <w:rPr>
                <w:rFonts w:ascii="Book Antiqua" w:hAnsi="Book Antiqua" w:cs="Arial"/>
                <w:b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C82159" w:rsidRPr="00402A07" w:rsidTr="009314B1">
        <w:tc>
          <w:tcPr>
            <w:tcW w:w="5100" w:type="dxa"/>
          </w:tcPr>
          <w:p w:rsidR="00C82159" w:rsidRPr="00402A07" w:rsidRDefault="009314B1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Konsolidovaná účtovná jednotka </w:t>
            </w:r>
            <w:r w:rsidR="009E48BB">
              <w:rPr>
                <w:rFonts w:ascii="Book Antiqua" w:hAnsi="Book Antiqua" w:cs="Arial"/>
                <w:i/>
                <w:sz w:val="24"/>
                <w:szCs w:val="24"/>
              </w:rPr>
              <w:t>s.r.o.</w:t>
            </w:r>
          </w:p>
        </w:tc>
        <w:tc>
          <w:tcPr>
            <w:tcW w:w="1537" w:type="dxa"/>
          </w:tcPr>
          <w:p w:rsidR="00C82159" w:rsidRPr="00402A07" w:rsidRDefault="009314B1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C82159" w:rsidRDefault="00C82159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dcérsky</w:t>
      </w:r>
      <w:r w:rsidR="00347A64" w:rsidRPr="00402A07">
        <w:rPr>
          <w:rFonts w:ascii="Book Antiqua" w:hAnsi="Book Antiqua" w:cs="Arial"/>
          <w:sz w:val="24"/>
          <w:szCs w:val="24"/>
        </w:rPr>
        <w:t>ch</w:t>
      </w:r>
      <w:r w:rsidRPr="00402A07">
        <w:rPr>
          <w:rFonts w:ascii="Book Antiqua" w:hAnsi="Book Antiqua" w:cs="Arial"/>
          <w:sz w:val="24"/>
          <w:szCs w:val="24"/>
        </w:rPr>
        <w:t xml:space="preserve"> účtovných jednotkách.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:rsidR="00AE0EA6" w:rsidRPr="00402A07" w:rsidRDefault="00AE0EA6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príspevkových 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</w:t>
      </w:r>
      <w:r w:rsidR="00347A64" w:rsidRPr="00402A07">
        <w:rPr>
          <w:rFonts w:ascii="Book Antiqua" w:hAnsi="Book Antiqua" w:cs="Arial"/>
          <w:sz w:val="24"/>
          <w:szCs w:val="24"/>
        </w:rPr>
        <w:t>i obchodných spoločnostiach je t</w:t>
      </w:r>
      <w:r w:rsidRPr="00402A07">
        <w:rPr>
          <w:rFonts w:ascii="Book Antiqua" w:hAnsi="Book Antiqua" w:cs="Arial"/>
          <w:sz w:val="24"/>
          <w:szCs w:val="24"/>
        </w:rPr>
        <w:t>o deň obstarania podielov.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0B082D" w:rsidRPr="00402A07">
        <w:rPr>
          <w:rFonts w:ascii="Book Antiqua" w:hAnsi="Book Antiqua" w:cs="Arial"/>
          <w:b/>
          <w:i/>
          <w:sz w:val="24"/>
          <w:szCs w:val="24"/>
        </w:rPr>
        <w:t> </w:t>
      </w:r>
      <w:r w:rsidRPr="00402A07">
        <w:rPr>
          <w:rFonts w:ascii="Book Antiqua" w:hAnsi="Book Antiqua" w:cs="Arial"/>
          <w:b/>
          <w:i/>
          <w:sz w:val="24"/>
          <w:szCs w:val="24"/>
        </w:rPr>
        <w:t>goodwille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Goodwill nevzniká pri konsolidovanej účtovnej  jednotke, ktorou je rozpočtová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Goodwill nevzniká pri konsolidovanej účtovnej  jednotke, ktorou je príspevková 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Goodwill nevzniká pri založení konsolidovanej účtovnej  jednotky, ktorou je obchodná spoločnosť. 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Goodwill vzniká pri kúpe už existujúcej konsolidovanej účtovnej  jednotky, ktorou je obchodná spoločnosť.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hanging="1156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Goodwill sa odpisuje do 5 rokov.</w:t>
      </w:r>
    </w:p>
    <w:p w:rsidR="004A7847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:rsidR="00A4312C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</w:t>
      </w:r>
      <w:r w:rsidR="00CE5157" w:rsidRPr="00402A07">
        <w:rPr>
          <w:rFonts w:ascii="Book Antiqua" w:hAnsi="Book Antiqua" w:cs="Arial"/>
          <w:b/>
          <w:sz w:val="24"/>
          <w:szCs w:val="24"/>
        </w:rPr>
        <w:t xml:space="preserve"> údajoch </w:t>
      </w:r>
      <w:r w:rsidR="00AA4068" w:rsidRPr="00402A07">
        <w:rPr>
          <w:rFonts w:ascii="Book Antiqua" w:hAnsi="Book Antiqua" w:cs="Arial"/>
          <w:b/>
          <w:sz w:val="24"/>
          <w:szCs w:val="24"/>
        </w:rPr>
        <w:t>aktív a pasív</w:t>
      </w:r>
    </w:p>
    <w:p w:rsidR="00A4312C" w:rsidRPr="00402A07" w:rsidRDefault="00A4312C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</w:p>
    <w:p w:rsidR="00A4312C" w:rsidRPr="00402A07" w:rsidRDefault="006E3F9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Popis údajov vyplnených v </w:t>
      </w:r>
      <w:r w:rsidR="00AA4068" w:rsidRPr="00402A07">
        <w:rPr>
          <w:rFonts w:ascii="Book Antiqua" w:hAnsi="Book Antiqua" w:cs="Arial"/>
          <w:sz w:val="24"/>
          <w:szCs w:val="24"/>
        </w:rPr>
        <w:t>p</w:t>
      </w:r>
      <w:r w:rsidR="00A4312C" w:rsidRPr="00402A07">
        <w:rPr>
          <w:rFonts w:ascii="Book Antiqua" w:hAnsi="Book Antiqua" w:cs="Arial"/>
          <w:sz w:val="24"/>
          <w:szCs w:val="24"/>
        </w:rPr>
        <w:t>rehľad</w:t>
      </w:r>
      <w:r w:rsidR="00AA4068" w:rsidRPr="00402A07">
        <w:rPr>
          <w:rFonts w:ascii="Book Antiqua" w:hAnsi="Book Antiqua" w:cs="Arial"/>
          <w:sz w:val="24"/>
          <w:szCs w:val="24"/>
        </w:rPr>
        <w:t>e</w:t>
      </w:r>
      <w:r w:rsidR="00A4312C" w:rsidRPr="00402A07">
        <w:rPr>
          <w:rFonts w:ascii="Book Antiqua" w:hAnsi="Book Antiqua" w:cs="Arial"/>
          <w:sz w:val="24"/>
          <w:szCs w:val="24"/>
        </w:rPr>
        <w:t xml:space="preserve"> pohybov dlhodobého nehmotného a dlhodobého hmotného majetku</w:t>
      </w:r>
    </w:p>
    <w:p w:rsidR="006E3F99" w:rsidRPr="00402A07" w:rsidRDefault="006E3F99" w:rsidP="00423928">
      <w:pPr>
        <w:numPr>
          <w:ilvl w:val="0"/>
          <w:numId w:val="39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Bezprostredne predchádza</w:t>
      </w:r>
      <w:r w:rsidR="00347A64" w:rsidRPr="00402A07">
        <w:rPr>
          <w:rFonts w:ascii="Book Antiqua" w:hAnsi="Book Antiqua" w:cs="Arial"/>
          <w:sz w:val="24"/>
          <w:szCs w:val="24"/>
        </w:rPr>
        <w:t>júce účtovné obdobie sa chápe</w:t>
      </w:r>
      <w:r w:rsidR="00150367">
        <w:rPr>
          <w:rFonts w:ascii="Book Antiqua" w:hAnsi="Book Antiqua" w:cs="Arial"/>
          <w:sz w:val="24"/>
          <w:szCs w:val="24"/>
        </w:rPr>
        <w:t xml:space="preserve"> k 31.12.20</w:t>
      </w:r>
      <w:r w:rsidR="0051350A">
        <w:rPr>
          <w:rFonts w:ascii="Book Antiqua" w:hAnsi="Book Antiqua" w:cs="Arial"/>
          <w:sz w:val="24"/>
          <w:szCs w:val="24"/>
        </w:rPr>
        <w:t>1</w:t>
      </w:r>
      <w:r w:rsidR="001B5431">
        <w:rPr>
          <w:rFonts w:ascii="Book Antiqua" w:hAnsi="Book Antiqua" w:cs="Arial"/>
          <w:sz w:val="24"/>
          <w:szCs w:val="24"/>
        </w:rPr>
        <w:t>7</w:t>
      </w:r>
    </w:p>
    <w:p w:rsidR="006E3F99" w:rsidRPr="00402A07" w:rsidRDefault="006E3F99" w:rsidP="00423928">
      <w:pPr>
        <w:numPr>
          <w:ilvl w:val="0"/>
          <w:numId w:val="39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Bežné účtovné </w:t>
      </w:r>
      <w:r w:rsidR="0051350A">
        <w:rPr>
          <w:rFonts w:ascii="Book Antiqua" w:hAnsi="Book Antiqua" w:cs="Arial"/>
          <w:sz w:val="24"/>
          <w:szCs w:val="24"/>
        </w:rPr>
        <w:t>obdobie sa vykazuje k 31.12.201</w:t>
      </w:r>
      <w:r w:rsidR="001B5431">
        <w:rPr>
          <w:rFonts w:ascii="Book Antiqua" w:hAnsi="Book Antiqua" w:cs="Arial"/>
          <w:sz w:val="24"/>
          <w:szCs w:val="24"/>
        </w:rPr>
        <w:t>8</w:t>
      </w:r>
    </w:p>
    <w:p w:rsidR="006E3F99" w:rsidRPr="00402A07" w:rsidRDefault="006E3F99" w:rsidP="00423928">
      <w:pPr>
        <w:numPr>
          <w:ilvl w:val="0"/>
          <w:numId w:val="39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Prírastok je prvotné vykázanie obstarania dlhodobého nehmotného a dlhodobého hmotného majetku akoukoľvek formou, zvýšenie aktív (napr. kúpa, darovanie)</w:t>
      </w:r>
    </w:p>
    <w:p w:rsidR="006E3F99" w:rsidRPr="00402A07" w:rsidRDefault="006E3F99" w:rsidP="00423928">
      <w:pPr>
        <w:numPr>
          <w:ilvl w:val="0"/>
          <w:numId w:val="39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Úbytok je vykázanie zníženia aktív (napr. predaj, darovanie)</w:t>
      </w:r>
    </w:p>
    <w:p w:rsidR="006E3F99" w:rsidRPr="00402A07" w:rsidRDefault="006E3F99" w:rsidP="00423928">
      <w:pPr>
        <w:numPr>
          <w:ilvl w:val="0"/>
          <w:numId w:val="39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Presun </w:t>
      </w:r>
      <w:r w:rsidR="00AA4068" w:rsidRPr="00402A07">
        <w:rPr>
          <w:rFonts w:ascii="Book Antiqua" w:hAnsi="Book Antiqua" w:cs="Arial"/>
          <w:sz w:val="24"/>
          <w:szCs w:val="24"/>
        </w:rPr>
        <w:t xml:space="preserve">je </w:t>
      </w:r>
      <w:r w:rsidRPr="00402A07">
        <w:rPr>
          <w:rFonts w:ascii="Book Antiqua" w:hAnsi="Book Antiqua" w:cs="Arial"/>
          <w:sz w:val="24"/>
          <w:szCs w:val="24"/>
        </w:rPr>
        <w:t>vykázanie zmeny hodnoty niektorej položky bez zmeny celkovej hodnoty aktív</w:t>
      </w:r>
    </w:p>
    <w:p w:rsidR="00402A07" w:rsidRPr="00402A07" w:rsidRDefault="00402A07" w:rsidP="00C2645B">
      <w:pPr>
        <w:spacing w:line="360" w:lineRule="auto"/>
        <w:jc w:val="both"/>
        <w:rPr>
          <w:rFonts w:ascii="Book Antiqua" w:hAnsi="Book Antiqua" w:cs="Arial"/>
          <w:i/>
          <w:sz w:val="24"/>
          <w:szCs w:val="24"/>
          <w:highlight w:val="red"/>
        </w:rPr>
      </w:pPr>
    </w:p>
    <w:p w:rsidR="00423928" w:rsidRPr="00402A07" w:rsidRDefault="00E56B6E" w:rsidP="009257D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0C4270" w:rsidRPr="00402A07">
        <w:rPr>
          <w:rFonts w:ascii="Book Antiqua" w:hAnsi="Book Antiqua" w:cs="Arial"/>
          <w:sz w:val="24"/>
          <w:szCs w:val="24"/>
        </w:rPr>
        <w:t>rehľad o pohybe dlhodobého majetku</w:t>
      </w:r>
      <w:r w:rsidRPr="00402A07">
        <w:rPr>
          <w:rFonts w:ascii="Book Antiqua" w:hAnsi="Book Antiqua" w:cs="Arial"/>
          <w:sz w:val="24"/>
          <w:szCs w:val="24"/>
        </w:rPr>
        <w:t xml:space="preserve"> sa nachádza v priloženom tabuľkovom formulári a vysvetľuje položky súvahy – aktív. </w:t>
      </w:r>
    </w:p>
    <w:p w:rsidR="00B01E4E" w:rsidRPr="00402A07" w:rsidRDefault="00B01E4E" w:rsidP="00B01E4E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Pr="00402A07" w:rsidRDefault="00B01E4E" w:rsidP="00B01E4E">
      <w:pPr>
        <w:numPr>
          <w:ilvl w:val="0"/>
          <w:numId w:val="9"/>
        </w:numPr>
        <w:tabs>
          <w:tab w:val="clear" w:pos="720"/>
        </w:tabs>
        <w:ind w:left="357" w:hanging="357"/>
        <w:rPr>
          <w:rFonts w:ascii="Book Antiqua" w:hAnsi="Book Antiqua" w:cs="Arial"/>
        </w:rPr>
      </w:pPr>
      <w:r w:rsidRPr="00402A07">
        <w:rPr>
          <w:rFonts w:ascii="Book Antiqua" w:hAnsi="Book Antiqua" w:cs="Arial"/>
        </w:rPr>
        <w:t>Spôsob a výška poistenia majetku</w:t>
      </w:r>
    </w:p>
    <w:p w:rsidR="00B01E4E" w:rsidRPr="00402A07" w:rsidRDefault="00B01E4E" w:rsidP="00B01E4E">
      <w:pPr>
        <w:rPr>
          <w:rFonts w:ascii="Book Antiqua" w:hAnsi="Book Antiqua" w:cs="Arial"/>
        </w:rPr>
      </w:pPr>
      <w:r w:rsidRPr="00402A07">
        <w:rPr>
          <w:rFonts w:ascii="Book Antiqua" w:hAnsi="Book Antiqua" w:cs="Arial"/>
        </w:rPr>
        <w:t>Majetok je poistený v</w:t>
      </w:r>
      <w:r w:rsidR="009E48BB">
        <w:rPr>
          <w:rFonts w:ascii="Book Antiqua" w:hAnsi="Book Antiqua" w:cs="Arial"/>
        </w:rPr>
        <w:t> Komunálnej poisťovni, a.s. Bratislava</w:t>
      </w:r>
    </w:p>
    <w:p w:rsidR="00B01E4E" w:rsidRPr="00402A07" w:rsidRDefault="00B01E4E" w:rsidP="00B01E4E">
      <w:pPr>
        <w:rPr>
          <w:rFonts w:ascii="Book Antiqua" w:hAnsi="Book Antiqua" w:cs="Arial"/>
        </w:rPr>
      </w:pPr>
    </w:p>
    <w:p w:rsidR="00B01E4E" w:rsidRPr="00402A07" w:rsidRDefault="00B01E4E" w:rsidP="00B01E4E">
      <w:pPr>
        <w:numPr>
          <w:ilvl w:val="0"/>
          <w:numId w:val="9"/>
        </w:numPr>
        <w:tabs>
          <w:tab w:val="clear" w:pos="720"/>
        </w:tabs>
        <w:ind w:left="357" w:hanging="357"/>
        <w:rPr>
          <w:rFonts w:ascii="Book Antiqua" w:hAnsi="Book Antiqua" w:cs="Arial"/>
        </w:rPr>
      </w:pPr>
      <w:r w:rsidRPr="00402A07">
        <w:rPr>
          <w:rFonts w:ascii="Book Antiqua" w:hAnsi="Book Antiqua" w:cs="Arial"/>
        </w:rPr>
        <w:t>Zriadenie záložného práva na dlhodobý majetok .</w:t>
      </w:r>
    </w:p>
    <w:p w:rsidR="00B01E4E" w:rsidRPr="00402A07" w:rsidRDefault="009E48BB" w:rsidP="00B01E4E">
      <w:pPr>
        <w:rPr>
          <w:rFonts w:ascii="Book Antiqua" w:hAnsi="Book Antiqua" w:cs="Arial"/>
        </w:rPr>
      </w:pPr>
      <w:r>
        <w:rPr>
          <w:rFonts w:ascii="Book Antiqua" w:hAnsi="Book Antiqua" w:cs="Arial"/>
        </w:rPr>
        <w:t xml:space="preserve">Obec Nenince </w:t>
      </w:r>
      <w:r w:rsidR="00B01E4E" w:rsidRPr="00402A07">
        <w:rPr>
          <w:rFonts w:ascii="Book Antiqua" w:hAnsi="Book Antiqua" w:cs="Arial"/>
        </w:rPr>
        <w:t>má zriadené zá</w:t>
      </w:r>
      <w:r>
        <w:rPr>
          <w:rFonts w:ascii="Book Antiqua" w:hAnsi="Book Antiqua" w:cs="Arial"/>
        </w:rPr>
        <w:t xml:space="preserve">ložné právo na dlhodobý majetok nasledovne: </w:t>
      </w:r>
      <w:r w:rsidR="00657E0F">
        <w:rPr>
          <w:rFonts w:ascii="Book Antiqua" w:hAnsi="Book Antiqua" w:cs="Arial"/>
        </w:rPr>
        <w:t>---</w:t>
      </w:r>
    </w:p>
    <w:p w:rsidR="00B01E4E" w:rsidRPr="00402A07" w:rsidRDefault="00B01E4E" w:rsidP="00B01E4E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Pr="00402A07" w:rsidRDefault="00B01E4E" w:rsidP="00B01E4E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Pr="00402A07" w:rsidRDefault="00B01E4E" w:rsidP="00B01E4E">
      <w:pPr>
        <w:numPr>
          <w:ilvl w:val="0"/>
          <w:numId w:val="9"/>
        </w:numPr>
        <w:tabs>
          <w:tab w:val="clear" w:pos="720"/>
        </w:tabs>
        <w:ind w:left="357" w:hanging="357"/>
        <w:jc w:val="both"/>
        <w:rPr>
          <w:rFonts w:ascii="Book Antiqua" w:hAnsi="Book Antiqua" w:cs="Arial"/>
        </w:rPr>
      </w:pPr>
      <w:r w:rsidRPr="00402A07">
        <w:rPr>
          <w:rFonts w:ascii="Book Antiqua" w:hAnsi="Book Antiqua" w:cs="Arial"/>
        </w:rPr>
        <w:t>Dôvody zvýšenia, zníženia a zrušenia opravných položiek k dlhodobému nehmotnému majetku a dlhodobému hmotnému majetku</w:t>
      </w:r>
    </w:p>
    <w:p w:rsidR="00B01E4E" w:rsidRPr="00402A07" w:rsidRDefault="00B01E4E" w:rsidP="00B01E4E">
      <w:pPr>
        <w:jc w:val="both"/>
        <w:rPr>
          <w:rFonts w:ascii="Book Antiqua" w:hAnsi="Book Antiqua" w:cs="Arial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70"/>
        <w:gridCol w:w="3186"/>
        <w:gridCol w:w="2084"/>
        <w:gridCol w:w="4320"/>
      </w:tblGrid>
      <w:tr w:rsidR="00B01E4E" w:rsidRPr="002553BB" w:rsidTr="002553BB">
        <w:tc>
          <w:tcPr>
            <w:tcW w:w="670" w:type="dxa"/>
            <w:vAlign w:val="center"/>
          </w:tcPr>
          <w:p w:rsidR="00B01E4E" w:rsidRPr="002553BB" w:rsidRDefault="00B01E4E" w:rsidP="002553BB">
            <w:pPr>
              <w:jc w:val="center"/>
              <w:rPr>
                <w:rFonts w:ascii="Book Antiqua" w:hAnsi="Book Antiqua" w:cs="Arial"/>
              </w:rPr>
            </w:pPr>
            <w:r w:rsidRPr="002553BB">
              <w:rPr>
                <w:rFonts w:ascii="Book Antiqua" w:hAnsi="Book Antiqua" w:cs="Arial"/>
              </w:rPr>
              <w:t>Inv.</w:t>
            </w:r>
          </w:p>
          <w:p w:rsidR="00B01E4E" w:rsidRPr="002553BB" w:rsidRDefault="00B01E4E" w:rsidP="002553BB">
            <w:pPr>
              <w:jc w:val="center"/>
              <w:rPr>
                <w:rFonts w:ascii="Book Antiqua" w:hAnsi="Book Antiqua" w:cs="Arial"/>
              </w:rPr>
            </w:pPr>
            <w:r w:rsidRPr="002553BB">
              <w:rPr>
                <w:rFonts w:ascii="Book Antiqua" w:hAnsi="Book Antiqua" w:cs="Arial"/>
              </w:rPr>
              <w:t>číslo</w:t>
            </w:r>
          </w:p>
        </w:tc>
        <w:tc>
          <w:tcPr>
            <w:tcW w:w="3186" w:type="dxa"/>
            <w:vAlign w:val="center"/>
          </w:tcPr>
          <w:p w:rsidR="00B01E4E" w:rsidRPr="002553BB" w:rsidRDefault="00B01E4E" w:rsidP="002553BB">
            <w:pPr>
              <w:jc w:val="center"/>
              <w:rPr>
                <w:rFonts w:ascii="Book Antiqua" w:hAnsi="Book Antiqua" w:cs="Arial"/>
              </w:rPr>
            </w:pPr>
            <w:r w:rsidRPr="002553BB">
              <w:rPr>
                <w:rFonts w:ascii="Book Antiqua" w:hAnsi="Book Antiqua" w:cs="Arial"/>
              </w:rPr>
              <w:t>Konkrétny druh DM</w:t>
            </w:r>
          </w:p>
        </w:tc>
        <w:tc>
          <w:tcPr>
            <w:tcW w:w="2084" w:type="dxa"/>
            <w:vAlign w:val="center"/>
          </w:tcPr>
          <w:p w:rsidR="00B01E4E" w:rsidRPr="002553BB" w:rsidRDefault="00B01E4E" w:rsidP="002553BB">
            <w:pPr>
              <w:jc w:val="center"/>
              <w:rPr>
                <w:rFonts w:ascii="Book Antiqua" w:hAnsi="Book Antiqua" w:cs="Arial"/>
              </w:rPr>
            </w:pPr>
            <w:r w:rsidRPr="002553BB">
              <w:rPr>
                <w:rFonts w:ascii="Book Antiqua" w:hAnsi="Book Antiqua" w:cs="Arial"/>
              </w:rPr>
              <w:t>Suma OP v </w:t>
            </w:r>
            <w:r w:rsidR="00D20211" w:rsidRPr="002553BB">
              <w:rPr>
                <w:rFonts w:ascii="Book Antiqua" w:hAnsi="Book Antiqua" w:cs="Arial"/>
              </w:rPr>
              <w:t>EUR</w:t>
            </w:r>
          </w:p>
        </w:tc>
        <w:tc>
          <w:tcPr>
            <w:tcW w:w="4320" w:type="dxa"/>
            <w:vAlign w:val="center"/>
          </w:tcPr>
          <w:p w:rsidR="00B01E4E" w:rsidRPr="002553BB" w:rsidRDefault="00B01E4E" w:rsidP="002553BB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2553BB">
              <w:rPr>
                <w:rFonts w:ascii="Book Antiqua" w:hAnsi="Book Antiqua" w:cs="Arial"/>
              </w:rPr>
              <w:t>Dôvod zvýšenia, zníženia a zrušenia OP</w:t>
            </w:r>
          </w:p>
        </w:tc>
      </w:tr>
      <w:tr w:rsidR="00B01E4E" w:rsidRPr="002553BB" w:rsidTr="002553BB">
        <w:tc>
          <w:tcPr>
            <w:tcW w:w="670" w:type="dxa"/>
          </w:tcPr>
          <w:p w:rsidR="00B01E4E" w:rsidRPr="002553BB" w:rsidRDefault="00B01E4E" w:rsidP="002553BB">
            <w:pPr>
              <w:spacing w:line="360" w:lineRule="auto"/>
              <w:rPr>
                <w:rFonts w:ascii="Book Antiqua" w:hAnsi="Book Antiqua" w:cs="Arial"/>
              </w:rPr>
            </w:pPr>
          </w:p>
        </w:tc>
        <w:tc>
          <w:tcPr>
            <w:tcW w:w="3186" w:type="dxa"/>
          </w:tcPr>
          <w:p w:rsidR="00B01E4E" w:rsidRPr="002553BB" w:rsidRDefault="00B01E4E" w:rsidP="002553BB">
            <w:pPr>
              <w:spacing w:line="360" w:lineRule="auto"/>
              <w:rPr>
                <w:rFonts w:ascii="Book Antiqua" w:hAnsi="Book Antiqua" w:cs="Arial"/>
              </w:rPr>
            </w:pPr>
            <w:r w:rsidRPr="002553BB">
              <w:rPr>
                <w:rFonts w:ascii="Book Antiqua" w:hAnsi="Book Antiqua" w:cs="Arial"/>
              </w:rPr>
              <w:t>Nie sú</w:t>
            </w:r>
          </w:p>
        </w:tc>
        <w:tc>
          <w:tcPr>
            <w:tcW w:w="2084" w:type="dxa"/>
          </w:tcPr>
          <w:p w:rsidR="00B01E4E" w:rsidRPr="002553BB" w:rsidRDefault="00B01E4E" w:rsidP="002553BB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4320" w:type="dxa"/>
          </w:tcPr>
          <w:p w:rsidR="00B01E4E" w:rsidRPr="002553BB" w:rsidRDefault="00B01E4E" w:rsidP="002553BB">
            <w:pPr>
              <w:spacing w:line="360" w:lineRule="auto"/>
              <w:rPr>
                <w:rFonts w:ascii="Book Antiqua" w:hAnsi="Book Antiqua" w:cs="Arial"/>
              </w:rPr>
            </w:pPr>
          </w:p>
        </w:tc>
      </w:tr>
    </w:tbl>
    <w:p w:rsidR="00B01E4E" w:rsidRPr="00402A07" w:rsidRDefault="00B01E4E" w:rsidP="00B01E4E">
      <w:pPr>
        <w:pStyle w:val="Pismenka"/>
        <w:tabs>
          <w:tab w:val="clear" w:pos="426"/>
        </w:tabs>
        <w:spacing w:line="360" w:lineRule="auto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Pr="00402A07" w:rsidRDefault="00B01E4E" w:rsidP="00B01E4E">
      <w:pPr>
        <w:pStyle w:val="Pismenka"/>
        <w:tabs>
          <w:tab w:val="clear" w:pos="426"/>
        </w:tabs>
        <w:spacing w:line="360" w:lineRule="auto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Pr="00402A07" w:rsidRDefault="001F37F9" w:rsidP="00B01E4E">
      <w:pPr>
        <w:rPr>
          <w:rFonts w:ascii="Book Antiqua" w:hAnsi="Book Antiqua" w:cs="Arial"/>
          <w:b/>
          <w:bCs/>
        </w:rPr>
      </w:pPr>
      <w:r>
        <w:rPr>
          <w:rFonts w:ascii="Book Antiqua" w:hAnsi="Book Antiqua" w:cs="Arial"/>
          <w:b/>
          <w:bCs/>
        </w:rPr>
        <w:t>M</w:t>
      </w:r>
      <w:r w:rsidR="00B01E4E" w:rsidRPr="00402A07">
        <w:rPr>
          <w:rFonts w:ascii="Book Antiqua" w:hAnsi="Book Antiqua" w:cs="Arial"/>
          <w:b/>
          <w:bCs/>
        </w:rPr>
        <w:t xml:space="preserve">ajetok </w:t>
      </w:r>
      <w:r w:rsidR="000A4A37" w:rsidRPr="00402A07">
        <w:rPr>
          <w:rFonts w:ascii="Book Antiqua" w:hAnsi="Book Antiqua" w:cs="Arial"/>
          <w:b/>
          <w:bCs/>
        </w:rPr>
        <w:t xml:space="preserve"> po konsolidácií</w:t>
      </w:r>
    </w:p>
    <w:p w:rsidR="00B01E4E" w:rsidRPr="00402A07" w:rsidRDefault="00B01E4E" w:rsidP="00506095">
      <w:pPr>
        <w:spacing w:line="360" w:lineRule="auto"/>
        <w:ind w:left="360"/>
        <w:rPr>
          <w:rFonts w:ascii="Book Antiqua" w:hAnsi="Book Antiqua" w:cs="Arial"/>
        </w:rPr>
      </w:pPr>
      <w:r w:rsidRPr="00402A07">
        <w:rPr>
          <w:rFonts w:ascii="Book Antiqua" w:hAnsi="Book Antiqua" w:cs="Arial"/>
        </w:rPr>
        <w:t>Prehľad o pohybe majetku /v EUR /</w:t>
      </w:r>
      <w:r w:rsidR="001F37F9">
        <w:rPr>
          <w:rFonts w:ascii="Book Antiqua" w:hAnsi="Book Antiqua" w:cs="Arial"/>
        </w:rPr>
        <w:t>- v priložených tabuľkách</w:t>
      </w:r>
    </w:p>
    <w:p w:rsidR="00402A07" w:rsidRDefault="00402A07" w:rsidP="00C30D7C">
      <w:pPr>
        <w:jc w:val="both"/>
        <w:rPr>
          <w:rFonts w:ascii="Book Antiqua" w:hAnsi="Book Antiqua" w:cs="Arial"/>
          <w:b/>
          <w:bCs/>
          <w:sz w:val="24"/>
          <w:szCs w:val="24"/>
        </w:rPr>
      </w:pPr>
    </w:p>
    <w:p w:rsidR="00A40FFC" w:rsidRDefault="00A40FFC" w:rsidP="00A40FFC">
      <w:pPr>
        <w:spacing w:line="360" w:lineRule="auto"/>
        <w:ind w:left="720"/>
        <w:jc w:val="both"/>
        <w:rPr>
          <w:rFonts w:ascii="Book Antiqua" w:hAnsi="Book Antiqua" w:cs="Arial"/>
          <w:sz w:val="24"/>
          <w:szCs w:val="24"/>
        </w:rPr>
      </w:pPr>
    </w:p>
    <w:p w:rsidR="008D59F3" w:rsidRDefault="008D59F3" w:rsidP="00A40FFC">
      <w:pPr>
        <w:spacing w:line="360" w:lineRule="auto"/>
        <w:ind w:left="720"/>
        <w:jc w:val="both"/>
        <w:rPr>
          <w:rFonts w:ascii="Book Antiqua" w:hAnsi="Book Antiqua" w:cs="Arial"/>
          <w:sz w:val="24"/>
          <w:szCs w:val="24"/>
        </w:rPr>
      </w:pPr>
    </w:p>
    <w:p w:rsidR="008D59F3" w:rsidRDefault="008D59F3" w:rsidP="00A40FFC">
      <w:pPr>
        <w:spacing w:line="360" w:lineRule="auto"/>
        <w:ind w:left="720"/>
        <w:jc w:val="both"/>
        <w:rPr>
          <w:rFonts w:ascii="Book Antiqua" w:hAnsi="Book Antiqua" w:cs="Arial"/>
          <w:sz w:val="24"/>
          <w:szCs w:val="24"/>
        </w:rPr>
      </w:pPr>
    </w:p>
    <w:p w:rsidR="008D59F3" w:rsidRDefault="008D59F3" w:rsidP="00A40FFC">
      <w:pPr>
        <w:spacing w:line="360" w:lineRule="auto"/>
        <w:ind w:left="720"/>
        <w:jc w:val="both"/>
        <w:rPr>
          <w:rFonts w:ascii="Book Antiqua" w:hAnsi="Book Antiqua" w:cs="Arial"/>
          <w:sz w:val="24"/>
          <w:szCs w:val="24"/>
        </w:rPr>
      </w:pPr>
    </w:p>
    <w:p w:rsidR="008D59F3" w:rsidRDefault="008D59F3" w:rsidP="00A40FFC">
      <w:pPr>
        <w:spacing w:line="360" w:lineRule="auto"/>
        <w:ind w:left="720"/>
        <w:jc w:val="both"/>
        <w:rPr>
          <w:rFonts w:ascii="Book Antiqua" w:hAnsi="Book Antiqua" w:cs="Arial"/>
          <w:sz w:val="24"/>
          <w:szCs w:val="24"/>
        </w:rPr>
      </w:pPr>
    </w:p>
    <w:p w:rsidR="008D59F3" w:rsidRDefault="008D59F3" w:rsidP="00A40FFC">
      <w:pPr>
        <w:spacing w:line="360" w:lineRule="auto"/>
        <w:ind w:left="720"/>
        <w:jc w:val="both"/>
        <w:rPr>
          <w:rFonts w:ascii="Book Antiqua" w:hAnsi="Book Antiqua" w:cs="Arial"/>
          <w:sz w:val="24"/>
          <w:szCs w:val="24"/>
        </w:rPr>
      </w:pPr>
    </w:p>
    <w:p w:rsidR="008D59F3" w:rsidRDefault="008D59F3" w:rsidP="00A40FFC">
      <w:pPr>
        <w:spacing w:line="360" w:lineRule="auto"/>
        <w:ind w:left="720"/>
        <w:jc w:val="both"/>
        <w:rPr>
          <w:rFonts w:ascii="Book Antiqua" w:hAnsi="Book Antiqua" w:cs="Arial"/>
          <w:sz w:val="24"/>
          <w:szCs w:val="24"/>
        </w:rPr>
      </w:pPr>
    </w:p>
    <w:p w:rsidR="00AA4068" w:rsidRPr="00402A07" w:rsidRDefault="00AA4068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23928" w:rsidRPr="000B082D" w:rsidRDefault="00423928" w:rsidP="00423928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sectPr w:rsidR="00423928" w:rsidRPr="000B082D" w:rsidSect="005E267B">
      <w:footerReference w:type="default" r:id="rId7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60C7A" w:rsidRDefault="00A60C7A">
      <w:r>
        <w:separator/>
      </w:r>
    </w:p>
  </w:endnote>
  <w:endnote w:type="continuationSeparator" w:id="0">
    <w:p w:rsidR="00A60C7A" w:rsidRDefault="00A60C7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208E" w:rsidRDefault="008A23B0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80208E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60C7A">
      <w:rPr>
        <w:rStyle w:val="slostrany"/>
        <w:noProof/>
      </w:rPr>
      <w:t>1</w:t>
    </w:r>
    <w:r>
      <w:rPr>
        <w:rStyle w:val="slostrany"/>
      </w:rPr>
      <w:fldChar w:fldCharType="end"/>
    </w:r>
  </w:p>
  <w:p w:rsidR="0080208E" w:rsidRDefault="0080208E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60C7A" w:rsidRDefault="00A60C7A">
      <w:r>
        <w:separator/>
      </w:r>
    </w:p>
  </w:footnote>
  <w:footnote w:type="continuationSeparator" w:id="0">
    <w:p w:rsidR="00A60C7A" w:rsidRDefault="00A60C7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10"/>
  </w:num>
  <w:num w:numId="5">
    <w:abstractNumId w:val="37"/>
  </w:num>
  <w:num w:numId="6">
    <w:abstractNumId w:val="39"/>
  </w:num>
  <w:num w:numId="7">
    <w:abstractNumId w:val="27"/>
  </w:num>
  <w:num w:numId="8">
    <w:abstractNumId w:val="33"/>
  </w:num>
  <w:num w:numId="9">
    <w:abstractNumId w:val="16"/>
  </w:num>
  <w:num w:numId="10">
    <w:abstractNumId w:val="28"/>
  </w:num>
  <w:num w:numId="11">
    <w:abstractNumId w:val="7"/>
  </w:num>
  <w:num w:numId="12">
    <w:abstractNumId w:val="26"/>
  </w:num>
  <w:num w:numId="13">
    <w:abstractNumId w:val="41"/>
  </w:num>
  <w:num w:numId="14">
    <w:abstractNumId w:val="21"/>
  </w:num>
  <w:num w:numId="15">
    <w:abstractNumId w:val="22"/>
  </w:num>
  <w:num w:numId="16">
    <w:abstractNumId w:val="14"/>
  </w:num>
  <w:num w:numId="17">
    <w:abstractNumId w:val="35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29"/>
  </w:num>
  <w:num w:numId="24">
    <w:abstractNumId w:val="31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2"/>
  </w:num>
  <w:num w:numId="30">
    <w:abstractNumId w:val="19"/>
  </w:num>
  <w:num w:numId="31">
    <w:abstractNumId w:val="0"/>
  </w:num>
  <w:num w:numId="32">
    <w:abstractNumId w:val="43"/>
  </w:num>
  <w:num w:numId="33">
    <w:abstractNumId w:val="17"/>
  </w:num>
  <w:num w:numId="34">
    <w:abstractNumId w:val="24"/>
  </w:num>
  <w:num w:numId="35">
    <w:abstractNumId w:val="25"/>
  </w:num>
  <w:num w:numId="36">
    <w:abstractNumId w:val="40"/>
  </w:num>
  <w:num w:numId="37">
    <w:abstractNumId w:val="2"/>
  </w:num>
  <w:num w:numId="38">
    <w:abstractNumId w:val="12"/>
  </w:num>
  <w:num w:numId="39">
    <w:abstractNumId w:val="3"/>
  </w:num>
  <w:num w:numId="40">
    <w:abstractNumId w:val="44"/>
  </w:num>
  <w:num w:numId="41">
    <w:abstractNumId w:val="11"/>
  </w:num>
  <w:num w:numId="42">
    <w:abstractNumId w:val="42"/>
  </w:num>
  <w:num w:numId="43">
    <w:abstractNumId w:val="9"/>
  </w:num>
  <w:num w:numId="44">
    <w:abstractNumId w:val="1"/>
  </w:num>
  <w:num w:numId="45">
    <w:abstractNumId w:val="3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708"/>
  <w:hyphenationZone w:val="425"/>
  <w:characterSpacingControl w:val="doNotCompress"/>
  <w:savePreviewPicture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D6C"/>
    <w:rsid w:val="0000311D"/>
    <w:rsid w:val="00003F88"/>
    <w:rsid w:val="00004C74"/>
    <w:rsid w:val="00005521"/>
    <w:rsid w:val="000117CC"/>
    <w:rsid w:val="00011C00"/>
    <w:rsid w:val="000124A2"/>
    <w:rsid w:val="00012CF4"/>
    <w:rsid w:val="00014499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3181"/>
    <w:rsid w:val="00082FD1"/>
    <w:rsid w:val="00084E0C"/>
    <w:rsid w:val="00085122"/>
    <w:rsid w:val="00085B15"/>
    <w:rsid w:val="0008765A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7F02"/>
    <w:rsid w:val="000B082D"/>
    <w:rsid w:val="000B1A55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D1882"/>
    <w:rsid w:val="000D1CEA"/>
    <w:rsid w:val="000D7785"/>
    <w:rsid w:val="000E0B80"/>
    <w:rsid w:val="000E1AB7"/>
    <w:rsid w:val="000E4A24"/>
    <w:rsid w:val="000E6E05"/>
    <w:rsid w:val="000E70AC"/>
    <w:rsid w:val="000F11DA"/>
    <w:rsid w:val="000F5702"/>
    <w:rsid w:val="000F5C2F"/>
    <w:rsid w:val="000F6C9C"/>
    <w:rsid w:val="000F7FB4"/>
    <w:rsid w:val="0010030B"/>
    <w:rsid w:val="00100DB4"/>
    <w:rsid w:val="001056E1"/>
    <w:rsid w:val="0011496E"/>
    <w:rsid w:val="00115AC6"/>
    <w:rsid w:val="00120BA4"/>
    <w:rsid w:val="00122700"/>
    <w:rsid w:val="0012465F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70501"/>
    <w:rsid w:val="001705EA"/>
    <w:rsid w:val="001709BA"/>
    <w:rsid w:val="001720E9"/>
    <w:rsid w:val="001723AD"/>
    <w:rsid w:val="00175FB8"/>
    <w:rsid w:val="00180D8C"/>
    <w:rsid w:val="00182FFB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A6D47"/>
    <w:rsid w:val="001B0433"/>
    <w:rsid w:val="001B2089"/>
    <w:rsid w:val="001B331A"/>
    <w:rsid w:val="001B3D17"/>
    <w:rsid w:val="001B4220"/>
    <w:rsid w:val="001B5431"/>
    <w:rsid w:val="001B6514"/>
    <w:rsid w:val="001C1DFE"/>
    <w:rsid w:val="001C320F"/>
    <w:rsid w:val="001C390A"/>
    <w:rsid w:val="001C4D65"/>
    <w:rsid w:val="001C4DCE"/>
    <w:rsid w:val="001C503A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953"/>
    <w:rsid w:val="001E2C2A"/>
    <w:rsid w:val="001E5157"/>
    <w:rsid w:val="001E7435"/>
    <w:rsid w:val="001E7DD6"/>
    <w:rsid w:val="001F0DF9"/>
    <w:rsid w:val="001F3097"/>
    <w:rsid w:val="001F37F9"/>
    <w:rsid w:val="001F49CB"/>
    <w:rsid w:val="0020080C"/>
    <w:rsid w:val="0020131B"/>
    <w:rsid w:val="00203366"/>
    <w:rsid w:val="00203609"/>
    <w:rsid w:val="00205598"/>
    <w:rsid w:val="0020591D"/>
    <w:rsid w:val="00205DA7"/>
    <w:rsid w:val="002071D9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3B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3D60"/>
    <w:rsid w:val="00276769"/>
    <w:rsid w:val="00282F74"/>
    <w:rsid w:val="002836B1"/>
    <w:rsid w:val="002901EE"/>
    <w:rsid w:val="00291B22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2C66"/>
    <w:rsid w:val="002B4847"/>
    <w:rsid w:val="002B4D1C"/>
    <w:rsid w:val="002B5C77"/>
    <w:rsid w:val="002B615A"/>
    <w:rsid w:val="002C039E"/>
    <w:rsid w:val="002C14AD"/>
    <w:rsid w:val="002C331F"/>
    <w:rsid w:val="002C5EAA"/>
    <w:rsid w:val="002C7F37"/>
    <w:rsid w:val="002D00C9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125B2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CBD"/>
    <w:rsid w:val="00326482"/>
    <w:rsid w:val="00326E54"/>
    <w:rsid w:val="00327799"/>
    <w:rsid w:val="003301C3"/>
    <w:rsid w:val="00331319"/>
    <w:rsid w:val="00333251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6BFB"/>
    <w:rsid w:val="00381316"/>
    <w:rsid w:val="00385410"/>
    <w:rsid w:val="003917EC"/>
    <w:rsid w:val="003A0D9C"/>
    <w:rsid w:val="003A1ACB"/>
    <w:rsid w:val="003A28B1"/>
    <w:rsid w:val="003A4603"/>
    <w:rsid w:val="003A470A"/>
    <w:rsid w:val="003A5FFD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2E8B"/>
    <w:rsid w:val="003E3641"/>
    <w:rsid w:val="003E3951"/>
    <w:rsid w:val="003E6DDE"/>
    <w:rsid w:val="003E764E"/>
    <w:rsid w:val="003F1D27"/>
    <w:rsid w:val="003F37E9"/>
    <w:rsid w:val="00400F4F"/>
    <w:rsid w:val="00401883"/>
    <w:rsid w:val="00402A07"/>
    <w:rsid w:val="00403209"/>
    <w:rsid w:val="0040431A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4ACE"/>
    <w:rsid w:val="00464D36"/>
    <w:rsid w:val="00471206"/>
    <w:rsid w:val="00471365"/>
    <w:rsid w:val="00474010"/>
    <w:rsid w:val="004760F2"/>
    <w:rsid w:val="00476769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959FB"/>
    <w:rsid w:val="00497185"/>
    <w:rsid w:val="004A07DA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79A7"/>
    <w:rsid w:val="00503649"/>
    <w:rsid w:val="005058CC"/>
    <w:rsid w:val="00506095"/>
    <w:rsid w:val="00506E27"/>
    <w:rsid w:val="00507B63"/>
    <w:rsid w:val="00511307"/>
    <w:rsid w:val="00511F84"/>
    <w:rsid w:val="0051350A"/>
    <w:rsid w:val="00513645"/>
    <w:rsid w:val="0051580A"/>
    <w:rsid w:val="005216B6"/>
    <w:rsid w:val="00521CED"/>
    <w:rsid w:val="00522575"/>
    <w:rsid w:val="00522F84"/>
    <w:rsid w:val="00524D58"/>
    <w:rsid w:val="00524E49"/>
    <w:rsid w:val="00525909"/>
    <w:rsid w:val="005308BA"/>
    <w:rsid w:val="005346E4"/>
    <w:rsid w:val="00534960"/>
    <w:rsid w:val="0053507A"/>
    <w:rsid w:val="00540047"/>
    <w:rsid w:val="0054037D"/>
    <w:rsid w:val="00541A0E"/>
    <w:rsid w:val="0054497F"/>
    <w:rsid w:val="00546686"/>
    <w:rsid w:val="00550752"/>
    <w:rsid w:val="00550A3C"/>
    <w:rsid w:val="00550A76"/>
    <w:rsid w:val="00552C2A"/>
    <w:rsid w:val="00554592"/>
    <w:rsid w:val="005547E2"/>
    <w:rsid w:val="00554B96"/>
    <w:rsid w:val="005555D8"/>
    <w:rsid w:val="00555680"/>
    <w:rsid w:val="00556AC1"/>
    <w:rsid w:val="00560664"/>
    <w:rsid w:val="0056274B"/>
    <w:rsid w:val="00565668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77A2"/>
    <w:rsid w:val="005E267B"/>
    <w:rsid w:val="005E3777"/>
    <w:rsid w:val="005E604C"/>
    <w:rsid w:val="005E6FE5"/>
    <w:rsid w:val="005F08B2"/>
    <w:rsid w:val="005F3319"/>
    <w:rsid w:val="005F4B86"/>
    <w:rsid w:val="005F57EC"/>
    <w:rsid w:val="0060016B"/>
    <w:rsid w:val="0060060A"/>
    <w:rsid w:val="006010B6"/>
    <w:rsid w:val="00604314"/>
    <w:rsid w:val="00605FBD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4279"/>
    <w:rsid w:val="00625AEE"/>
    <w:rsid w:val="00625E9C"/>
    <w:rsid w:val="00627684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51253"/>
    <w:rsid w:val="00651669"/>
    <w:rsid w:val="00652F9D"/>
    <w:rsid w:val="00656520"/>
    <w:rsid w:val="006569C1"/>
    <w:rsid w:val="00656C44"/>
    <w:rsid w:val="00657E0F"/>
    <w:rsid w:val="00657EB3"/>
    <w:rsid w:val="006617F2"/>
    <w:rsid w:val="00671BC5"/>
    <w:rsid w:val="00671BD2"/>
    <w:rsid w:val="00672250"/>
    <w:rsid w:val="006753AF"/>
    <w:rsid w:val="006779A5"/>
    <w:rsid w:val="006807C7"/>
    <w:rsid w:val="00684C3E"/>
    <w:rsid w:val="00686C1A"/>
    <w:rsid w:val="006915E8"/>
    <w:rsid w:val="00692466"/>
    <w:rsid w:val="006937CA"/>
    <w:rsid w:val="00695E3B"/>
    <w:rsid w:val="006A06CA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B7490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2A7D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59D1"/>
    <w:rsid w:val="007329A6"/>
    <w:rsid w:val="00735C0E"/>
    <w:rsid w:val="00736743"/>
    <w:rsid w:val="00737A65"/>
    <w:rsid w:val="00740C6B"/>
    <w:rsid w:val="007437F7"/>
    <w:rsid w:val="00747DB8"/>
    <w:rsid w:val="00754364"/>
    <w:rsid w:val="0075460E"/>
    <w:rsid w:val="007600DC"/>
    <w:rsid w:val="0076024E"/>
    <w:rsid w:val="00760897"/>
    <w:rsid w:val="00761610"/>
    <w:rsid w:val="0076235B"/>
    <w:rsid w:val="00765E81"/>
    <w:rsid w:val="0076654E"/>
    <w:rsid w:val="00766641"/>
    <w:rsid w:val="0077227C"/>
    <w:rsid w:val="00783B4F"/>
    <w:rsid w:val="007849FD"/>
    <w:rsid w:val="007869BD"/>
    <w:rsid w:val="00793198"/>
    <w:rsid w:val="007946B3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C353E"/>
    <w:rsid w:val="007C5BC9"/>
    <w:rsid w:val="007C6223"/>
    <w:rsid w:val="007D21C8"/>
    <w:rsid w:val="007D21D5"/>
    <w:rsid w:val="007D39F1"/>
    <w:rsid w:val="007D433B"/>
    <w:rsid w:val="007D798C"/>
    <w:rsid w:val="007E2317"/>
    <w:rsid w:val="007E6A67"/>
    <w:rsid w:val="007E6CA7"/>
    <w:rsid w:val="007F2DB6"/>
    <w:rsid w:val="007F2FEA"/>
    <w:rsid w:val="007F52F6"/>
    <w:rsid w:val="007F704A"/>
    <w:rsid w:val="007F7D11"/>
    <w:rsid w:val="00800B5E"/>
    <w:rsid w:val="00801973"/>
    <w:rsid w:val="00801C3A"/>
    <w:rsid w:val="0080208E"/>
    <w:rsid w:val="008026CC"/>
    <w:rsid w:val="00802AE5"/>
    <w:rsid w:val="00803CB3"/>
    <w:rsid w:val="008067D6"/>
    <w:rsid w:val="008115A5"/>
    <w:rsid w:val="00816472"/>
    <w:rsid w:val="008174B1"/>
    <w:rsid w:val="008207DB"/>
    <w:rsid w:val="00820A65"/>
    <w:rsid w:val="00823407"/>
    <w:rsid w:val="00824036"/>
    <w:rsid w:val="00825BD8"/>
    <w:rsid w:val="00840EEE"/>
    <w:rsid w:val="00845C4E"/>
    <w:rsid w:val="0084746C"/>
    <w:rsid w:val="008505A5"/>
    <w:rsid w:val="00851842"/>
    <w:rsid w:val="00852FE5"/>
    <w:rsid w:val="0085526C"/>
    <w:rsid w:val="00862128"/>
    <w:rsid w:val="00862FD0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1577"/>
    <w:rsid w:val="00895DF0"/>
    <w:rsid w:val="008962AF"/>
    <w:rsid w:val="008A07CD"/>
    <w:rsid w:val="008A091D"/>
    <w:rsid w:val="008A23B0"/>
    <w:rsid w:val="008A2DEA"/>
    <w:rsid w:val="008A39D6"/>
    <w:rsid w:val="008A3A4E"/>
    <w:rsid w:val="008A6C1C"/>
    <w:rsid w:val="008A6C58"/>
    <w:rsid w:val="008A6C89"/>
    <w:rsid w:val="008B0C1A"/>
    <w:rsid w:val="008B1213"/>
    <w:rsid w:val="008B392E"/>
    <w:rsid w:val="008B5A05"/>
    <w:rsid w:val="008B6BC3"/>
    <w:rsid w:val="008C0026"/>
    <w:rsid w:val="008C0409"/>
    <w:rsid w:val="008C1430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349C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32B8"/>
    <w:rsid w:val="009E3B89"/>
    <w:rsid w:val="009E48BB"/>
    <w:rsid w:val="009E5A8D"/>
    <w:rsid w:val="009E75A2"/>
    <w:rsid w:val="009F0666"/>
    <w:rsid w:val="009F0B62"/>
    <w:rsid w:val="009F0C1A"/>
    <w:rsid w:val="009F105B"/>
    <w:rsid w:val="00A0540B"/>
    <w:rsid w:val="00A06681"/>
    <w:rsid w:val="00A077E9"/>
    <w:rsid w:val="00A14387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3252"/>
    <w:rsid w:val="00A57783"/>
    <w:rsid w:val="00A60C7A"/>
    <w:rsid w:val="00A60F53"/>
    <w:rsid w:val="00A614DA"/>
    <w:rsid w:val="00A61CEE"/>
    <w:rsid w:val="00A63267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CE4"/>
    <w:rsid w:val="00A82F2E"/>
    <w:rsid w:val="00A831A1"/>
    <w:rsid w:val="00A84F62"/>
    <w:rsid w:val="00A91443"/>
    <w:rsid w:val="00A9181C"/>
    <w:rsid w:val="00A92193"/>
    <w:rsid w:val="00A9309E"/>
    <w:rsid w:val="00A94674"/>
    <w:rsid w:val="00AA366D"/>
    <w:rsid w:val="00AA4068"/>
    <w:rsid w:val="00AA46DB"/>
    <w:rsid w:val="00AA6E6F"/>
    <w:rsid w:val="00AA7278"/>
    <w:rsid w:val="00AB0DD9"/>
    <w:rsid w:val="00AB3B16"/>
    <w:rsid w:val="00AB54CA"/>
    <w:rsid w:val="00AB66E9"/>
    <w:rsid w:val="00AC1B28"/>
    <w:rsid w:val="00AC3183"/>
    <w:rsid w:val="00AD14C6"/>
    <w:rsid w:val="00AD1C46"/>
    <w:rsid w:val="00AD2212"/>
    <w:rsid w:val="00AD3B7F"/>
    <w:rsid w:val="00AD4B54"/>
    <w:rsid w:val="00AD6AD6"/>
    <w:rsid w:val="00AE05B2"/>
    <w:rsid w:val="00AE0EA6"/>
    <w:rsid w:val="00AE199B"/>
    <w:rsid w:val="00AE28EC"/>
    <w:rsid w:val="00AE4596"/>
    <w:rsid w:val="00AE5F45"/>
    <w:rsid w:val="00AE635D"/>
    <w:rsid w:val="00AE7AE7"/>
    <w:rsid w:val="00AF2461"/>
    <w:rsid w:val="00AF5E6D"/>
    <w:rsid w:val="00AF6A01"/>
    <w:rsid w:val="00AF6E15"/>
    <w:rsid w:val="00B01E4E"/>
    <w:rsid w:val="00B031CD"/>
    <w:rsid w:val="00B077B5"/>
    <w:rsid w:val="00B117F1"/>
    <w:rsid w:val="00B120E5"/>
    <w:rsid w:val="00B17B7E"/>
    <w:rsid w:val="00B20C9B"/>
    <w:rsid w:val="00B21289"/>
    <w:rsid w:val="00B21F7D"/>
    <w:rsid w:val="00B2557D"/>
    <w:rsid w:val="00B347BD"/>
    <w:rsid w:val="00B35CF5"/>
    <w:rsid w:val="00B4641B"/>
    <w:rsid w:val="00B469FB"/>
    <w:rsid w:val="00B5245E"/>
    <w:rsid w:val="00B53439"/>
    <w:rsid w:val="00B56DD7"/>
    <w:rsid w:val="00B56F78"/>
    <w:rsid w:val="00B57046"/>
    <w:rsid w:val="00B5719F"/>
    <w:rsid w:val="00B61126"/>
    <w:rsid w:val="00B62F9A"/>
    <w:rsid w:val="00B63817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B9A"/>
    <w:rsid w:val="00B77CDE"/>
    <w:rsid w:val="00B80732"/>
    <w:rsid w:val="00B81325"/>
    <w:rsid w:val="00B831FA"/>
    <w:rsid w:val="00B834B8"/>
    <w:rsid w:val="00B8455D"/>
    <w:rsid w:val="00B863F2"/>
    <w:rsid w:val="00B90721"/>
    <w:rsid w:val="00B94A7F"/>
    <w:rsid w:val="00BA0250"/>
    <w:rsid w:val="00BA05E0"/>
    <w:rsid w:val="00BA14C2"/>
    <w:rsid w:val="00BA158A"/>
    <w:rsid w:val="00BA1694"/>
    <w:rsid w:val="00BA39AE"/>
    <w:rsid w:val="00BA49DA"/>
    <w:rsid w:val="00BA52B5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02B"/>
    <w:rsid w:val="00C013C4"/>
    <w:rsid w:val="00C015F7"/>
    <w:rsid w:val="00C039B9"/>
    <w:rsid w:val="00C0439A"/>
    <w:rsid w:val="00C04D62"/>
    <w:rsid w:val="00C067CC"/>
    <w:rsid w:val="00C122A6"/>
    <w:rsid w:val="00C1333F"/>
    <w:rsid w:val="00C15453"/>
    <w:rsid w:val="00C21DB8"/>
    <w:rsid w:val="00C2415A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1CEF"/>
    <w:rsid w:val="00C723D8"/>
    <w:rsid w:val="00C764E7"/>
    <w:rsid w:val="00C82159"/>
    <w:rsid w:val="00C82316"/>
    <w:rsid w:val="00C82A14"/>
    <w:rsid w:val="00C82C13"/>
    <w:rsid w:val="00C836D2"/>
    <w:rsid w:val="00C83B11"/>
    <w:rsid w:val="00C84C1A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597"/>
    <w:rsid w:val="00CC5795"/>
    <w:rsid w:val="00CC728B"/>
    <w:rsid w:val="00CC7E3B"/>
    <w:rsid w:val="00CD1542"/>
    <w:rsid w:val="00CD34C7"/>
    <w:rsid w:val="00CD4BDE"/>
    <w:rsid w:val="00CE1819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3676"/>
    <w:rsid w:val="00D36825"/>
    <w:rsid w:val="00D429AE"/>
    <w:rsid w:val="00D43A42"/>
    <w:rsid w:val="00D460D5"/>
    <w:rsid w:val="00D4669D"/>
    <w:rsid w:val="00D477B7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ED1"/>
    <w:rsid w:val="00D65F31"/>
    <w:rsid w:val="00D660E7"/>
    <w:rsid w:val="00D660F9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B2548"/>
    <w:rsid w:val="00DB6FD2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0D4"/>
    <w:rsid w:val="00E07770"/>
    <w:rsid w:val="00E10A9D"/>
    <w:rsid w:val="00E10F68"/>
    <w:rsid w:val="00E129C1"/>
    <w:rsid w:val="00E13BF0"/>
    <w:rsid w:val="00E211B6"/>
    <w:rsid w:val="00E214A8"/>
    <w:rsid w:val="00E21E05"/>
    <w:rsid w:val="00E22DD2"/>
    <w:rsid w:val="00E263C4"/>
    <w:rsid w:val="00E27EC2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399"/>
    <w:rsid w:val="00E979C8"/>
    <w:rsid w:val="00E97EC3"/>
    <w:rsid w:val="00EA190B"/>
    <w:rsid w:val="00EA352E"/>
    <w:rsid w:val="00EA51A5"/>
    <w:rsid w:val="00EA7ED8"/>
    <w:rsid w:val="00EB057D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D18E7"/>
    <w:rsid w:val="00EE0EAF"/>
    <w:rsid w:val="00EE4A62"/>
    <w:rsid w:val="00EE7690"/>
    <w:rsid w:val="00EF28D6"/>
    <w:rsid w:val="00EF314E"/>
    <w:rsid w:val="00EF3ED0"/>
    <w:rsid w:val="00EF5452"/>
    <w:rsid w:val="00F03E6B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11C7"/>
    <w:rsid w:val="00F229A2"/>
    <w:rsid w:val="00F22BC0"/>
    <w:rsid w:val="00F25BED"/>
    <w:rsid w:val="00F27A1A"/>
    <w:rsid w:val="00F312D4"/>
    <w:rsid w:val="00F33BDC"/>
    <w:rsid w:val="00F34A7F"/>
    <w:rsid w:val="00F35032"/>
    <w:rsid w:val="00F36039"/>
    <w:rsid w:val="00F37249"/>
    <w:rsid w:val="00F40BBB"/>
    <w:rsid w:val="00F40F12"/>
    <w:rsid w:val="00F50023"/>
    <w:rsid w:val="00F516B8"/>
    <w:rsid w:val="00F51A8B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0FF3"/>
    <w:rsid w:val="00FE244E"/>
    <w:rsid w:val="00FE289D"/>
    <w:rsid w:val="00FE3DE1"/>
    <w:rsid w:val="00FE3FFB"/>
    <w:rsid w:val="00FE5433"/>
    <w:rsid w:val="00FE6D96"/>
    <w:rsid w:val="00FE7F0E"/>
    <w:rsid w:val="00FF028B"/>
    <w:rsid w:val="00FF4F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8A23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A23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8A23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8A23B0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6</Pages>
  <Words>1111</Words>
  <Characters>6334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7431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pc</cp:lastModifiedBy>
  <cp:revision>3</cp:revision>
  <cp:lastPrinted>2013-11-22T16:13:00Z</cp:lastPrinted>
  <dcterms:created xsi:type="dcterms:W3CDTF">2019-06-21T06:34:00Z</dcterms:created>
  <dcterms:modified xsi:type="dcterms:W3CDTF">2019-06-21T06:58:00Z</dcterms:modified>
</cp:coreProperties>
</file>