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2120" w:rsidRPr="00033722" w:rsidRDefault="009D2120" w:rsidP="009D2120">
      <w:pPr>
        <w:pStyle w:val="Nadpis1"/>
        <w:rPr>
          <w:rFonts w:ascii="Times New Roman" w:hAnsi="Times New Roman" w:cs="Times New Roman"/>
        </w:rPr>
      </w:pPr>
      <w:bookmarkStart w:id="0" w:name="_Toc530739894"/>
      <w:r w:rsidRPr="00033722">
        <w:rPr>
          <w:rFonts w:ascii="Times New Roman" w:hAnsi="Times New Roman" w:cs="Times New Roman"/>
        </w:rPr>
        <w:t>INFORMÁCIE O ÚČTOVNEJ JEDNOTKE</w:t>
      </w:r>
      <w:bookmarkEnd w:id="0"/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Založenie spoločnosti</w:t>
      </w:r>
    </w:p>
    <w:p w:rsidR="00C0006A" w:rsidRDefault="00C0006A" w:rsidP="002E0789">
      <w:pPr>
        <w:pStyle w:val="Zkladntext"/>
        <w:ind w:left="0"/>
        <w:rPr>
          <w:rFonts w:ascii="Times New Roman" w:hAnsi="Times New Roman" w:cs="Times New Roman"/>
          <w:szCs w:val="18"/>
        </w:rPr>
      </w:pPr>
    </w:p>
    <w:p w:rsidR="009D2120" w:rsidRDefault="009D2120" w:rsidP="002E0789">
      <w:pPr>
        <w:pStyle w:val="Zkladntext"/>
        <w:ind w:left="0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Spoločnosť </w:t>
      </w:r>
      <w:r w:rsidR="00541013" w:rsidRPr="00033722">
        <w:rPr>
          <w:rFonts w:ascii="Times New Roman" w:hAnsi="Times New Roman" w:cs="Times New Roman"/>
          <w:szCs w:val="18"/>
        </w:rPr>
        <w:t>FISTER s.r.o.</w:t>
      </w:r>
      <w:r w:rsidRPr="00033722">
        <w:rPr>
          <w:rFonts w:ascii="Times New Roman" w:hAnsi="Times New Roman" w:cs="Times New Roman"/>
          <w:szCs w:val="18"/>
        </w:rPr>
        <w:t xml:space="preserve"> (ďalej len Spoločnosť), bola založená </w:t>
      </w:r>
      <w:r w:rsidR="00541013" w:rsidRPr="00033722">
        <w:rPr>
          <w:rFonts w:ascii="Times New Roman" w:hAnsi="Times New Roman" w:cs="Times New Roman"/>
          <w:szCs w:val="18"/>
        </w:rPr>
        <w:t>10.novembra 2008</w:t>
      </w:r>
      <w:r w:rsidRPr="00033722">
        <w:rPr>
          <w:rFonts w:ascii="Times New Roman" w:hAnsi="Times New Roman" w:cs="Times New Roman"/>
          <w:szCs w:val="18"/>
        </w:rPr>
        <w:t xml:space="preserve"> a do obchodného registra bola zapísaná </w:t>
      </w:r>
      <w:r w:rsidR="00541013" w:rsidRPr="00033722">
        <w:rPr>
          <w:rFonts w:ascii="Times New Roman" w:hAnsi="Times New Roman" w:cs="Times New Roman"/>
          <w:szCs w:val="18"/>
        </w:rPr>
        <w:t>4.decemra 2008</w:t>
      </w:r>
      <w:r w:rsidRPr="00033722">
        <w:rPr>
          <w:rFonts w:ascii="Times New Roman" w:hAnsi="Times New Roman" w:cs="Times New Roman"/>
          <w:szCs w:val="18"/>
        </w:rPr>
        <w:t xml:space="preserve"> (Obchodný register Okresného súdu Bratislava I v Bratislave, oddiel s.r.o., vložka </w:t>
      </w:r>
      <w:r w:rsidR="00541013" w:rsidRPr="00033722">
        <w:rPr>
          <w:rFonts w:ascii="Times New Roman" w:hAnsi="Times New Roman" w:cs="Times New Roman"/>
          <w:szCs w:val="18"/>
        </w:rPr>
        <w:t>55722/B</w:t>
      </w:r>
      <w:r w:rsidRPr="00033722">
        <w:rPr>
          <w:rFonts w:ascii="Times New Roman" w:hAnsi="Times New Roman" w:cs="Times New Roman"/>
          <w:szCs w:val="18"/>
        </w:rPr>
        <w:t xml:space="preserve">). </w:t>
      </w:r>
    </w:p>
    <w:p w:rsidR="00C0006A" w:rsidRPr="00033722" w:rsidRDefault="00C0006A" w:rsidP="002E0789">
      <w:pPr>
        <w:pStyle w:val="Zkladntext"/>
        <w:ind w:left="0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bookmarkStart w:id="1" w:name="_Toc530739896"/>
      <w:r w:rsidRPr="00033722">
        <w:rPr>
          <w:rFonts w:ascii="Times New Roman" w:hAnsi="Times New Roman" w:cs="Times New Roman"/>
        </w:rPr>
        <w:t>Hlavnými činnosťami Spoločnosti sú:</w:t>
      </w:r>
      <w:bookmarkEnd w:id="1"/>
    </w:p>
    <w:p w:rsidR="00C0006A" w:rsidRDefault="00C0006A" w:rsidP="002E0789">
      <w:pPr>
        <w:pStyle w:val="Zkladntext"/>
        <w:tabs>
          <w:tab w:val="left" w:pos="7905"/>
        </w:tabs>
        <w:ind w:left="0"/>
        <w:rPr>
          <w:rFonts w:ascii="Times New Roman" w:hAnsi="Times New Roman" w:cs="Times New Roman"/>
          <w:szCs w:val="18"/>
        </w:rPr>
      </w:pPr>
    </w:p>
    <w:p w:rsidR="009D2120" w:rsidRPr="00033722" w:rsidRDefault="009D2120" w:rsidP="002E0789">
      <w:pPr>
        <w:pStyle w:val="Zkladntext"/>
        <w:tabs>
          <w:tab w:val="left" w:pos="7905"/>
        </w:tabs>
        <w:ind w:left="0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– </w:t>
      </w:r>
      <w:r w:rsidR="00541013" w:rsidRPr="00033722">
        <w:rPr>
          <w:rFonts w:ascii="Times New Roman" w:hAnsi="Times New Roman" w:cs="Times New Roman"/>
          <w:szCs w:val="18"/>
        </w:rPr>
        <w:t>výroba a opravy šperkov zo zlata a striebra</w:t>
      </w:r>
      <w:r w:rsidRPr="00033722">
        <w:rPr>
          <w:rFonts w:ascii="Times New Roman" w:hAnsi="Times New Roman" w:cs="Times New Roman"/>
          <w:szCs w:val="18"/>
        </w:rPr>
        <w:t>,</w:t>
      </w:r>
      <w:r w:rsidRPr="00033722">
        <w:rPr>
          <w:rFonts w:ascii="Times New Roman" w:hAnsi="Times New Roman" w:cs="Times New Roman"/>
          <w:szCs w:val="18"/>
        </w:rPr>
        <w:tab/>
      </w:r>
    </w:p>
    <w:p w:rsidR="009D2120" w:rsidRPr="00033722" w:rsidRDefault="009D2120" w:rsidP="002E0789">
      <w:pPr>
        <w:pStyle w:val="Zkladntext"/>
        <w:ind w:left="0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– </w:t>
      </w:r>
      <w:r w:rsidR="00541013" w:rsidRPr="00033722">
        <w:rPr>
          <w:rFonts w:ascii="Times New Roman" w:hAnsi="Times New Roman" w:cs="Times New Roman"/>
          <w:szCs w:val="18"/>
        </w:rPr>
        <w:t>činnosť ekonomických poradcov</w:t>
      </w:r>
      <w:r w:rsidRPr="00033722">
        <w:rPr>
          <w:rFonts w:ascii="Times New Roman" w:hAnsi="Times New Roman" w:cs="Times New Roman"/>
          <w:szCs w:val="18"/>
        </w:rPr>
        <w:t>,</w:t>
      </w:r>
    </w:p>
    <w:p w:rsidR="009D2120" w:rsidRPr="00033722" w:rsidRDefault="009D2120" w:rsidP="002E0789">
      <w:pPr>
        <w:pStyle w:val="Zkladntext"/>
        <w:ind w:left="0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– </w:t>
      </w:r>
      <w:r w:rsidR="00541013" w:rsidRPr="00033722">
        <w:rPr>
          <w:rFonts w:ascii="Times New Roman" w:hAnsi="Times New Roman" w:cs="Times New Roman"/>
          <w:szCs w:val="18"/>
        </w:rPr>
        <w:t>sprostredkovanie obchodu</w:t>
      </w:r>
      <w:r w:rsidRPr="00033722">
        <w:rPr>
          <w:rFonts w:ascii="Times New Roman" w:hAnsi="Times New Roman" w:cs="Times New Roman"/>
          <w:szCs w:val="18"/>
        </w:rPr>
        <w:t>.</w:t>
      </w:r>
    </w:p>
    <w:p w:rsidR="009D2120" w:rsidRPr="00033722" w:rsidRDefault="009D2120" w:rsidP="002E0789">
      <w:pPr>
        <w:pStyle w:val="Zkladntext"/>
        <w:ind w:left="0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 xml:space="preserve">Počet zamestnancov </w:t>
      </w:r>
    </w:p>
    <w:p w:rsidR="009D2120" w:rsidRPr="00033722" w:rsidRDefault="009D2120" w:rsidP="002E0789">
      <w:pPr>
        <w:pStyle w:val="Zkladntext"/>
        <w:ind w:left="0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Údaje o počte zamestnancov za bežné účtovné obdobie a bezprostredne predchádzajúce účtovné obdobie sú uvedené v nasledujúcom prehľade:</w:t>
      </w:r>
    </w:p>
    <w:p w:rsidR="009D2120" w:rsidRPr="00033722" w:rsidRDefault="009D2120" w:rsidP="002E0789">
      <w:pPr>
        <w:pStyle w:val="Zkladntext"/>
        <w:ind w:left="0"/>
        <w:rPr>
          <w:rFonts w:ascii="Times New Roman" w:hAnsi="Times New Roman" w:cs="Times New Roman"/>
          <w:szCs w:val="18"/>
        </w:rPr>
      </w:pPr>
    </w:p>
    <w:bookmarkStart w:id="2" w:name="_MON_1405921752"/>
    <w:bookmarkEnd w:id="2"/>
    <w:p w:rsidR="009D2120" w:rsidRPr="00033722" w:rsidRDefault="0022078F" w:rsidP="002E0789">
      <w:pPr>
        <w:pStyle w:val="Zkladntext"/>
        <w:ind w:left="0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object w:dxaOrig="9060" w:dyaOrig="14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7" type="#_x0000_t75" style="width:435pt;height:76.5pt" o:ole="" o:preferrelative="f">
            <v:imagedata r:id="rId8" o:title=""/>
            <o:lock v:ext="edit" aspectratio="f"/>
          </v:shape>
          <o:OLEObject Type="Embed" ProgID="Excel.Sheet.12" ShapeID="_x0000_i1047" DrawAspect="Content" ObjectID="_1622906226" r:id="rId9"/>
        </w:objec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Údaje o neobmedzenom ručení</w:t>
      </w:r>
    </w:p>
    <w:p w:rsidR="00C0006A" w:rsidRDefault="00C0006A" w:rsidP="002E0789">
      <w:pPr>
        <w:jc w:val="both"/>
        <w:rPr>
          <w:rFonts w:ascii="Times New Roman" w:hAnsi="Times New Roman" w:cs="Times New Roman"/>
          <w:szCs w:val="18"/>
        </w:rPr>
      </w:pPr>
    </w:p>
    <w:p w:rsidR="009D2120" w:rsidRPr="00033722" w:rsidRDefault="009D2120" w:rsidP="002E0789">
      <w:pPr>
        <w:jc w:val="both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Spoločnosť nie je neobmedzene ručiacim spoločníkom v iných spoločnostiach podľa § 56 ods. 5 Obchodného zákonníka.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Právny dôvod na zostavenie účtovnej závierky</w:t>
      </w:r>
    </w:p>
    <w:p w:rsidR="00C0006A" w:rsidRDefault="00C0006A" w:rsidP="002E0789">
      <w:pPr>
        <w:pStyle w:val="Zkladntext"/>
        <w:ind w:left="0"/>
        <w:rPr>
          <w:rFonts w:ascii="Times New Roman" w:hAnsi="Times New Roman" w:cs="Times New Roman"/>
          <w:szCs w:val="18"/>
        </w:rPr>
      </w:pPr>
    </w:p>
    <w:p w:rsidR="009D2120" w:rsidRPr="00033722" w:rsidRDefault="009D2120" w:rsidP="002E0789">
      <w:pPr>
        <w:pStyle w:val="Zkladntext"/>
        <w:ind w:left="0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Účtovná závierka Spoločnosti k 31. decembru 201</w:t>
      </w:r>
      <w:r w:rsidR="00C0006A">
        <w:rPr>
          <w:rFonts w:ascii="Times New Roman" w:hAnsi="Times New Roman" w:cs="Times New Roman"/>
          <w:szCs w:val="18"/>
        </w:rPr>
        <w:t>8</w:t>
      </w:r>
      <w:r w:rsidRPr="00033722">
        <w:rPr>
          <w:rFonts w:ascii="Times New Roman" w:hAnsi="Times New Roman" w:cs="Times New Roman"/>
          <w:szCs w:val="18"/>
        </w:rPr>
        <w:t xml:space="preserve"> je zostavená ako riadna účtovná závierka podľa § 17 </w:t>
      </w:r>
      <w:r w:rsidR="002E0789" w:rsidRPr="00033722">
        <w:rPr>
          <w:rFonts w:ascii="Times New Roman" w:hAnsi="Times New Roman" w:cs="Times New Roman"/>
          <w:szCs w:val="18"/>
        </w:rPr>
        <w:t xml:space="preserve">ods. 6 zákona NR SR č. 431/2002 </w:t>
      </w:r>
      <w:r w:rsidRPr="00033722">
        <w:rPr>
          <w:rFonts w:ascii="Times New Roman" w:hAnsi="Times New Roman" w:cs="Times New Roman"/>
          <w:szCs w:val="18"/>
        </w:rPr>
        <w:t>Z. z. o účtovníctve za účtovné obdobie od 1. januára 201</w:t>
      </w:r>
      <w:r w:rsidR="00C0006A">
        <w:rPr>
          <w:rFonts w:ascii="Times New Roman" w:hAnsi="Times New Roman" w:cs="Times New Roman"/>
          <w:szCs w:val="18"/>
        </w:rPr>
        <w:t>8</w:t>
      </w:r>
      <w:r w:rsidRPr="00033722">
        <w:rPr>
          <w:rFonts w:ascii="Times New Roman" w:hAnsi="Times New Roman" w:cs="Times New Roman"/>
          <w:szCs w:val="18"/>
        </w:rPr>
        <w:t xml:space="preserve"> do 31. decembra 201</w:t>
      </w:r>
      <w:r w:rsidR="00C0006A">
        <w:rPr>
          <w:rFonts w:ascii="Times New Roman" w:hAnsi="Times New Roman" w:cs="Times New Roman"/>
          <w:szCs w:val="18"/>
        </w:rPr>
        <w:t>8</w:t>
      </w:r>
      <w:r w:rsidRPr="00033722">
        <w:rPr>
          <w:rFonts w:ascii="Times New Roman" w:hAnsi="Times New Roman" w:cs="Times New Roman"/>
          <w:szCs w:val="18"/>
        </w:rPr>
        <w:t>.</w:t>
      </w:r>
    </w:p>
    <w:p w:rsidR="009D2120" w:rsidRPr="00033722" w:rsidRDefault="009D2120" w:rsidP="009D2120">
      <w:pPr>
        <w:pStyle w:val="Zkladntext"/>
        <w:ind w:hanging="426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F0DE8">
      <w:pPr>
        <w:pStyle w:val="Nadpis1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INFORMÁCIE O KONSOLIDOVANOM CELKU</w:t>
      </w:r>
    </w:p>
    <w:p w:rsidR="00C0006A" w:rsidRDefault="009D2120" w:rsidP="00541013">
      <w:pPr>
        <w:pStyle w:val="Zkladntext"/>
        <w:ind w:hanging="426"/>
        <w:rPr>
          <w:rFonts w:ascii="Times New Roman" w:hAnsi="Times New Roman" w:cs="Times New Roman"/>
          <w:b/>
          <w:szCs w:val="18"/>
        </w:rPr>
      </w:pPr>
      <w:r w:rsidRPr="00033722">
        <w:rPr>
          <w:rFonts w:ascii="Times New Roman" w:hAnsi="Times New Roman" w:cs="Times New Roman"/>
          <w:b/>
          <w:szCs w:val="18"/>
        </w:rPr>
        <w:tab/>
      </w:r>
    </w:p>
    <w:p w:rsidR="009D2120" w:rsidRDefault="00541013" w:rsidP="00541013">
      <w:pPr>
        <w:pStyle w:val="Zkladntext"/>
        <w:ind w:hanging="426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Spoločnosť nie je súčasťou konsolidovaného celku.</w:t>
      </w:r>
    </w:p>
    <w:p w:rsidR="00C0006A" w:rsidRPr="00033722" w:rsidRDefault="00C0006A" w:rsidP="00541013">
      <w:pPr>
        <w:pStyle w:val="Zkladntext"/>
        <w:ind w:hanging="426"/>
        <w:rPr>
          <w:rFonts w:ascii="Times New Roman" w:hAnsi="Times New Roman" w:cs="Times New Roman"/>
          <w:szCs w:val="18"/>
        </w:rPr>
      </w:pPr>
    </w:p>
    <w:p w:rsidR="009D2120" w:rsidRPr="00033722" w:rsidRDefault="009D2120" w:rsidP="000F754B">
      <w:pPr>
        <w:pStyle w:val="Nadpis1"/>
        <w:rPr>
          <w:rFonts w:ascii="Times New Roman" w:hAnsi="Times New Roman" w:cs="Times New Roman"/>
        </w:rPr>
      </w:pPr>
      <w:bookmarkStart w:id="3" w:name="_Toc530739899"/>
      <w:r w:rsidRPr="00033722">
        <w:rPr>
          <w:rFonts w:ascii="Times New Roman" w:hAnsi="Times New Roman" w:cs="Times New Roman"/>
        </w:rPr>
        <w:t xml:space="preserve">INFORMÁCIE O ÚČTOVNÝCH ZÁSADÁCH A ÚČTOVNÝCH METÓDACH  </w:t>
      </w:r>
      <w:bookmarkEnd w:id="3"/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Východiská pre zostavenie účtovnej závierky</w:t>
      </w:r>
    </w:p>
    <w:p w:rsidR="00C0006A" w:rsidRDefault="00C0006A" w:rsidP="009D2120">
      <w:pPr>
        <w:pStyle w:val="Zkladntext"/>
        <w:ind w:left="450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ind w:left="450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Účtovná závierka bola zostavená za predpokladu, že Spoločnosť bude nepretržite pokračovať vo svojej činnosti (</w:t>
      </w:r>
      <w:proofErr w:type="spellStart"/>
      <w:r w:rsidRPr="00033722">
        <w:rPr>
          <w:rFonts w:ascii="Times New Roman" w:hAnsi="Times New Roman" w:cs="Times New Roman"/>
          <w:szCs w:val="18"/>
        </w:rPr>
        <w:t>going</w:t>
      </w:r>
      <w:proofErr w:type="spellEnd"/>
      <w:r w:rsidRPr="00033722">
        <w:rPr>
          <w:rFonts w:ascii="Times New Roman" w:hAnsi="Times New Roman" w:cs="Times New Roman"/>
          <w:szCs w:val="18"/>
        </w:rPr>
        <w:t xml:space="preserve"> </w:t>
      </w:r>
      <w:proofErr w:type="spellStart"/>
      <w:r w:rsidRPr="00033722">
        <w:rPr>
          <w:rFonts w:ascii="Times New Roman" w:hAnsi="Times New Roman" w:cs="Times New Roman"/>
          <w:szCs w:val="18"/>
        </w:rPr>
        <w:t>concern</w:t>
      </w:r>
      <w:proofErr w:type="spellEnd"/>
      <w:r w:rsidRPr="00033722">
        <w:rPr>
          <w:rFonts w:ascii="Times New Roman" w:hAnsi="Times New Roman" w:cs="Times New Roman"/>
          <w:szCs w:val="18"/>
        </w:rPr>
        <w:t>).</w:t>
      </w:r>
    </w:p>
    <w:p w:rsidR="009D2120" w:rsidRPr="00033722" w:rsidRDefault="009D2120" w:rsidP="009D2120">
      <w:pPr>
        <w:pStyle w:val="Zkladntext"/>
        <w:ind w:left="450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ind w:left="450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Účtovné metódy a všeobecné účtovné zásady boli účtovnou jednotkou konzistentne aplikované.</w:t>
      </w:r>
    </w:p>
    <w:p w:rsidR="009D2120" w:rsidRPr="00033722" w:rsidRDefault="009D2120" w:rsidP="009D2120">
      <w:pPr>
        <w:pStyle w:val="Zkladntext"/>
        <w:ind w:left="450"/>
        <w:rPr>
          <w:rFonts w:ascii="Times New Roman" w:hAnsi="Times New Roman" w:cs="Times New Roman"/>
          <w:szCs w:val="18"/>
        </w:rPr>
      </w:pPr>
    </w:p>
    <w:p w:rsidR="00C0006A" w:rsidRDefault="00C0006A" w:rsidP="009D2120">
      <w:pPr>
        <w:pStyle w:val="Zkladntext"/>
        <w:ind w:left="450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Dlhodobý nehmotný majetok a dlhodobý hmotný majetok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3"/>
        <w:gridCol w:w="413"/>
        <w:gridCol w:w="1545"/>
        <w:gridCol w:w="222"/>
        <w:gridCol w:w="1813"/>
        <w:gridCol w:w="222"/>
        <w:gridCol w:w="1687"/>
      </w:tblGrid>
      <w:tr w:rsidR="009D2120" w:rsidRPr="00033722" w:rsidTr="00D4734C">
        <w:trPr>
          <w:trHeight w:val="250"/>
        </w:trPr>
        <w:tc>
          <w:tcPr>
            <w:tcW w:w="3402" w:type="dxa"/>
            <w:gridSpan w:val="2"/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br w:type="page"/>
            </w:r>
          </w:p>
        </w:tc>
        <w:tc>
          <w:tcPr>
            <w:tcW w:w="1559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8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Metóda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30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Ročná odpisová</w:t>
            </w:r>
          </w:p>
        </w:tc>
      </w:tr>
      <w:tr w:rsidR="009D2120" w:rsidRPr="00033722" w:rsidTr="00D4734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doba používania</w:t>
            </w:r>
            <w:r w:rsidRPr="00033722">
              <w:rPr>
                <w:rFonts w:ascii="Times New Roman" w:hAnsi="Times New Roman" w:cs="Times New Roman"/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sadzba v %</w:t>
            </w:r>
          </w:p>
        </w:tc>
      </w:tr>
      <w:tr w:rsidR="009D2120" w:rsidRPr="00033722" w:rsidTr="00D4734C">
        <w:trPr>
          <w:trHeight w:val="250"/>
        </w:trPr>
        <w:tc>
          <w:tcPr>
            <w:tcW w:w="3402" w:type="dxa"/>
            <w:gridSpan w:val="2"/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5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8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lineárna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30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20</w:t>
            </w:r>
          </w:p>
        </w:tc>
      </w:tr>
      <w:tr w:rsidR="009D2120" w:rsidRPr="00033722" w:rsidTr="00D4734C">
        <w:trPr>
          <w:trHeight w:val="250"/>
        </w:trPr>
        <w:tc>
          <w:tcPr>
            <w:tcW w:w="3402" w:type="dxa"/>
            <w:gridSpan w:val="2"/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Softvér</w:t>
            </w:r>
          </w:p>
        </w:tc>
        <w:tc>
          <w:tcPr>
            <w:tcW w:w="1559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4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8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lineárna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30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25</w:t>
            </w:r>
          </w:p>
        </w:tc>
      </w:tr>
      <w:tr w:rsidR="009D2120" w:rsidRPr="00033722" w:rsidTr="00D4734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D2120" w:rsidRPr="00033722" w:rsidRDefault="009D2120" w:rsidP="00D4734C">
            <w:pPr>
              <w:pStyle w:val="Tabulka"/>
              <w:ind w:hanging="84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8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8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lineárna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30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12,5</w:t>
            </w:r>
          </w:p>
        </w:tc>
      </w:tr>
      <w:tr w:rsidR="009D2120" w:rsidRPr="00033722" w:rsidTr="00D4734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D2120" w:rsidRPr="00033722" w:rsidRDefault="009D2120" w:rsidP="00D4734C">
            <w:pPr>
              <w:pStyle w:val="Tabulka"/>
              <w:ind w:hanging="84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rôzna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8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30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100</w:t>
            </w:r>
          </w:p>
        </w:tc>
      </w:tr>
    </w:tbl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D2120" w:rsidRPr="00033722" w:rsidTr="00D4734C">
        <w:trPr>
          <w:trHeight w:val="250"/>
        </w:trPr>
        <w:tc>
          <w:tcPr>
            <w:tcW w:w="3118" w:type="dxa"/>
            <w:gridSpan w:val="2"/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985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Metóda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Ročná odpisová</w:t>
            </w:r>
          </w:p>
        </w:tc>
      </w:tr>
      <w:tr w:rsidR="009D2120" w:rsidRPr="00033722" w:rsidTr="00D4734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sadzba v %</w:t>
            </w:r>
          </w:p>
        </w:tc>
      </w:tr>
      <w:tr w:rsidR="009D2120" w:rsidRPr="00033722" w:rsidTr="00D4734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2,5</w:t>
            </w:r>
          </w:p>
        </w:tc>
      </w:tr>
      <w:tr w:rsidR="009D2120" w:rsidRPr="00033722" w:rsidTr="00D4734C">
        <w:trPr>
          <w:trHeight w:val="250"/>
        </w:trPr>
        <w:tc>
          <w:tcPr>
            <w:tcW w:w="3118" w:type="dxa"/>
            <w:gridSpan w:val="2"/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8 až 12</w:t>
            </w:r>
          </w:p>
        </w:tc>
        <w:tc>
          <w:tcPr>
            <w:tcW w:w="14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lineárna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8,3 až 12,5</w:t>
            </w:r>
          </w:p>
        </w:tc>
      </w:tr>
      <w:tr w:rsidR="009D2120" w:rsidRPr="00033722" w:rsidTr="00D4734C">
        <w:trPr>
          <w:trHeight w:val="250"/>
        </w:trPr>
        <w:tc>
          <w:tcPr>
            <w:tcW w:w="3118" w:type="dxa"/>
            <w:gridSpan w:val="2"/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4 až 6</w:t>
            </w:r>
          </w:p>
        </w:tc>
        <w:tc>
          <w:tcPr>
            <w:tcW w:w="14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degresívna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16 až 30</w:t>
            </w:r>
          </w:p>
        </w:tc>
      </w:tr>
      <w:tr w:rsidR="009D2120" w:rsidRPr="00033722" w:rsidTr="00D4734C">
        <w:trPr>
          <w:trHeight w:val="250"/>
        </w:trPr>
        <w:tc>
          <w:tcPr>
            <w:tcW w:w="3118" w:type="dxa"/>
            <w:gridSpan w:val="2"/>
          </w:tcPr>
          <w:p w:rsidR="009D2120" w:rsidRPr="00033722" w:rsidRDefault="009D2120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rôzna</w:t>
            </w:r>
          </w:p>
        </w:tc>
        <w:tc>
          <w:tcPr>
            <w:tcW w:w="14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</w:tcPr>
          <w:p w:rsidR="009D2120" w:rsidRPr="00033722" w:rsidRDefault="009D2120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  <w:r w:rsidRPr="00033722">
              <w:rPr>
                <w:rFonts w:ascii="Times New Roman" w:hAnsi="Times New Roman" w:cs="Times New Roman"/>
                <w:szCs w:val="18"/>
              </w:rPr>
              <w:t>100</w:t>
            </w:r>
          </w:p>
        </w:tc>
      </w:tr>
      <w:tr w:rsidR="00B34A7B" w:rsidRPr="00033722" w:rsidTr="00D4734C">
        <w:trPr>
          <w:trHeight w:val="250"/>
        </w:trPr>
        <w:tc>
          <w:tcPr>
            <w:tcW w:w="3118" w:type="dxa"/>
            <w:gridSpan w:val="2"/>
          </w:tcPr>
          <w:p w:rsidR="00B34A7B" w:rsidRPr="00033722" w:rsidRDefault="00B34A7B" w:rsidP="00D4734C">
            <w:pPr>
              <w:pStyle w:val="Tabulka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985" w:type="dxa"/>
          </w:tcPr>
          <w:p w:rsidR="00B34A7B" w:rsidRPr="00033722" w:rsidRDefault="00B34A7B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41" w:type="dxa"/>
          </w:tcPr>
          <w:p w:rsidR="00B34A7B" w:rsidRPr="00033722" w:rsidRDefault="00B34A7B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</w:tcPr>
          <w:p w:rsidR="00B34A7B" w:rsidRPr="00033722" w:rsidRDefault="00B34A7B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42" w:type="dxa"/>
          </w:tcPr>
          <w:p w:rsidR="00B34A7B" w:rsidRPr="00033722" w:rsidRDefault="00B34A7B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  <w:tc>
          <w:tcPr>
            <w:tcW w:w="1701" w:type="dxa"/>
          </w:tcPr>
          <w:p w:rsidR="00B34A7B" w:rsidRPr="00033722" w:rsidRDefault="00B34A7B" w:rsidP="00D4734C">
            <w:pPr>
              <w:pStyle w:val="Tabulka"/>
              <w:jc w:val="center"/>
              <w:rPr>
                <w:rFonts w:ascii="Times New Roman" w:hAnsi="Times New Roman" w:cs="Times New Roman"/>
                <w:szCs w:val="18"/>
              </w:rPr>
            </w:pPr>
          </w:p>
        </w:tc>
      </w:tr>
    </w:tbl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Cenné papiere a podiely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Cenné papiere na obchodovanie sa pri ich obstaraní oceňujú reálnou hodnotou. 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 xml:space="preserve">Zásoby 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Zníženie hodnoty zásob sa zohľadňuje vytvorením opravnej položky.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Zákazková výroba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Zákazková výroba sa vykazuje použitím metódy stupňa dokončenia zákazky (angl. </w:t>
      </w:r>
      <w:proofErr w:type="spellStart"/>
      <w:r w:rsidRPr="00033722">
        <w:rPr>
          <w:rFonts w:ascii="Times New Roman" w:hAnsi="Times New Roman" w:cs="Times New Roman"/>
          <w:szCs w:val="18"/>
        </w:rPr>
        <w:t>percentage</w:t>
      </w:r>
      <w:proofErr w:type="spellEnd"/>
      <w:r w:rsidRPr="00033722">
        <w:rPr>
          <w:rFonts w:ascii="Times New Roman" w:hAnsi="Times New Roman" w:cs="Times New Roman"/>
          <w:szCs w:val="18"/>
        </w:rPr>
        <w:t>-of-</w:t>
      </w:r>
      <w:proofErr w:type="spellStart"/>
      <w:r w:rsidRPr="00033722">
        <w:rPr>
          <w:rFonts w:ascii="Times New Roman" w:hAnsi="Times New Roman" w:cs="Times New Roman"/>
          <w:szCs w:val="18"/>
        </w:rPr>
        <w:t>completion</w:t>
      </w:r>
      <w:proofErr w:type="spellEnd"/>
      <w:r w:rsidRPr="00033722">
        <w:rPr>
          <w:rFonts w:ascii="Times New Roman" w:hAnsi="Times New Roman" w:cs="Times New Roman"/>
          <w:szCs w:val="18"/>
        </w:rPr>
        <w:t>-</w:t>
      </w:r>
      <w:proofErr w:type="spellStart"/>
      <w:r w:rsidRPr="00033722">
        <w:rPr>
          <w:rFonts w:ascii="Times New Roman" w:hAnsi="Times New Roman" w:cs="Times New Roman"/>
          <w:szCs w:val="18"/>
        </w:rPr>
        <w:t>method</w:t>
      </w:r>
      <w:proofErr w:type="spellEnd"/>
      <w:r w:rsidRPr="00033722">
        <w:rPr>
          <w:rFonts w:ascii="Times New Roman" w:hAnsi="Times New Roman" w:cs="Times New Roman"/>
          <w:szCs w:val="18"/>
        </w:rPr>
        <w:t>).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Zákazková výstavba nehnuteľnosti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b/>
          <w:i/>
          <w:szCs w:val="18"/>
        </w:rPr>
      </w:pPr>
      <w:r w:rsidRPr="00033722">
        <w:rPr>
          <w:rFonts w:ascii="Times New Roman" w:hAnsi="Times New Roman" w:cs="Times New Roman"/>
          <w:b/>
          <w:i/>
          <w:szCs w:val="18"/>
        </w:rPr>
        <w:t>Zákazková výstavba nehnuteľnosti – priebežný transfer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Zákazková výstavba nehnuteľnosti určenej na predaj sa vykazuje podľa metódy stupňa dokončenia.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b/>
          <w:i/>
          <w:szCs w:val="18"/>
        </w:rPr>
      </w:pPr>
      <w:r w:rsidRPr="00033722">
        <w:rPr>
          <w:rFonts w:ascii="Times New Roman" w:hAnsi="Times New Roman" w:cs="Times New Roman"/>
          <w:b/>
          <w:i/>
          <w:szCs w:val="18"/>
        </w:rPr>
        <w:t>Zákazková výstavba nehnuteľnosti – ostatná (nie priebežný transfer)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lastRenderedPageBreak/>
        <w:t>Pohľadávky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Peňažné prostriedky a ceniny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Peňažné prostriedky a ceniny sa oceňujú ich menovitou hodnotou. Zníženie ich hodnoty sa vyjadruje opravnou položkou.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Náklady budúcich období a príjmy budúcich období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Rezervy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Záväzky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Odložené dane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Odložené dane (odložená daňová pohľadávka a odložený daňový záväzok) sa vzťahujú na: </w:t>
      </w:r>
    </w:p>
    <w:p w:rsidR="009D2120" w:rsidRPr="00033722" w:rsidRDefault="009D2120" w:rsidP="009D2120">
      <w:pPr>
        <w:pStyle w:val="Zkladntext"/>
        <w:numPr>
          <w:ilvl w:val="0"/>
          <w:numId w:val="7"/>
        </w:numPr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dočasné rozdiely medzi účtovnou hodnotou majetku a účtovnou hodnotou záväzkov vykázanou v súvahe a ich daňovou základňou,</w:t>
      </w:r>
    </w:p>
    <w:p w:rsidR="009D2120" w:rsidRPr="00033722" w:rsidRDefault="009D2120" w:rsidP="009D2120">
      <w:pPr>
        <w:pStyle w:val="Zkladntext"/>
        <w:numPr>
          <w:ilvl w:val="0"/>
          <w:numId w:val="7"/>
        </w:numPr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možnosť umorovať daňovú stratu v budúcnosti, ktorou sa rozumie možnosť odpočítať daňovú stratu od základu dane v budúcnosti,</w:t>
      </w:r>
    </w:p>
    <w:p w:rsidR="009D2120" w:rsidRDefault="009D2120" w:rsidP="009D2120">
      <w:pPr>
        <w:pStyle w:val="Zkladntext"/>
        <w:numPr>
          <w:ilvl w:val="0"/>
          <w:numId w:val="7"/>
        </w:numPr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možnosť previesť nevyužité daňové odpočty a iné daňové nároky do budúcich období.</w:t>
      </w:r>
    </w:p>
    <w:p w:rsidR="00B34A7B" w:rsidRPr="00033722" w:rsidRDefault="00B34A7B" w:rsidP="009D2120">
      <w:pPr>
        <w:pStyle w:val="Zkladntext"/>
        <w:numPr>
          <w:ilvl w:val="0"/>
          <w:numId w:val="7"/>
        </w:numPr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Výdavky budúcich období a výnosy budúcich období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Emisné kvóty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Nakúpené emisné kvóty sa oceňujú obstarávacou cenou. 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Dotácie zo štátneho rozpočtu</w:t>
      </w:r>
    </w:p>
    <w:p w:rsidR="00B34A7B" w:rsidRDefault="00B34A7B" w:rsidP="009D2120">
      <w:pPr>
        <w:ind w:left="450"/>
        <w:jc w:val="both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ind w:left="450"/>
        <w:jc w:val="both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D2120" w:rsidRPr="00033722" w:rsidRDefault="009D2120" w:rsidP="009D2120">
      <w:pPr>
        <w:ind w:left="450"/>
        <w:jc w:val="both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ind w:left="450"/>
        <w:jc w:val="both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9D2120" w:rsidRPr="00033722" w:rsidRDefault="009D2120" w:rsidP="009D2120">
      <w:pPr>
        <w:ind w:left="450"/>
        <w:jc w:val="both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ind w:left="450"/>
        <w:jc w:val="both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:rsidR="00B34A7B" w:rsidRPr="00033722" w:rsidRDefault="00B34A7B" w:rsidP="009D2120">
      <w:pPr>
        <w:ind w:left="450"/>
        <w:jc w:val="both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Prenájom (lízing)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Majetok prenajatý na základe operatívneho prenájmu vykazuje ako svoj majetok jeho vlastník, nie nájomca.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Deriváty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Deriváty sa oceňujú reálnou hodnotou.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Zmeny reálnych hodnôt zabezpečovacích derivátov sa účtujú bez vplyvu na výsledok hospodárenia, priamo do vlastného imania.</w:t>
      </w:r>
    </w:p>
    <w:p w:rsidR="009D2120" w:rsidRPr="00033722" w:rsidRDefault="009D2120" w:rsidP="009D2120">
      <w:pPr>
        <w:pStyle w:val="Zkladntext"/>
        <w:ind w:left="0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Zmeny reálnych hodnôt derivátov určených na obchodovanie na neverejnom trhu sa účtujú bez vplyvu na výsledok hospodárenia, priamo do vlastného imania.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Majetok a záväzky zabezpečené derivátmi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Cudzia mena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Na ocenenie prírastku cudzej meny nakúpenej za euro sa použije kurz, za ktorý bola táto cudzia mena nakúpená.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9D2120" w:rsidRPr="00033722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Nadpis2"/>
        <w:rPr>
          <w:rFonts w:ascii="Times New Roman" w:hAnsi="Times New Roman" w:cs="Times New Roman"/>
        </w:rPr>
      </w:pPr>
      <w:r w:rsidRPr="00033722">
        <w:rPr>
          <w:rFonts w:ascii="Times New Roman" w:hAnsi="Times New Roman" w:cs="Times New Roman"/>
        </w:rPr>
        <w:t>Výnosy</w:t>
      </w:r>
    </w:p>
    <w:p w:rsidR="00B34A7B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Default="009D2120" w:rsidP="009D2120">
      <w:pPr>
        <w:pStyle w:val="Zkladntext"/>
        <w:rPr>
          <w:rFonts w:ascii="Times New Roman" w:hAnsi="Times New Roman" w:cs="Times New Roman"/>
          <w:szCs w:val="18"/>
        </w:rPr>
      </w:pPr>
      <w:r w:rsidRPr="00033722">
        <w:rPr>
          <w:rFonts w:ascii="Times New Roman" w:hAnsi="Times New Roman" w:cs="Times New Roman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34A7B" w:rsidRPr="00033722" w:rsidRDefault="00B34A7B" w:rsidP="009D2120">
      <w:pPr>
        <w:pStyle w:val="Zkladntext"/>
        <w:rPr>
          <w:rFonts w:ascii="Times New Roman" w:hAnsi="Times New Roman" w:cs="Times New Roman"/>
          <w:szCs w:val="18"/>
        </w:rPr>
      </w:pPr>
    </w:p>
    <w:p w:rsidR="009D2120" w:rsidRPr="00033722" w:rsidRDefault="009D2120" w:rsidP="009D2120">
      <w:pPr>
        <w:pStyle w:val="Hlavika"/>
        <w:numPr>
          <w:ilvl w:val="12"/>
          <w:numId w:val="0"/>
        </w:numPr>
        <w:jc w:val="both"/>
        <w:rPr>
          <w:rFonts w:ascii="Times New Roman" w:hAnsi="Times New Roman" w:cs="Times New Roman"/>
          <w:szCs w:val="18"/>
        </w:rPr>
      </w:pPr>
      <w:bookmarkStart w:id="4" w:name="_GoBack"/>
      <w:bookmarkEnd w:id="4"/>
    </w:p>
    <w:p w:rsidR="009D2120" w:rsidRPr="00033722" w:rsidRDefault="009D2120" w:rsidP="009D2120">
      <w:pPr>
        <w:pStyle w:val="Zkladntext"/>
        <w:ind w:left="0"/>
        <w:rPr>
          <w:rFonts w:ascii="Times New Roman" w:hAnsi="Times New Roman" w:cs="Times New Roman"/>
          <w:i/>
          <w:szCs w:val="18"/>
        </w:rPr>
      </w:pPr>
    </w:p>
    <w:sectPr w:rsidR="009D2120" w:rsidRPr="00033722" w:rsidSect="000F754B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979" w:right="992" w:bottom="1134" w:left="1673" w:header="675" w:footer="544" w:gutter="0"/>
      <w:pgBorders w:offsetFrom="page">
        <w:top w:val="single" w:sz="12" w:space="24" w:color="00B050" w:shadow="1"/>
        <w:left w:val="single" w:sz="12" w:space="24" w:color="00B050" w:shadow="1"/>
        <w:bottom w:val="single" w:sz="12" w:space="24" w:color="00B050" w:shadow="1"/>
        <w:right w:val="single" w:sz="12" w:space="24" w:color="00B050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13CC" w:rsidRDefault="000713CC" w:rsidP="009D2120">
      <w:r>
        <w:separator/>
      </w:r>
    </w:p>
  </w:endnote>
  <w:endnote w:type="continuationSeparator" w:id="0">
    <w:p w:rsidR="000713CC" w:rsidRDefault="000713CC" w:rsidP="009D21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72195754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:rsidR="00D4734C" w:rsidRPr="000F754B" w:rsidRDefault="00D4734C">
        <w:pPr>
          <w:pStyle w:val="Pta"/>
          <w:pBdr>
            <w:top w:val="single" w:sz="4" w:space="1" w:color="D9D9D9" w:themeColor="background1" w:themeShade="D9"/>
          </w:pBdr>
          <w:jc w:val="right"/>
        </w:pPr>
        <w:r w:rsidRPr="000F754B">
          <w:fldChar w:fldCharType="begin"/>
        </w:r>
        <w:r w:rsidRPr="000F754B">
          <w:instrText>PAGE   \* MERGEFORMAT</w:instrText>
        </w:r>
        <w:r w:rsidRPr="000F754B">
          <w:fldChar w:fldCharType="separate"/>
        </w:r>
        <w:r w:rsidR="00AD10D3">
          <w:rPr>
            <w:noProof/>
          </w:rPr>
          <w:t>16</w:t>
        </w:r>
        <w:r w:rsidRPr="000F754B">
          <w:fldChar w:fldCharType="end"/>
        </w:r>
        <w:r w:rsidRPr="000F754B">
          <w:t xml:space="preserve"> | </w:t>
        </w:r>
        <w:r w:rsidRPr="000F754B">
          <w:rPr>
            <w:color w:val="808080" w:themeColor="background1" w:themeShade="80"/>
            <w:spacing w:val="60"/>
          </w:rPr>
          <w:t>Strana</w:t>
        </w:r>
      </w:p>
    </w:sdtContent>
  </w:sdt>
  <w:p w:rsidR="00D4734C" w:rsidRDefault="00D4734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734C" w:rsidRDefault="00D4734C" w:rsidP="00D4734C">
    <w:pPr>
      <w:pStyle w:val="Pta"/>
      <w:tabs>
        <w:tab w:val="clear" w:pos="9072"/>
        <w:tab w:val="right" w:pos="9214"/>
      </w:tabs>
    </w:pPr>
    <w:r w:rsidRPr="00803D2C">
      <w:rPr>
        <w:szCs w:val="16"/>
        <w:lang w:val="en-US"/>
      </w:rPr>
      <w:t xml:space="preserve">© </w:t>
    </w:r>
    <w:r>
      <w:rPr>
        <w:szCs w:val="16"/>
        <w:lang w:val="en-US"/>
      </w:rPr>
      <w:t>2013</w:t>
    </w:r>
    <w:r w:rsidRPr="00803D2C">
      <w:rPr>
        <w:szCs w:val="16"/>
        <w:lang w:val="en-US"/>
      </w:rPr>
      <w:t xml:space="preserve"> KPMG </w:t>
    </w:r>
    <w:proofErr w:type="spellStart"/>
    <w:r w:rsidRPr="00803D2C">
      <w:rPr>
        <w:szCs w:val="16"/>
        <w:lang w:val="en-US"/>
      </w:rPr>
      <w:t>Slovensko</w:t>
    </w:r>
    <w:proofErr w:type="spellEnd"/>
    <w:r w:rsidRPr="00803D2C">
      <w:rPr>
        <w:szCs w:val="16"/>
        <w:lang w:val="en-US"/>
      </w:rPr>
      <w:t>, spol. s r. o. V</w:t>
    </w:r>
    <w:proofErr w:type="spellStart"/>
    <w:r w:rsidRPr="00803D2C">
      <w:rPr>
        <w:szCs w:val="16"/>
      </w:rPr>
      <w:t>šetky</w:t>
    </w:r>
    <w:proofErr w:type="spellEnd"/>
    <w:r w:rsidRPr="00803D2C">
      <w:rPr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0C6BF0">
      <w:rPr>
        <w:b/>
        <w:noProof/>
      </w:rPr>
      <w:t>19</w:t>
    </w:r>
    <w:r w:rsidRPr="00F70C00">
      <w:rPr>
        <w:b/>
      </w:rPr>
      <w:fldChar w:fldCharType="end"/>
    </w:r>
  </w:p>
  <w:p w:rsidR="00D4734C" w:rsidRDefault="00D4734C" w:rsidP="00D4734C">
    <w:pPr>
      <w:pStyle w:val="Pta"/>
      <w:tabs>
        <w:tab w:val="clear" w:pos="9072"/>
        <w:tab w:val="right" w:pos="9214"/>
      </w:tabs>
      <w:rPr>
        <w:szCs w:val="16"/>
      </w:rPr>
    </w:pPr>
  </w:p>
  <w:p w:rsidR="00D4734C" w:rsidRPr="00F70C00" w:rsidRDefault="00D4734C" w:rsidP="00D4734C">
    <w:pPr>
      <w:pStyle w:val="Pta"/>
      <w:tabs>
        <w:tab w:val="clear" w:pos="9072"/>
        <w:tab w:val="right" w:pos="9214"/>
      </w:tabs>
      <w:rPr>
        <w:szCs w:val="16"/>
      </w:rPr>
    </w:pPr>
    <w:r>
      <w:rPr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13CC" w:rsidRDefault="000713CC" w:rsidP="009D2120">
      <w:r>
        <w:separator/>
      </w:r>
    </w:p>
  </w:footnote>
  <w:footnote w:type="continuationSeparator" w:id="0">
    <w:p w:rsidR="000713CC" w:rsidRDefault="000713CC" w:rsidP="009D21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734C" w:rsidRDefault="00D4734C" w:rsidP="00D4734C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Cs w:val="18"/>
      </w:rPr>
    </w:pPr>
    <w:r>
      <w:rPr>
        <w:szCs w:val="18"/>
      </w:rPr>
      <w:tab/>
    </w:r>
    <w:r>
      <w:rPr>
        <w:szCs w:val="18"/>
      </w:rPr>
      <w:tab/>
    </w:r>
    <w:r>
      <w:rPr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4734C" w:rsidRPr="001E0B7B" w:rsidTr="00D4734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4734C" w:rsidRPr="001E0B7B" w:rsidRDefault="00D4734C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 xml:space="preserve">Poznámky </w:t>
          </w:r>
          <w:proofErr w:type="spellStart"/>
          <w:r w:rsidRPr="001E0B7B">
            <w:rPr>
              <w:sz w:val="16"/>
              <w:szCs w:val="18"/>
            </w:rPr>
            <w:t>Úč</w:t>
          </w:r>
          <w:proofErr w:type="spellEnd"/>
          <w:r w:rsidRPr="001E0B7B">
            <w:rPr>
              <w:sz w:val="16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4734C" w:rsidRPr="001E0B7B" w:rsidRDefault="00D4734C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4734C" w:rsidRPr="001E0B7B" w:rsidRDefault="00D4734C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4734C" w:rsidRPr="001E0B7B" w:rsidRDefault="00D4734C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5</w:t>
          </w:r>
        </w:p>
      </w:tc>
    </w:tr>
  </w:tbl>
  <w:p w:rsidR="00D4734C" w:rsidRPr="001E0B7B" w:rsidRDefault="00D4734C" w:rsidP="00D4734C">
    <w:pPr>
      <w:pStyle w:val="Hlavika"/>
      <w:tabs>
        <w:tab w:val="center" w:pos="4962"/>
        <w:tab w:val="right" w:pos="9213"/>
      </w:tabs>
      <w:ind w:right="-1"/>
      <w:jc w:val="right"/>
      <w:rPr>
        <w:sz w:val="16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4734C" w:rsidRPr="001E0B7B" w:rsidTr="00D4734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4734C" w:rsidRPr="001E0B7B" w:rsidRDefault="00D4734C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6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4734C" w:rsidRPr="001E0B7B" w:rsidRDefault="00D4734C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4734C" w:rsidRPr="001E0B7B" w:rsidRDefault="00541013" w:rsidP="00D4734C">
          <w:pPr>
            <w:pStyle w:val="Hlavika"/>
            <w:tabs>
              <w:tab w:val="clear" w:pos="4536"/>
              <w:tab w:val="center" w:pos="4253"/>
              <w:tab w:val="right" w:pos="9213"/>
            </w:tabs>
            <w:jc w:val="center"/>
            <w:rPr>
              <w:sz w:val="16"/>
              <w:szCs w:val="18"/>
            </w:rPr>
          </w:pPr>
          <w:r w:rsidRPr="001E0B7B">
            <w:rPr>
              <w:sz w:val="16"/>
              <w:szCs w:val="18"/>
            </w:rPr>
            <w:t>0</w:t>
          </w:r>
        </w:p>
      </w:tc>
    </w:tr>
  </w:tbl>
  <w:p w:rsidR="00D4734C" w:rsidRDefault="00D4734C" w:rsidP="00D4734C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4734C" w:rsidRPr="00E95128" w:rsidRDefault="00D4734C" w:rsidP="00D4734C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734C" w:rsidRDefault="00D4734C" w:rsidP="00D4734C">
    <w:pPr>
      <w:pStyle w:val="Hlavika"/>
      <w:tabs>
        <w:tab w:val="center" w:pos="4820"/>
        <w:tab w:val="right" w:pos="9214"/>
      </w:tabs>
      <w:jc w:val="right"/>
    </w:pPr>
  </w:p>
  <w:p w:rsidR="00D4734C" w:rsidRPr="00E95128" w:rsidRDefault="00D4734C" w:rsidP="00D4734C">
    <w:pPr>
      <w:pStyle w:val="Hlavika"/>
      <w:tabs>
        <w:tab w:val="center" w:pos="4820"/>
        <w:tab w:val="right" w:pos="9214"/>
      </w:tabs>
      <w:jc w:val="right"/>
    </w:pPr>
    <w:r>
      <w:rPr>
        <w:noProof/>
        <w:lang w:eastAsia="sk-SK"/>
      </w:rPr>
      <w:drawing>
        <wp:anchor distT="0" distB="0" distL="114300" distR="114300" simplePos="0" relativeHeight="251659264" behindDoc="1" locked="0" layoutInCell="1" allowOverlap="1" wp14:anchorId="17C42CF9" wp14:editId="5BFDFEC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7" name="Obrázok 7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Cs w:val="18"/>
      </w:rPr>
      <w:t xml:space="preserve"> </w:t>
    </w:r>
    <w:r w:rsidRPr="008D6361">
      <w:rPr>
        <w:szCs w:val="18"/>
      </w:rPr>
      <w:t>Vzorová účtovná závierka</w:t>
    </w:r>
  </w:p>
  <w:p w:rsidR="00D4734C" w:rsidRDefault="00D4734C" w:rsidP="00D4734C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</w:r>
    <w:r w:rsidRPr="00E95128">
      <w:rPr>
        <w:b/>
        <w:bCs/>
        <w:szCs w:val="18"/>
      </w:rPr>
      <w:t>ABC Slovenská výroba, spol. s r. 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8D6361">
      <w:rPr>
        <w:szCs w:val="18"/>
      </w:rPr>
      <w:t>k</w:t>
    </w:r>
    <w:r>
      <w:rPr>
        <w:b/>
        <w:bCs/>
        <w:szCs w:val="18"/>
      </w:rPr>
      <w:t xml:space="preserve"> </w:t>
    </w:r>
    <w:r w:rsidRPr="0075768F">
      <w:rPr>
        <w:szCs w:val="18"/>
      </w:rPr>
      <w:t>3</w:t>
    </w:r>
    <w:r w:rsidRPr="008D6361">
      <w:rPr>
        <w:szCs w:val="18"/>
      </w:rPr>
      <w:t xml:space="preserve">1. decembru </w:t>
    </w:r>
    <w:r>
      <w:rPr>
        <w:szCs w:val="18"/>
      </w:rPr>
      <w:t>2013</w:t>
    </w:r>
  </w:p>
  <w:p w:rsidR="00D4734C" w:rsidRPr="00E95128" w:rsidRDefault="00D4734C" w:rsidP="00D4734C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0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4734C" w:rsidTr="00D4734C">
      <w:trPr>
        <w:trHeight w:val="299"/>
      </w:trPr>
      <w:tc>
        <w:tcPr>
          <w:tcW w:w="2251" w:type="dxa"/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lang w:eastAsia="sk-SK"/>
            </w:rPr>
            <w:t xml:space="preserve">Poznámky </w:t>
          </w:r>
          <w:proofErr w:type="spellStart"/>
          <w:r>
            <w:rPr>
              <w:rFonts w:cs="Arial"/>
              <w:lang w:eastAsia="sk-SK"/>
            </w:rPr>
            <w:t>Úč</w:t>
          </w:r>
          <w:proofErr w:type="spellEnd"/>
          <w:r>
            <w:rPr>
              <w:rFonts w:cs="Arial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4734C" w:rsidRDefault="00D4734C" w:rsidP="00D4734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4734C" w:rsidRPr="00E95128" w:rsidRDefault="00D4734C" w:rsidP="00D4734C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9"/>
  </w:num>
  <w:num w:numId="7">
    <w:abstractNumId w:val="4"/>
  </w:num>
  <w:num w:numId="8">
    <w:abstractNumId w:val="9"/>
  </w:num>
  <w:num w:numId="9">
    <w:abstractNumId w:val="10"/>
  </w:num>
  <w:num w:numId="10">
    <w:abstractNumId w:val="20"/>
    <w:lvlOverride w:ilvl="0">
      <w:startOverride w:val="1"/>
    </w:lvlOverride>
  </w:num>
  <w:num w:numId="11">
    <w:abstractNumId w:val="20"/>
    <w:lvlOverride w:ilvl="0">
      <w:startOverride w:val="1"/>
    </w:lvlOverride>
  </w:num>
  <w:num w:numId="12">
    <w:abstractNumId w:val="20"/>
    <w:lvlOverride w:ilvl="0">
      <w:startOverride w:val="1"/>
    </w:lvlOverride>
  </w:num>
  <w:num w:numId="13">
    <w:abstractNumId w:val="20"/>
    <w:lvlOverride w:ilvl="0">
      <w:startOverride w:val="1"/>
    </w:lvlOverride>
  </w:num>
  <w:num w:numId="14">
    <w:abstractNumId w:val="3"/>
  </w:num>
  <w:num w:numId="15">
    <w:abstractNumId w:val="20"/>
    <w:lvlOverride w:ilvl="0">
      <w:startOverride w:val="1"/>
    </w:lvlOverride>
  </w:num>
  <w:num w:numId="16">
    <w:abstractNumId w:val="22"/>
  </w:num>
  <w:num w:numId="17">
    <w:abstractNumId w:val="15"/>
  </w:num>
  <w:num w:numId="18">
    <w:abstractNumId w:val="14"/>
  </w:num>
  <w:num w:numId="19">
    <w:abstractNumId w:val="30"/>
  </w:num>
  <w:num w:numId="20">
    <w:abstractNumId w:val="20"/>
    <w:lvlOverride w:ilvl="0">
      <w:startOverride w:val="1"/>
    </w:lvlOverride>
  </w:num>
  <w:num w:numId="21">
    <w:abstractNumId w:val="20"/>
    <w:lvlOverride w:ilvl="0">
      <w:startOverride w:val="1"/>
    </w:lvlOverride>
  </w:num>
  <w:num w:numId="22">
    <w:abstractNumId w:val="20"/>
    <w:lvlOverride w:ilvl="0">
      <w:startOverride w:val="1"/>
    </w:lvlOverride>
  </w:num>
  <w:num w:numId="23">
    <w:abstractNumId w:val="20"/>
    <w:lvlOverride w:ilvl="0">
      <w:startOverride w:val="1"/>
    </w:lvlOverride>
  </w:num>
  <w:num w:numId="24">
    <w:abstractNumId w:val="20"/>
    <w:lvlOverride w:ilvl="0">
      <w:startOverride w:val="1"/>
    </w:lvlOverride>
  </w:num>
  <w:num w:numId="25">
    <w:abstractNumId w:val="18"/>
    <w:lvlOverride w:ilvl="0">
      <w:startOverride w:val="1"/>
    </w:lvlOverride>
  </w:num>
  <w:num w:numId="26">
    <w:abstractNumId w:val="8"/>
  </w:num>
  <w:num w:numId="27">
    <w:abstractNumId w:val="28"/>
  </w:num>
  <w:num w:numId="2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23"/>
  </w:num>
  <w:num w:numId="31">
    <w:abstractNumId w:val="2"/>
  </w:num>
  <w:num w:numId="32">
    <w:abstractNumId w:val="12"/>
  </w:num>
  <w:num w:numId="33">
    <w:abstractNumId w:val="7"/>
  </w:num>
  <w:num w:numId="34">
    <w:abstractNumId w:val="31"/>
  </w:num>
  <w:num w:numId="35">
    <w:abstractNumId w:val="17"/>
  </w:num>
  <w:num w:numId="36">
    <w:abstractNumId w:val="19"/>
  </w:num>
  <w:num w:numId="37">
    <w:abstractNumId w:val="21"/>
  </w:num>
  <w:num w:numId="38">
    <w:abstractNumId w:val="11"/>
  </w:num>
  <w:num w:numId="39">
    <w:abstractNumId w:val="6"/>
  </w:num>
  <w:num w:numId="40">
    <w:abstractNumId w:val="13"/>
  </w:num>
  <w:num w:numId="41">
    <w:abstractNumId w:val="20"/>
    <w:lvlOverride w:ilvl="0">
      <w:startOverride w:val="2"/>
    </w:lvlOverride>
  </w:num>
  <w:num w:numId="42">
    <w:abstractNumId w:val="16"/>
  </w:num>
  <w:num w:numId="43">
    <w:abstractNumId w:val="24"/>
  </w:num>
  <w:num w:numId="44">
    <w:abstractNumId w:val="1"/>
  </w:num>
  <w:num w:numId="4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2120"/>
    <w:rsid w:val="00033722"/>
    <w:rsid w:val="000601EA"/>
    <w:rsid w:val="0006751E"/>
    <w:rsid w:val="000713CC"/>
    <w:rsid w:val="00081878"/>
    <w:rsid w:val="000862CC"/>
    <w:rsid w:val="00092FE4"/>
    <w:rsid w:val="00095163"/>
    <w:rsid w:val="000A45FB"/>
    <w:rsid w:val="000C5671"/>
    <w:rsid w:val="000C6BF0"/>
    <w:rsid w:val="000D360E"/>
    <w:rsid w:val="000E3995"/>
    <w:rsid w:val="000F754B"/>
    <w:rsid w:val="0011285B"/>
    <w:rsid w:val="001141C1"/>
    <w:rsid w:val="00117DE3"/>
    <w:rsid w:val="00125B4D"/>
    <w:rsid w:val="00133AEF"/>
    <w:rsid w:val="00137530"/>
    <w:rsid w:val="001653F4"/>
    <w:rsid w:val="0017314E"/>
    <w:rsid w:val="00185754"/>
    <w:rsid w:val="001932D8"/>
    <w:rsid w:val="001B3150"/>
    <w:rsid w:val="001B456F"/>
    <w:rsid w:val="001B46FD"/>
    <w:rsid w:val="001D1ADC"/>
    <w:rsid w:val="001E0B7B"/>
    <w:rsid w:val="001F7413"/>
    <w:rsid w:val="00213FBC"/>
    <w:rsid w:val="00217F0B"/>
    <w:rsid w:val="0022078F"/>
    <w:rsid w:val="002300F8"/>
    <w:rsid w:val="00233DC9"/>
    <w:rsid w:val="00243E66"/>
    <w:rsid w:val="00257CD4"/>
    <w:rsid w:val="00287A4C"/>
    <w:rsid w:val="002A03C1"/>
    <w:rsid w:val="002A4D42"/>
    <w:rsid w:val="002A66EB"/>
    <w:rsid w:val="002C2DD5"/>
    <w:rsid w:val="002C4E86"/>
    <w:rsid w:val="002D2C50"/>
    <w:rsid w:val="002D50AF"/>
    <w:rsid w:val="002E0789"/>
    <w:rsid w:val="002F5178"/>
    <w:rsid w:val="00305BE1"/>
    <w:rsid w:val="0031429D"/>
    <w:rsid w:val="00321108"/>
    <w:rsid w:val="00326088"/>
    <w:rsid w:val="00347436"/>
    <w:rsid w:val="003608D1"/>
    <w:rsid w:val="00364746"/>
    <w:rsid w:val="00372A05"/>
    <w:rsid w:val="003756BA"/>
    <w:rsid w:val="0037734C"/>
    <w:rsid w:val="00380905"/>
    <w:rsid w:val="003B1AE8"/>
    <w:rsid w:val="003D19F1"/>
    <w:rsid w:val="003F1414"/>
    <w:rsid w:val="00405915"/>
    <w:rsid w:val="0040659A"/>
    <w:rsid w:val="00412C09"/>
    <w:rsid w:val="00414082"/>
    <w:rsid w:val="0043208D"/>
    <w:rsid w:val="00441BC5"/>
    <w:rsid w:val="004538C8"/>
    <w:rsid w:val="00455B79"/>
    <w:rsid w:val="00462A4C"/>
    <w:rsid w:val="00496DE5"/>
    <w:rsid w:val="004A3A04"/>
    <w:rsid w:val="004B29BB"/>
    <w:rsid w:val="004C7CFC"/>
    <w:rsid w:val="004D0057"/>
    <w:rsid w:val="004F4C62"/>
    <w:rsid w:val="00511229"/>
    <w:rsid w:val="00514E67"/>
    <w:rsid w:val="00517F87"/>
    <w:rsid w:val="00541013"/>
    <w:rsid w:val="005801AB"/>
    <w:rsid w:val="00583FF6"/>
    <w:rsid w:val="005A4C16"/>
    <w:rsid w:val="005A7DD4"/>
    <w:rsid w:val="005C2C80"/>
    <w:rsid w:val="005C7654"/>
    <w:rsid w:val="005D1D17"/>
    <w:rsid w:val="005D3CC0"/>
    <w:rsid w:val="005D42D7"/>
    <w:rsid w:val="005D4B10"/>
    <w:rsid w:val="005D54E0"/>
    <w:rsid w:val="005E3B38"/>
    <w:rsid w:val="0060541C"/>
    <w:rsid w:val="0064171E"/>
    <w:rsid w:val="006418E3"/>
    <w:rsid w:val="00661719"/>
    <w:rsid w:val="00667B51"/>
    <w:rsid w:val="00667BB0"/>
    <w:rsid w:val="00674F71"/>
    <w:rsid w:val="00682DAB"/>
    <w:rsid w:val="00696EA3"/>
    <w:rsid w:val="006A6316"/>
    <w:rsid w:val="006A7C45"/>
    <w:rsid w:val="006B7808"/>
    <w:rsid w:val="006D3CC4"/>
    <w:rsid w:val="006F1AAF"/>
    <w:rsid w:val="006F618C"/>
    <w:rsid w:val="0070279D"/>
    <w:rsid w:val="00704836"/>
    <w:rsid w:val="007122BC"/>
    <w:rsid w:val="007211AA"/>
    <w:rsid w:val="00724136"/>
    <w:rsid w:val="007261D7"/>
    <w:rsid w:val="0073639C"/>
    <w:rsid w:val="00740D4F"/>
    <w:rsid w:val="00757B0C"/>
    <w:rsid w:val="007628C9"/>
    <w:rsid w:val="00764402"/>
    <w:rsid w:val="00784A4A"/>
    <w:rsid w:val="00785A06"/>
    <w:rsid w:val="007A5E0B"/>
    <w:rsid w:val="007D083C"/>
    <w:rsid w:val="007F0D59"/>
    <w:rsid w:val="008275D9"/>
    <w:rsid w:val="00835D39"/>
    <w:rsid w:val="00837274"/>
    <w:rsid w:val="00842C8D"/>
    <w:rsid w:val="00880836"/>
    <w:rsid w:val="00882DD9"/>
    <w:rsid w:val="0088745F"/>
    <w:rsid w:val="008905A5"/>
    <w:rsid w:val="008A7175"/>
    <w:rsid w:val="008B000A"/>
    <w:rsid w:val="008B49D9"/>
    <w:rsid w:val="008C11FD"/>
    <w:rsid w:val="008D7270"/>
    <w:rsid w:val="008E3B11"/>
    <w:rsid w:val="008F24DA"/>
    <w:rsid w:val="00900DDB"/>
    <w:rsid w:val="00916305"/>
    <w:rsid w:val="00937471"/>
    <w:rsid w:val="00937810"/>
    <w:rsid w:val="009471D7"/>
    <w:rsid w:val="00982C48"/>
    <w:rsid w:val="0099651C"/>
    <w:rsid w:val="009A1988"/>
    <w:rsid w:val="009A406F"/>
    <w:rsid w:val="009D2120"/>
    <w:rsid w:val="009D4C0D"/>
    <w:rsid w:val="009E5F0E"/>
    <w:rsid w:val="009F0DE8"/>
    <w:rsid w:val="00A017E9"/>
    <w:rsid w:val="00A154A9"/>
    <w:rsid w:val="00A50DDE"/>
    <w:rsid w:val="00A70187"/>
    <w:rsid w:val="00A72D33"/>
    <w:rsid w:val="00A74543"/>
    <w:rsid w:val="00A84C94"/>
    <w:rsid w:val="00AB0E91"/>
    <w:rsid w:val="00AB5C67"/>
    <w:rsid w:val="00AC40D4"/>
    <w:rsid w:val="00AD10D3"/>
    <w:rsid w:val="00AF05D0"/>
    <w:rsid w:val="00AF2A1B"/>
    <w:rsid w:val="00B13919"/>
    <w:rsid w:val="00B25362"/>
    <w:rsid w:val="00B30C35"/>
    <w:rsid w:val="00B34A7B"/>
    <w:rsid w:val="00B6022C"/>
    <w:rsid w:val="00B90736"/>
    <w:rsid w:val="00B91006"/>
    <w:rsid w:val="00BA1F5E"/>
    <w:rsid w:val="00BB264E"/>
    <w:rsid w:val="00BB3E33"/>
    <w:rsid w:val="00BC0F75"/>
    <w:rsid w:val="00BC569D"/>
    <w:rsid w:val="00BF7B6D"/>
    <w:rsid w:val="00C0006A"/>
    <w:rsid w:val="00C31A3D"/>
    <w:rsid w:val="00C35BC2"/>
    <w:rsid w:val="00C43C5B"/>
    <w:rsid w:val="00C51AC7"/>
    <w:rsid w:val="00C77B18"/>
    <w:rsid w:val="00CA17D3"/>
    <w:rsid w:val="00CA6C83"/>
    <w:rsid w:val="00CB2638"/>
    <w:rsid w:val="00CC227A"/>
    <w:rsid w:val="00CC3749"/>
    <w:rsid w:val="00CD31E7"/>
    <w:rsid w:val="00CD68E6"/>
    <w:rsid w:val="00CE1465"/>
    <w:rsid w:val="00D01BB3"/>
    <w:rsid w:val="00D02ED0"/>
    <w:rsid w:val="00D040BF"/>
    <w:rsid w:val="00D13E10"/>
    <w:rsid w:val="00D314B5"/>
    <w:rsid w:val="00D4734C"/>
    <w:rsid w:val="00D64FAF"/>
    <w:rsid w:val="00D66EBE"/>
    <w:rsid w:val="00D75179"/>
    <w:rsid w:val="00D930F4"/>
    <w:rsid w:val="00D94130"/>
    <w:rsid w:val="00D94ED4"/>
    <w:rsid w:val="00DA0154"/>
    <w:rsid w:val="00DB78FE"/>
    <w:rsid w:val="00DC4678"/>
    <w:rsid w:val="00DE02E8"/>
    <w:rsid w:val="00DE0C98"/>
    <w:rsid w:val="00DE4097"/>
    <w:rsid w:val="00E06C6B"/>
    <w:rsid w:val="00E1171A"/>
    <w:rsid w:val="00E34E46"/>
    <w:rsid w:val="00E409B6"/>
    <w:rsid w:val="00E41BF5"/>
    <w:rsid w:val="00E51BA6"/>
    <w:rsid w:val="00E52178"/>
    <w:rsid w:val="00E56D3D"/>
    <w:rsid w:val="00E81DE5"/>
    <w:rsid w:val="00E87237"/>
    <w:rsid w:val="00EA53A3"/>
    <w:rsid w:val="00EA5880"/>
    <w:rsid w:val="00EB4837"/>
    <w:rsid w:val="00EB6CC8"/>
    <w:rsid w:val="00EE7A95"/>
    <w:rsid w:val="00F15132"/>
    <w:rsid w:val="00F3362D"/>
    <w:rsid w:val="00F44BA3"/>
    <w:rsid w:val="00F74A74"/>
    <w:rsid w:val="00F85833"/>
    <w:rsid w:val="00F87323"/>
    <w:rsid w:val="00FB4F8A"/>
    <w:rsid w:val="00FC22FF"/>
    <w:rsid w:val="00FD70AD"/>
    <w:rsid w:val="00FE4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891CF4"/>
  <w15:docId w15:val="{F7FAD143-9463-4ADC-B487-BE0B9936D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E0B7B"/>
    <w:pPr>
      <w:spacing w:after="0"/>
    </w:pPr>
    <w:rPr>
      <w:rFonts w:ascii="Helvetica" w:hAnsi="Helvetica" w:cs="Helvetica"/>
      <w:sz w:val="20"/>
    </w:rPr>
  </w:style>
  <w:style w:type="paragraph" w:styleId="Nadpis1">
    <w:name w:val="heading 1"/>
    <w:basedOn w:val="Normlny"/>
    <w:next w:val="Normlny"/>
    <w:link w:val="Nadpis1Char"/>
    <w:uiPriority w:val="9"/>
    <w:qFormat/>
    <w:rsid w:val="001E0B7B"/>
    <w:pPr>
      <w:keepNext/>
      <w:keepLines/>
      <w:shd w:val="clear" w:color="auto" w:fill="DBE5F1" w:themeFill="accent1" w:themeFillTint="33"/>
      <w:jc w:val="center"/>
      <w:outlineLvl w:val="0"/>
    </w:pPr>
    <w:rPr>
      <w:rFonts w:eastAsiaTheme="majorEastAsia"/>
      <w:bCs/>
      <w:smallCaps/>
      <w:color w:val="365F91" w:themeColor="accent1" w:themeShade="BF"/>
      <w:sz w:val="28"/>
      <w:szCs w:val="28"/>
      <w:u w:val="singl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E0B7B"/>
    <w:pPr>
      <w:keepNext/>
      <w:keepLines/>
      <w:shd w:val="clear" w:color="auto" w:fill="EAF1DD" w:themeFill="accent3" w:themeFillTint="33"/>
      <w:outlineLvl w:val="1"/>
    </w:pPr>
    <w:rPr>
      <w:rFonts w:eastAsiaTheme="majorEastAsia"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E0B7B"/>
    <w:pPr>
      <w:keepNext/>
      <w:keepLines/>
      <w:shd w:val="clear" w:color="auto" w:fill="D9D9D9" w:themeFill="background1" w:themeFillShade="D9"/>
      <w:spacing w:before="200"/>
      <w:outlineLvl w:val="2"/>
    </w:pPr>
    <w:rPr>
      <w:rFonts w:eastAsiaTheme="majorEastAsia" w:cstheme="majorBidi"/>
      <w:b/>
      <w:bCs/>
      <w:smallCap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1E0B7B"/>
    <w:pPr>
      <w:keepNext/>
      <w:keepLines/>
      <w:spacing w:before="200"/>
      <w:outlineLvl w:val="3"/>
    </w:pPr>
    <w:rPr>
      <w:rFonts w:eastAsiaTheme="majorEastAsia" w:cstheme="majorBidi"/>
      <w:bCs/>
      <w:iCs/>
      <w:smallCap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1E0B7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1E0B7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E0B7B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E0B7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E0B7B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E0B7B"/>
    <w:rPr>
      <w:rFonts w:ascii="Helvetica" w:eastAsiaTheme="majorEastAsia" w:hAnsi="Helvetica" w:cs="Helvetica"/>
      <w:bCs/>
      <w:smallCaps/>
      <w:color w:val="365F91" w:themeColor="accent1" w:themeShade="BF"/>
      <w:sz w:val="28"/>
      <w:szCs w:val="28"/>
      <w:u w:val="single"/>
      <w:shd w:val="clear" w:color="auto" w:fill="DBE5F1" w:themeFill="accent1" w:themeFillTint="33"/>
    </w:rPr>
  </w:style>
  <w:style w:type="character" w:customStyle="1" w:styleId="Nadpis2Char">
    <w:name w:val="Nadpis 2 Char"/>
    <w:basedOn w:val="Predvolenpsmoodseku"/>
    <w:link w:val="Nadpis2"/>
    <w:uiPriority w:val="9"/>
    <w:rsid w:val="001E0B7B"/>
    <w:rPr>
      <w:rFonts w:ascii="Helvetica" w:eastAsiaTheme="majorEastAsia" w:hAnsi="Helvetica" w:cs="Helvetica"/>
      <w:bCs/>
      <w:color w:val="4F81BD" w:themeColor="accent1"/>
      <w:sz w:val="26"/>
      <w:szCs w:val="26"/>
      <w:shd w:val="clear" w:color="auto" w:fill="EAF1DD" w:themeFill="accent3" w:themeFillTint="33"/>
    </w:rPr>
  </w:style>
  <w:style w:type="character" w:customStyle="1" w:styleId="Nadpis3Char">
    <w:name w:val="Nadpis 3 Char"/>
    <w:basedOn w:val="Predvolenpsmoodseku"/>
    <w:link w:val="Nadpis3"/>
    <w:uiPriority w:val="9"/>
    <w:rsid w:val="001E0B7B"/>
    <w:rPr>
      <w:rFonts w:ascii="Helvetica" w:eastAsiaTheme="majorEastAsia" w:hAnsi="Helvetica" w:cstheme="majorBidi"/>
      <w:b/>
      <w:bCs/>
      <w:smallCaps/>
      <w:color w:val="4F81BD" w:themeColor="accent1"/>
      <w:sz w:val="24"/>
      <w:shd w:val="clear" w:color="auto" w:fill="D9D9D9" w:themeFill="background1" w:themeFillShade="D9"/>
    </w:rPr>
  </w:style>
  <w:style w:type="character" w:customStyle="1" w:styleId="Nadpis4Char">
    <w:name w:val="Nadpis 4 Char"/>
    <w:basedOn w:val="Predvolenpsmoodseku"/>
    <w:link w:val="Nadpis4"/>
    <w:uiPriority w:val="9"/>
    <w:rsid w:val="001E0B7B"/>
    <w:rPr>
      <w:rFonts w:ascii="Helvetica" w:eastAsiaTheme="majorEastAsia" w:hAnsi="Helvetica" w:cstheme="majorBidi"/>
      <w:bCs/>
      <w:iCs/>
      <w:smallCaps/>
      <w:color w:val="4F81BD" w:themeColor="accent1"/>
      <w:sz w:val="20"/>
    </w:rPr>
  </w:style>
  <w:style w:type="character" w:customStyle="1" w:styleId="Nadpis5Char">
    <w:name w:val="Nadpis 5 Char"/>
    <w:basedOn w:val="Predvolenpsmoodseku"/>
    <w:link w:val="Nadpis5"/>
    <w:uiPriority w:val="9"/>
    <w:rsid w:val="001E0B7B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Nadpis6Char">
    <w:name w:val="Nadpis 6 Char"/>
    <w:basedOn w:val="Predvolenpsmoodseku"/>
    <w:link w:val="Nadpis6"/>
    <w:uiPriority w:val="9"/>
    <w:rsid w:val="001E0B7B"/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E0B7B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E0B7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E0B7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E0B7B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1E0B7B"/>
    <w:pPr>
      <w:pBdr>
        <w:bottom w:val="single" w:sz="8" w:space="4" w:color="4F81BD" w:themeColor="accent1"/>
      </w:pBdr>
      <w:shd w:val="clear" w:color="auto" w:fill="F2F2F2" w:themeFill="background1" w:themeFillShade="F2"/>
      <w:spacing w:line="240" w:lineRule="auto"/>
      <w:contextualSpacing/>
      <w:jc w:val="center"/>
    </w:pPr>
    <w:rPr>
      <w:rFonts w:eastAsiaTheme="majorEastAsia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1E0B7B"/>
    <w:rPr>
      <w:rFonts w:ascii="Helvetica" w:eastAsiaTheme="majorEastAsia" w:hAnsi="Helvetica" w:cs="Helvetica"/>
      <w:color w:val="17365D" w:themeColor="text2" w:themeShade="BF"/>
      <w:spacing w:val="5"/>
      <w:kern w:val="28"/>
      <w:sz w:val="52"/>
      <w:szCs w:val="52"/>
      <w:shd w:val="clear" w:color="auto" w:fill="F2F2F2" w:themeFill="background1" w:themeFillShade="F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E0B7B"/>
    <w:pPr>
      <w:numPr>
        <w:ilvl w:val="1"/>
      </w:numPr>
      <w:spacing w:line="240" w:lineRule="auto"/>
      <w:jc w:val="right"/>
    </w:pPr>
    <w:rPr>
      <w:rFonts w:eastAsiaTheme="majorEastAsia"/>
      <w:iCs/>
      <w:color w:val="4F81BD" w:themeColor="accent1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1E0B7B"/>
    <w:rPr>
      <w:rFonts w:ascii="Helvetica" w:eastAsiaTheme="majorEastAsia" w:hAnsi="Helvetica" w:cs="Helvetica"/>
      <w:iCs/>
      <w:color w:val="4F81BD" w:themeColor="accent1"/>
      <w:sz w:val="24"/>
      <w:szCs w:val="24"/>
    </w:rPr>
  </w:style>
  <w:style w:type="character" w:styleId="Vrazn">
    <w:name w:val="Strong"/>
    <w:basedOn w:val="Predvolenpsmoodseku"/>
    <w:uiPriority w:val="22"/>
    <w:qFormat/>
    <w:rsid w:val="001E0B7B"/>
    <w:rPr>
      <w:b/>
      <w:bCs/>
    </w:rPr>
  </w:style>
  <w:style w:type="character" w:styleId="Zvraznenie">
    <w:name w:val="Emphasis"/>
    <w:uiPriority w:val="20"/>
    <w:qFormat/>
    <w:rsid w:val="001E0B7B"/>
    <w:rPr>
      <w:i/>
      <w:iCs/>
    </w:rPr>
  </w:style>
  <w:style w:type="paragraph" w:styleId="Bezriadkovania">
    <w:name w:val="No Spacing"/>
    <w:basedOn w:val="Normlny"/>
    <w:link w:val="BezriadkovaniaChar"/>
    <w:uiPriority w:val="1"/>
    <w:qFormat/>
    <w:rsid w:val="001E0B7B"/>
    <w:pPr>
      <w:spacing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1E0B7B"/>
    <w:rPr>
      <w:rFonts w:ascii="Helvetica" w:hAnsi="Helvetica" w:cs="Helvetica"/>
      <w:sz w:val="20"/>
    </w:rPr>
  </w:style>
  <w:style w:type="paragraph" w:styleId="Odsekzoznamu">
    <w:name w:val="List Paragraph"/>
    <w:basedOn w:val="Normlny"/>
    <w:uiPriority w:val="34"/>
    <w:qFormat/>
    <w:rsid w:val="001E0B7B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E0B7B"/>
    <w:rPr>
      <w:i/>
      <w:color w:val="00B050"/>
    </w:rPr>
  </w:style>
  <w:style w:type="character" w:customStyle="1" w:styleId="CitciaChar">
    <w:name w:val="Citácia Char"/>
    <w:basedOn w:val="Predvolenpsmoodseku"/>
    <w:link w:val="Citcia"/>
    <w:uiPriority w:val="29"/>
    <w:rsid w:val="001E0B7B"/>
    <w:rPr>
      <w:rFonts w:ascii="Helvetica" w:hAnsi="Helvetica" w:cs="Helvetica"/>
      <w:i/>
      <w:color w:val="00B050"/>
      <w:sz w:val="20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E0B7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Cs/>
      <w:smallCaps/>
      <w:color w:val="4F81BD" w:themeColor="accent1"/>
      <w:u w:val="single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E0B7B"/>
    <w:rPr>
      <w:rFonts w:ascii="Helvetica" w:hAnsi="Helvetica" w:cs="Helvetica"/>
      <w:b/>
      <w:bCs/>
      <w:iCs/>
      <w:smallCaps/>
      <w:color w:val="4F81BD" w:themeColor="accent1"/>
      <w:sz w:val="20"/>
      <w:u w:val="single"/>
    </w:rPr>
  </w:style>
  <w:style w:type="character" w:styleId="Jemnzvraznenie">
    <w:name w:val="Subtle Emphasis"/>
    <w:uiPriority w:val="19"/>
    <w:qFormat/>
    <w:rsid w:val="001E0B7B"/>
    <w:rPr>
      <w:i/>
      <w:iCs/>
      <w:color w:val="808080" w:themeColor="text1" w:themeTint="7F"/>
    </w:rPr>
  </w:style>
  <w:style w:type="character" w:styleId="Intenzvnezvraznenie">
    <w:name w:val="Intense Emphasis"/>
    <w:uiPriority w:val="21"/>
    <w:qFormat/>
    <w:rsid w:val="001E0B7B"/>
    <w:rPr>
      <w:b/>
      <w:bCs/>
      <w:i/>
      <w:iCs/>
      <w:color w:val="4F81BD" w:themeColor="accent1"/>
    </w:rPr>
  </w:style>
  <w:style w:type="character" w:styleId="Jemnodkaz">
    <w:name w:val="Subtle Reference"/>
    <w:uiPriority w:val="31"/>
    <w:qFormat/>
    <w:rsid w:val="001E0B7B"/>
    <w:rPr>
      <w:smallCaps/>
      <w:color w:val="0070C0"/>
      <w:u w:val="single"/>
    </w:rPr>
  </w:style>
  <w:style w:type="character" w:styleId="Zvraznenodkaz">
    <w:name w:val="Intense Reference"/>
    <w:basedOn w:val="Predvolenpsmoodseku"/>
    <w:uiPriority w:val="32"/>
    <w:qFormat/>
    <w:rsid w:val="001E0B7B"/>
    <w:rPr>
      <w:bCs/>
      <w:smallCaps/>
      <w:color w:val="C0504D" w:themeColor="accent2"/>
      <w:spacing w:val="5"/>
      <w:sz w:val="22"/>
      <w:u w:val="single"/>
    </w:rPr>
  </w:style>
  <w:style w:type="character" w:styleId="Nzovknihy">
    <w:name w:val="Book Title"/>
    <w:basedOn w:val="Predvolenpsmoodseku"/>
    <w:uiPriority w:val="33"/>
    <w:qFormat/>
    <w:rsid w:val="001E0B7B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E0B7B"/>
    <w:pPr>
      <w:outlineLvl w:val="9"/>
    </w:pPr>
    <w:rPr>
      <w:rFonts w:asciiTheme="majorHAnsi" w:hAnsiTheme="majorHAnsi" w:cstheme="majorBidi"/>
      <w:u w:val="none"/>
    </w:rPr>
  </w:style>
  <w:style w:type="paragraph" w:styleId="Hlavika">
    <w:name w:val="header"/>
    <w:basedOn w:val="Normlny"/>
    <w:link w:val="HlavikaChar"/>
    <w:uiPriority w:val="99"/>
    <w:unhideWhenUsed/>
    <w:rsid w:val="009D21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D2120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9D21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D2120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rsid w:val="009D2120"/>
    <w:rPr>
      <w:rFonts w:cs="Times New Roman"/>
    </w:rPr>
  </w:style>
  <w:style w:type="paragraph" w:styleId="Zkladntext">
    <w:name w:val="Body Text"/>
    <w:basedOn w:val="Normlny"/>
    <w:link w:val="ZkladntextChar"/>
    <w:rsid w:val="009D2120"/>
    <w:pPr>
      <w:ind w:left="426"/>
      <w:jc w:val="both"/>
    </w:pPr>
  </w:style>
  <w:style w:type="character" w:customStyle="1" w:styleId="ZkladntextChar">
    <w:name w:val="Základný text Char"/>
    <w:basedOn w:val="Predvolenpsmoodseku"/>
    <w:link w:val="Zkladntext"/>
    <w:rsid w:val="009D2120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9D2120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9D2120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9D2120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9D2120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9D2120"/>
    <w:rPr>
      <w:rFonts w:ascii="Times" w:eastAsia="Times New Roman" w:hAnsi="Times" w:cs="Times New Roman"/>
      <w:sz w:val="20"/>
      <w:szCs w:val="20"/>
      <w:lang w:val="en-US"/>
    </w:rPr>
  </w:style>
  <w:style w:type="paragraph" w:customStyle="1" w:styleId="Tabulka">
    <w:name w:val="Tabulka"/>
    <w:basedOn w:val="Normlny"/>
    <w:rsid w:val="009D2120"/>
    <w:rPr>
      <w:color w:val="000000"/>
    </w:rPr>
  </w:style>
  <w:style w:type="paragraph" w:customStyle="1" w:styleId="Pismenka">
    <w:name w:val="Pismenka"/>
    <w:basedOn w:val="Zkladntext"/>
    <w:rsid w:val="009D2120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2120"/>
    <w:rPr>
      <w:rFonts w:ascii="Tahoma" w:hAnsi="Tahoma" w:cs="Tahoma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2120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D212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2120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2120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212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2120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9D2120"/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9D2120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9D2120"/>
    <w:pPr>
      <w:spacing w:line="260" w:lineRule="exact"/>
    </w:pPr>
    <w:rPr>
      <w:rFonts w:ascii="Times" w:hAnsi="Times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9D2120"/>
    <w:pPr>
      <w:spacing w:after="120"/>
    </w:pPr>
    <w:rPr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9D2120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9D2120"/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D212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8D8219-B536-4444-AA73-EA3C54279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1976</Words>
  <Characters>11265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Alica Fisterová</dc:creator>
  <cp:lastModifiedBy>Foxy Fenix</cp:lastModifiedBy>
  <cp:revision>5</cp:revision>
  <cp:lastPrinted>2016-06-19T07:06:00Z</cp:lastPrinted>
  <dcterms:created xsi:type="dcterms:W3CDTF">2019-06-24T16:27:00Z</dcterms:created>
  <dcterms:modified xsi:type="dcterms:W3CDTF">2019-06-24T16:29:00Z</dcterms:modified>
</cp:coreProperties>
</file>