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75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60"/>
        <w:gridCol w:w="2665"/>
        <w:gridCol w:w="341"/>
        <w:gridCol w:w="340"/>
        <w:gridCol w:w="340"/>
        <w:gridCol w:w="341"/>
        <w:gridCol w:w="340"/>
        <w:gridCol w:w="340"/>
        <w:gridCol w:w="341"/>
        <w:gridCol w:w="340"/>
        <w:gridCol w:w="565"/>
        <w:gridCol w:w="341"/>
        <w:gridCol w:w="340"/>
        <w:gridCol w:w="340"/>
        <w:gridCol w:w="341"/>
      </w:tblGrid>
      <w:tr>
        <w:trPr/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Všeobecné údaje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>.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Zakladateľ neziskovej organizácie:</w:t>
      </w:r>
    </w:p>
    <w:p>
      <w:pPr>
        <w:pStyle w:val="Normal"/>
        <w:widowControl w:val="false"/>
        <w:suppressAutoHyphens w:val="true"/>
        <w:rPr/>
      </w:pPr>
      <w:r>
        <w:rPr/>
        <w:t>Obec Gajary, sídlo: 900 61 Gajary, ul. Hlavná 67, IČO: 00304743, v zastúpení: Ing. Peter Tydlitát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Malé Leváre, sídlo: 908 74 Malé Leváre č.177, IČO: 00309711, v zastúpení: Adrian Pernecký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Veľké Leváre, sídlo: 908 73 Veľké Leváre, ul. Štefánikova 747, IČO: 00310115, v zastúpení: Ing.Richard Nimsch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Jakubov, sídlo: 900 63 Jakubov č. 191, IČO: 00304816, v zastúpení: Mgr. Peter Gajdár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Studienka, sídlo: 908 75 Studienka č. 364, IČO: 00310042, v zastúpení: Ing. Boris Soukup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Závod, sídlo: 908 72 Závod, ul. Sokolská 243, IČO: 00310158, v zastúpení: Ing. Peter Vrablec</w:t>
      </w:r>
    </w:p>
    <w:p>
      <w:pPr>
        <w:pStyle w:val="Normal"/>
        <w:widowControl w:val="false"/>
        <w:suppressAutoHyphens w:val="true"/>
        <w:spacing w:lineRule="atLeast" w:line="200"/>
        <w:rPr>
          <w:b/>
          <w:b/>
          <w:bCs/>
        </w:rPr>
      </w:pPr>
      <w:r>
        <w:rPr/>
        <w:t>Obec Kostolište, sídlo: 900 62 Kostolište č. 66, IČO: 00304867, v zastúpení: Mgr. Hubert Danihel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 xml:space="preserve">            </w:t>
      </w:r>
    </w:p>
    <w:p>
      <w:pPr>
        <w:pStyle w:val="Normal"/>
        <w:widowControl w:val="false"/>
        <w:suppressAutoHyphens w:val="true"/>
        <w:rPr>
          <w:b/>
          <w:b/>
          <w:bCs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Dátum založenia neziskovej organizácie:</w:t>
      </w:r>
      <w:r>
        <w:rPr>
          <w:b/>
          <w:bCs/>
        </w:rPr>
        <w:t xml:space="preserve"> 19.1.2007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 xml:space="preserve">Riaditeľ: </w:t>
      </w:r>
      <w:r>
        <w:rPr>
          <w:rFonts w:cs="Arial" w:ascii="Arial" w:hAnsi="Arial"/>
          <w:b/>
          <w:bCs/>
        </w:rPr>
        <w:t>Zuzana Caunerová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Správna rada: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Predseda: Ing. Peter Tydlitát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 xml:space="preserve">Členovia: 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Ing. Boris Soukup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Mgr. Peter Gajdár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Ing. Adrian Pernecký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1778" w:hanging="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BodyTextIndent2"/>
        <w:rPr>
          <w:rFonts w:ascii="Arial" w:hAnsi="Arial" w:cs="Arial"/>
        </w:rPr>
      </w:pPr>
      <w:r>
        <w:rPr>
          <w:rFonts w:cs="Arial" w:ascii="Arial" w:hAnsi="Arial"/>
        </w:rPr>
        <w:t>Nezisková organizácia bude poskytovať všeobecne prospešné služby v oblasti tvorby, rozvoja, ochrany, obnovy a prezentácie duchovných a kultúrnych hodnôt:</w:t>
      </w:r>
    </w:p>
    <w:p>
      <w:pPr>
        <w:pStyle w:val="BodyTextIndent2"/>
        <w:tabs>
          <w:tab w:val="left" w:pos="4111" w:leader="none"/>
        </w:tabs>
        <w:rPr>
          <w:rFonts w:ascii="Arial" w:hAnsi="Arial" w:cs="Arial"/>
        </w:rPr>
      </w:pPr>
      <w:r>
        <w:rPr>
          <w:rFonts w:cs="Arial" w:ascii="Arial" w:hAnsi="Arial"/>
        </w:rPr>
        <w:t>- služby organizovania kultúrnych, spoločenských podujatí, výstav, prezentácií, osvetových podujatí  a stretnutí a ďalšie služby v oblasti výskumu, vývoja, vedecko-technických služieb a informačných služieb so zameraním na informačné služby: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analýzy, rozbory, prieskumy, spracovanie a realizácia projektov,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informačné služby prostredníctvom  internetu.</w:t>
      </w:r>
    </w:p>
    <w:p>
      <w:pPr>
        <w:pStyle w:val="Normal"/>
        <w:spacing w:lineRule="auto" w:line="240" w:before="0" w:after="120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Tabuľka k čl. I ods.  4 o počte zamestnancov a dobrovoľníkov</w:t>
      </w:r>
    </w:p>
    <w:tbl>
      <w:tblPr>
        <w:tblW w:w="9923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61"/>
        <w:gridCol w:w="2410"/>
        <w:gridCol w:w="2552"/>
      </w:tblGrid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Textopatrenia"/>
              <w:spacing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6</w:t>
            </w:r>
          </w:p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  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 o účtovných zásadách a účtovných metódach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 ods.1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>Spoločnosť zostavila účtovnú závierku za predpokladu nepretržitého pokračovania vo svojej činnosti. Spoločnosť nepretržite pokračovala vo svojej činnosti od 1.1.2018 do 31.12.2018 a predpokladá túto činnosť vykonávať i naďalej.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  <w:t xml:space="preserve">II.odst.2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Účtovná jednotka nevykonala žiadne zmeny účtovných zásad a účtovných metód.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II.ods.3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 Účtovná jednotka oceňovala majetok a záväzky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ku dňu uskutočnenie účtovného prípadu</w:t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3.1.1 Ku dňu uskutočnenia účtovného prípadu oceňovala účtovná jednotka majetok a záväzky: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</w:t>
      </w:r>
      <w:r>
        <w:rPr>
          <w:rFonts w:cs="Arial" w:ascii="Arial" w:hAnsi="Arial"/>
          <w:sz w:val="16"/>
          <w:szCs w:val="16"/>
        </w:rPr>
        <w:t>a) obstarávacou cenou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nehmotný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finančný majetok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  <w:r>
        <w:rPr>
          <w:rFonts w:cs="Arial" w:ascii="Arial" w:hAnsi="Arial"/>
          <w:sz w:val="16"/>
          <w:szCs w:val="16"/>
        </w:rPr>
        <w:t>- zásoby obstarané kúpou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b)/menovitou hodnotou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pohľadávky pri odplatnom nadobudnutí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záväzky pri ich prevzatí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krátkodobý finančný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Obstarávacia cena je cena, za ktorú sa majetok obstaral a náklady súvisiace s jeho obstaraním.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Vyskytujúce sa náklady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súvisiace s obstaraním v účtovnej jednotke: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provízia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dopravné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sz w:val="16"/>
          <w:szCs w:val="16"/>
        </w:rPr>
        <w:t xml:space="preserve">  </w:t>
      </w:r>
      <w:r>
        <w:rPr>
          <w:rFonts w:cs="Arial" w:ascii="Arial" w:hAnsi="Arial"/>
          <w:b/>
          <w:bCs/>
          <w:sz w:val="18"/>
          <w:szCs w:val="18"/>
        </w:rPr>
        <w:t xml:space="preserve"> </w:t>
      </w:r>
      <w:r>
        <w:rPr>
          <w:rFonts w:cs="Arial" w:ascii="Arial" w:hAnsi="Arial"/>
          <w:b/>
          <w:bCs/>
          <w:sz w:val="18"/>
          <w:szCs w:val="18"/>
        </w:rPr>
        <w:t>II. ods.  4 Spôsob zostavovania odpisového plánu dlhodobého majetku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Účtovná jednotka stanovila interným predpisom pravidlá pre účtovanie dlhodobého majetku: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Nehmotný majetok, ktorého ocenenie sa rovná sume  2400 EUR, alebo nižšie sa účtuje na ťarchu 518 - Ostatné služby.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Nehmotný majetok, ktorého ocenenie je vyššie, zaradila účtovná jednotka do dlhodobého nehmotného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Hmotný majetok, ktorého ocenenie sa rovná sume   1700 EUR, alebo nižšie účtuje účtovná jednotka na ťarchu účtu zásob.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Hmotný majetok, ktorého ocenenie je vyššie, zaradila účtovná jednotka do dlhodobého 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zostavila pre bežné účtovné obdobie odpisový plán pre dlhodobý majetok, ktorý obsahuje dobu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</w:t>
      </w:r>
      <w:r>
        <w:rPr>
          <w:rFonts w:cs="Arial" w:ascii="Arial" w:hAnsi="Arial"/>
          <w:sz w:val="16"/>
          <w:szCs w:val="16"/>
        </w:rPr>
        <w:t>odpisovania, sadzby odpisov, odpisové metódy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stanovila interným predpisom, že účtovné odpisy dlhodobého majetku sa rovnajú daňovým odpisom.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460" w:hanging="0"/>
        <w:rPr/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76" w:type="dxa"/>
        <w:jc w:val="left"/>
        <w:tblInd w:w="31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1"/>
        <w:gridCol w:w="4914"/>
      </w:tblGrid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  <w:highlight w:val="yellow"/>
        </w:rPr>
      </w:pPr>
      <w:r>
        <w:rPr>
          <w:rFonts w:cs="Arial" w:ascii="Arial" w:hAnsi="Arial"/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Informácie, ktoré dopĺňajú a vysvetľujú údaje v súvahe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1 o stave a pohybe dlhodobého hmotného majetku</w:t>
      </w:r>
    </w:p>
    <w:tbl>
      <w:tblPr>
        <w:tblW w:w="799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77"/>
        <w:gridCol w:w="1872"/>
        <w:gridCol w:w="1871"/>
        <w:gridCol w:w="1869"/>
      </w:tblGrid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Prvotné ocenenie</w:t>
            </w:r>
            <w:r>
              <w:rPr>
                <w:rFonts w:cs="Arial"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9853,74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/>
              <w:t>13116,58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22970,32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767,83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767,83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presuny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10931,04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23279,79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 xml:space="preserve">Oprávky – </w:t>
            </w: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9853,74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13116,58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22970,32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910,92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910,92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767,83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767,83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10764,66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23113,41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Zostatková hodnota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75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166,38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166,38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6 o položkách krátkodobého finančného majetku</w:t>
      </w:r>
    </w:p>
    <w:p>
      <w:pPr>
        <w:pStyle w:val="Normal"/>
        <w:spacing w:lineRule="auto" w:line="240" w:before="0" w:after="120"/>
        <w:ind w:left="567" w:hanging="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Tabuľka č. 1</w:t>
      </w:r>
    </w:p>
    <w:tbl>
      <w:tblPr>
        <w:tblW w:w="10382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317"/>
        <w:gridCol w:w="3602"/>
        <w:gridCol w:w="3463"/>
      </w:tblGrid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Pokladnica,ceniny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78,84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160,93</w:t>
            </w:r>
          </w:p>
        </w:tc>
      </w:tr>
      <w:tr>
        <w:trPr>
          <w:trHeight w:val="373" w:hRule="atLeast"/>
        </w:trPr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33139,22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74848,44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33218,06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75009,37</w:t>
            </w:r>
          </w:p>
        </w:tc>
      </w:tr>
    </w:tbl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 xml:space="preserve">Čl. III ods. 10  o pohľadávkach do lehoty splatnosti a po lehote splatnosti </w:t>
      </w:r>
    </w:p>
    <w:tbl>
      <w:tblPr>
        <w:tblW w:w="10682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642"/>
        <w:gridCol w:w="3234"/>
        <w:gridCol w:w="3806"/>
      </w:tblGrid>
      <w:tr>
        <w:trPr>
          <w:trHeight w:val="397" w:hRule="atLeast"/>
        </w:trPr>
        <w:tc>
          <w:tcPr>
            <w:tcW w:w="36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7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364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35684,56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8020,70</w:t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520,96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36205,52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8020,70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  <w:t>Čl.III.ods.11Prehľad významných položiek časového rozlíšenia nákladov budúcich období a príjmov budúcich období</w:t>
      </w:r>
    </w:p>
    <w:tbl>
      <w:tblPr>
        <w:tblW w:w="928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>
          <w:trHeight w:val="403" w:hRule="atLeast"/>
        </w:trPr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 NBO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Domena 2019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49,06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49,06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>Čl. III ods. 12 o zmenách vlastných zdrojov krytia neobežného majetku a obežného majetku</w:t>
      </w:r>
      <w:r>
        <w:rPr>
          <w:rFonts w:cs="Arial" w:ascii="Arial" w:hAnsi="Arial"/>
        </w:rPr>
        <w:t xml:space="preserve">    </w:t>
      </w:r>
    </w:p>
    <w:tbl>
      <w:tblPr>
        <w:tblW w:w="10383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40"/>
        <w:gridCol w:w="2325"/>
        <w:gridCol w:w="1229"/>
        <w:gridCol w:w="1336"/>
        <w:gridCol w:w="1457"/>
        <w:gridCol w:w="1995"/>
      </w:tblGrid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038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Nevysp.výsledok hosp.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78758,32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609,51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79367,83</w:t>
            </w:r>
          </w:p>
        </w:tc>
      </w:tr>
      <w:tr>
        <w:trPr>
          <w:trHeight w:val="42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609,51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12689,54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-609,51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-12689,54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79367,83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12689,54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66678,29</w:t>
            </w:r>
          </w:p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13 o rozdelení účtovného zisku alebo vysporiadaní účtovnej straty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930"/>
        <w:gridCol w:w="4535"/>
      </w:tblGrid>
      <w:tr>
        <w:trPr>
          <w:trHeight w:val="765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Názov položky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Účtovný zisk 2017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609,51</w:t>
            </w:r>
          </w:p>
        </w:tc>
      </w:tr>
      <w:tr>
        <w:trPr>
          <w:trHeight w:val="330" w:hRule="atLeast"/>
        </w:trPr>
        <w:tc>
          <w:tcPr>
            <w:tcW w:w="1046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Do nevyspor. výsledku hospod. min. rokov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609,51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a) o  tvorbe a použití rezerv</w:t>
      </w:r>
    </w:p>
    <w:tbl>
      <w:tblPr>
        <w:tblW w:w="1024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4"/>
        <w:gridCol w:w="1908"/>
        <w:gridCol w:w="1407"/>
        <w:gridCol w:w="1369"/>
        <w:gridCol w:w="1553"/>
        <w:gridCol w:w="1908"/>
      </w:tblGrid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648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Rezerva dovolenka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236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Ostatné rezervy spolu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966,84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1202,02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966,84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1202,02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/>
      </w:pPr>
      <w:r>
        <w:rPr>
          <w:rFonts w:cs="Arial" w:ascii="Arial" w:hAnsi="Arial"/>
          <w:sz w:val="16"/>
          <w:szCs w:val="16"/>
        </w:rPr>
        <w:t>Predpokladaný rok použitia rezervy- rok 2019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c) a d) o záväzkoch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1"/>
        <w:gridCol w:w="2825"/>
        <w:gridCol w:w="3210"/>
      </w:tblGrid>
      <w:tr>
        <w:trPr>
          <w:trHeight w:val="397" w:hRule="atLeast"/>
        </w:trPr>
        <w:tc>
          <w:tcPr>
            <w:tcW w:w="44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0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44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1694,67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2743,61</w:t>
            </w:r>
          </w:p>
        </w:tc>
      </w:tr>
      <w:tr>
        <w:trPr>
          <w:trHeight w:val="447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1694,67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2743,61</w:t>
            </w:r>
          </w:p>
        </w:tc>
      </w:tr>
      <w:tr>
        <w:trPr/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64,04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64,04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1758,71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2743,61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e) o vývoji sociálneho fondu</w:t>
      </w:r>
    </w:p>
    <w:tbl>
      <w:tblPr>
        <w:tblW w:w="1024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22"/>
        <w:gridCol w:w="3221"/>
        <w:gridCol w:w="3197"/>
      </w:tblGrid>
      <w:tr>
        <w:trPr/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44,60</w:t>
            </w:r>
          </w:p>
        </w:tc>
      </w:tr>
      <w:tr>
        <w:trPr>
          <w:trHeight w:val="375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69,22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69,77</w:t>
            </w:r>
          </w:p>
        </w:tc>
      </w:tr>
      <w:tr>
        <w:trPr>
          <w:trHeight w:val="411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Čerpanie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5,18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114,37</w:t>
            </w:r>
          </w:p>
        </w:tc>
      </w:tr>
      <w:tr>
        <w:trPr>
          <w:trHeight w:val="557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64,04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bookmarkStart w:id="0" w:name="_GoBack"/>
      <w:bookmarkStart w:id="1" w:name="_GoBack"/>
      <w:bookmarkEnd w:id="1"/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tabs>
          <w:tab w:val="left" w:pos="3041" w:leader="none"/>
          <w:tab w:val="center" w:pos="7568" w:leader="none"/>
        </w:tabs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ab/>
        <w:t>Informácie, ktoré dopĺňajú a vysvetľujú údaje vo výkaze ziskov a strát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IV. ods.1 o tržbách za vlastné výkony a tovar</w:t>
      </w:r>
    </w:p>
    <w:tbl>
      <w:tblPr>
        <w:tblW w:w="1042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88"/>
        <w:gridCol w:w="3641"/>
        <w:gridCol w:w="3491"/>
      </w:tblGrid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TRŽBY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služby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3117,61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5518,13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3117,61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5518,13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bCs/>
        </w:rPr>
      </w:pPr>
      <w:r>
        <w:rPr>
          <w:b/>
          <w:bCs/>
        </w:rPr>
        <w:t>Čl. IV. odst.3 o položkách prijatých dotácií</w:t>
      </w:r>
    </w:p>
    <w:tbl>
      <w:tblPr>
        <w:tblW w:w="928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dotácií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Dotácia –členské od obcí</w:t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Dotácia BSK</w:t>
            </w:r>
          </w:p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Dotácia IBK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17628,00</w:t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4500,00</w:t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28184,82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50312,82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b/>
          <w:bCs/>
          <w:sz w:val="18"/>
          <w:szCs w:val="18"/>
        </w:rPr>
        <w:t>IV. ods. 5 o významných položkách nákladov</w:t>
      </w:r>
    </w:p>
    <w:tbl>
      <w:tblPr>
        <w:tblW w:w="1042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83"/>
        <w:gridCol w:w="3299"/>
        <w:gridCol w:w="3238"/>
      </w:tblGrid>
      <w:tr>
        <w:trPr/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4108,62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2290,62</w:t>
            </w:r>
          </w:p>
        </w:tc>
      </w:tr>
      <w:tr>
        <w:trPr>
          <w:trHeight w:val="375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Náklady voči audítorovi,účto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1608,33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1077,94</w:t>
            </w:r>
          </w:p>
        </w:tc>
      </w:tr>
      <w:tr>
        <w:trPr>
          <w:trHeight w:val="279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62011,35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28901,74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513-Náklady repre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1875,31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56,11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551-odpisy 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910,92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0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521 – Mzdové náklady 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35385,79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19005,98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524 – Zákonné SP a ZP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12247,66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6729,46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  ods. 8 o nákladoch vynaložených v súvislosti s auditom účtovnej závierky</w:t>
      </w:r>
    </w:p>
    <w:tbl>
      <w:tblPr>
        <w:tblW w:w="928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Overenie účt. závierky 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480,58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480,58</w:t>
            </w:r>
          </w:p>
        </w:tc>
      </w:tr>
    </w:tbl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          </w:t>
      </w:r>
      <w:r>
        <w:rPr>
          <w:rFonts w:cs="Arial" w:ascii="Arial" w:hAnsi="Arial"/>
          <w:b/>
          <w:bCs/>
        </w:rPr>
        <w:t xml:space="preserve">Čl. VI  </w:t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</w:t>
      </w:r>
      <w:r>
        <w:rPr>
          <w:rFonts w:cs="Arial" w:ascii="Arial" w:hAnsi="Arial"/>
          <w:b/>
          <w:bCs/>
        </w:rPr>
        <w:t>ďalšie informácie</w:t>
      </w:r>
    </w:p>
    <w:p>
      <w:pPr>
        <w:pStyle w:val="Normal"/>
        <w:spacing w:lineRule="auto" w:line="240"/>
        <w:rPr/>
      </w:pPr>
      <w:bookmarkStart w:id="2" w:name="__UnoMark__1263_2268198812"/>
      <w:bookmarkEnd w:id="2"/>
      <w:r>
        <w:rPr>
          <w:rFonts w:cs="Arial" w:ascii="Arial" w:hAnsi="Arial"/>
          <w:sz w:val="16"/>
          <w:szCs w:val="16"/>
        </w:rPr>
        <w:t>Po 31.12.2018 nenastali také skutočnosti, ktoré by si vyžadovali zverejnenie, alebo vykázanie v účtovnej závierke za rok 2018.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/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720" w:right="720" w:header="0" w:top="720" w:footer="709" w:bottom="766" w:gutter="0"/>
      <w:pgNumType w:start="7"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6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76530" cy="25082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5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spacing w:before="120" w:after="12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09.4pt;margin-top:0.05pt;width:13.8pt;height:19.65pt;mso-position-horizontal:right;mso-position-horizontal-relative:margin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spacing w:before="120" w:after="12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4056c5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c770ad"/>
    <w:rPr>
      <w:rFonts w:ascii="Arial Narrow" w:hAnsi="Arial Narrow" w:cs="Arial Narrow"/>
      <w:sz w:val="24"/>
      <w:szCs w:val="24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9" w:customStyle="1">
    <w:name w:val="ListLabel 9"/>
    <w:qFormat/>
    <w:rPr>
      <w:rFonts w:eastAsia="Times New Roman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cs="Symbol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Arial"/>
      <w:b/>
      <w:bCs/>
      <w:i w:val="false"/>
      <w:iCs w:val="false"/>
      <w:sz w:val="24"/>
      <w:szCs w:val="24"/>
    </w:rPr>
  </w:style>
  <w:style w:type="character" w:styleId="ListLabel19" w:customStyle="1">
    <w:name w:val="ListLabel 19"/>
    <w:qFormat/>
    <w:rPr>
      <w:rFonts w:cs="Arial"/>
      <w:b/>
      <w:bCs/>
      <w:i w:val="false"/>
      <w:iCs w:val="false"/>
      <w:sz w:val="24"/>
      <w:szCs w:val="24"/>
    </w:rPr>
  </w:style>
  <w:style w:type="character" w:styleId="ListLabel20" w:customStyle="1">
    <w:name w:val="ListLabel 20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i w:val="false"/>
    </w:rPr>
  </w:style>
  <w:style w:type="character" w:styleId="ListLabel244" w:customStyle="1">
    <w:name w:val="ListLabel 244"/>
    <w:qFormat/>
    <w:rPr>
      <w:b w:val="false"/>
      <w:i w:val="false"/>
      <w:sz w:val="16"/>
    </w:rPr>
  </w:style>
  <w:style w:type="character" w:styleId="ListLabel245" w:customStyle="1">
    <w:name w:val="ListLabel 245"/>
    <w:qFormat/>
    <w:rPr>
      <w:b w:val="false"/>
      <w:i w:val="false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sid w:val="00dc55c1"/>
    <w:rPr>
      <w:rFonts w:ascii="Arial Narrow" w:hAnsi="Arial Narrow" w:cs="Arial Narrow"/>
      <w:color w:val="00000A"/>
      <w:szCs w:val="20"/>
      <w:lang w:eastAsia="cs-CZ"/>
    </w:rPr>
  </w:style>
  <w:style w:type="character" w:styleId="ListLabel246">
    <w:name w:val="ListLabel 246"/>
    <w:qFormat/>
    <w:rPr>
      <w:rFonts w:cs="Arial"/>
      <w:b/>
      <w:bCs/>
      <w:i w:val="false"/>
      <w:iCs w:val="false"/>
      <w:sz w:val="24"/>
      <w:szCs w:val="24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rFonts w:cs="Arial"/>
      <w:b/>
      <w:bCs/>
      <w:i w:val="false"/>
      <w:iCs w:val="false"/>
      <w:sz w:val="24"/>
      <w:szCs w:val="24"/>
    </w:rPr>
  </w:style>
  <w:style w:type="character" w:styleId="ListLabel249">
    <w:name w:val="ListLabel 249"/>
    <w:qFormat/>
    <w:rPr>
      <w:rFonts w:cs="Arial"/>
      <w:b/>
      <w:bCs/>
      <w:i w:val="false"/>
      <w:iCs w:val="false"/>
      <w:sz w:val="24"/>
      <w:szCs w:val="24"/>
    </w:rPr>
  </w:style>
  <w:style w:type="character" w:styleId="ListLabel250">
    <w:name w:val="ListLabel 250"/>
    <w:qFormat/>
    <w:rPr>
      <w:rFonts w:cs="Arial"/>
      <w:b/>
      <w:bCs/>
      <w:i w:val="false"/>
      <w:iCs w:val="false"/>
      <w:sz w:val="24"/>
      <w:szCs w:val="24"/>
    </w:rPr>
  </w:style>
  <w:style w:type="character" w:styleId="ListLabel251">
    <w:name w:val="ListLabel 251"/>
    <w:qFormat/>
    <w:rPr>
      <w:rFonts w:cs="Arial"/>
      <w:b/>
      <w:bCs/>
      <w:i w:val="false"/>
      <w:iCs w:val="false"/>
      <w:sz w:val="24"/>
      <w:szCs w:val="24"/>
    </w:rPr>
  </w:style>
  <w:style w:type="character" w:styleId="ListLabel252">
    <w:name w:val="ListLabel 252"/>
    <w:qFormat/>
    <w:rPr>
      <w:rFonts w:cs="Arial"/>
      <w:b/>
      <w:bCs/>
      <w:i w:val="false"/>
      <w:iCs w:val="false"/>
      <w:sz w:val="24"/>
      <w:szCs w:val="24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Hlavika">
    <w:name w:val="Header"/>
    <w:basedOn w:val="Normal"/>
    <w:link w:val="HlavikaChar"/>
    <w:uiPriority w:val="99"/>
    <w:rsid w:val="00c770ad"/>
    <w:pPr>
      <w:tabs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dc55c1"/>
    <w:pPr>
      <w:spacing w:lineRule="auto" w:line="480"/>
      <w:ind w:left="283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Application>LibreOffice/5.3.3.2$Windows_X86_64 LibreOffice_project/3d9a8b4b4e538a85e0782bd6c2d430bafe583448</Application>
  <Pages>6</Pages>
  <Words>1173</Words>
  <Characters>7114</Characters>
  <CharactersWithSpaces>8416</CharactersWithSpaces>
  <Paragraphs>316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2018-03-23T07:32:00Z</dcterms:created>
  <dc:creator>Vrbova</dc:creator>
  <dc:description/>
  <dc:language>sk-SK</dc:language>
  <cp:lastModifiedBy/>
  <cp:lastPrinted>2018-03-09T14:34:00Z</cp:lastPrinted>
  <dcterms:modified xsi:type="dcterms:W3CDTF">2019-03-26T10:21:14Z</dcterms:modified>
  <cp:revision>11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