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5B9BD5" w:themeColor="accent1"/>
        </w:rPr>
      </w:pPr>
      <w:bookmarkStart w:id="0" w:name="_GoBack"/>
      <w:bookmarkEnd w:id="0"/>
      <w:r>
        <w:rPr>
          <w:rFonts w:cs="Times New Roman" w:ascii="Times New Roman" w:hAnsi="Times New Roman"/>
          <w:b/>
          <w:color w:val="5B9BD5" w:themeColor="accent1"/>
        </w:rPr>
        <w:t>Čl. I </w:t>
        <w:tab/>
        <w:t>Všeobecné informácie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</w:rPr>
        <w:t xml:space="preserve">I.1 </w:t>
        <w:tab/>
        <w:t xml:space="preserve">Obchodné meno účtovnej jednotky: </w:t>
      </w:r>
      <w:r>
        <w:rPr>
          <w:rFonts w:cs="Times New Roman" w:ascii="Times New Roman" w:hAnsi="Times New Roman"/>
          <w:b/>
        </w:rPr>
        <w:t>SUMIRSTAV, s.r.o.</w:t>
      </w:r>
    </w:p>
    <w:p>
      <w:pPr>
        <w:pStyle w:val="ListParagraph"/>
        <w:spacing w:lineRule="auto" w:line="240"/>
        <w:jc w:val="both"/>
        <w:rPr/>
      </w:pPr>
      <w:r>
        <w:rPr>
          <w:rFonts w:cs="Times New Roman" w:ascii="Times New Roman" w:hAnsi="Times New Roman"/>
          <w:b/>
        </w:rPr>
        <w:t xml:space="preserve">Sídlo účtovnej jednotky: </w:t>
      </w:r>
      <w:r>
        <w:rPr>
          <w:rFonts w:cs="Times New Roman" w:ascii="Times New Roman" w:hAnsi="Times New Roman"/>
          <w:b/>
        </w:rPr>
        <w:t>Nad Predmestím 2628/19, 909 01  Skalica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Opis hospodárskej činnosti účtovnej jednotky: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ab/>
      </w:r>
      <w:r>
        <w:rPr>
          <w:rFonts w:cs="Times New Roman" w:ascii="Times New Roman" w:hAnsi="Times New Roman"/>
          <w:b/>
        </w:rPr>
        <w:t>Ostatné stavebné a kompletizačné a dokončovacie práce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tabs>
          <w:tab w:val="left" w:pos="5380" w:leader="none"/>
        </w:tabs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ab/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I.2</w:t>
        <w:tab/>
        <w:t>Dátum schválenia účtovnej závierky za bezprostredne predchádzajúce účtovné obdobie: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26.3.2018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I.3</w:t>
        <w:tab/>
        <w:t>Právny dôvod na zostavenie účtovnej závierky: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tabs>
          <w:tab w:val="left" w:pos="1604" w:leader="none"/>
          <w:tab w:val="left" w:pos="2815" w:leader="none"/>
        </w:tabs>
        <w:spacing w:lineRule="auto" w:line="240"/>
        <w:ind w:left="0" w:hanging="0"/>
        <w:jc w:val="both"/>
        <w:rPr/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x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Riadna   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Mimoriadna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Dôvod na zostavenie mimoriadnej účtovnej závierky: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tabs>
          <w:tab w:val="left" w:pos="1429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8051" w:leader="none"/>
        </w:tabs>
        <w:spacing w:lineRule="auto" w:line="240"/>
        <w:ind w:left="0" w:hanging="0"/>
        <w:jc w:val="both"/>
        <w:rPr>
          <w:rFonts w:ascii="Times New Roman" w:hAnsi="Times New Roman" w:eastAsia="MS Gothic" w:cs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rozdelenie</w:t>
        <w:tab/>
        <w:t xml:space="preserve">              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zlúčenie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 xml:space="preserve">             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splynutie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ab/>
        <w:t xml:space="preserve">       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zmena práv. formy</w:t>
      </w:r>
    </w:p>
    <w:p>
      <w:pPr>
        <w:pStyle w:val="ListParagraph"/>
        <w:tabs>
          <w:tab w:val="left" w:pos="1429" w:leader="none"/>
        </w:tabs>
        <w:spacing w:lineRule="auto" w:line="240"/>
        <w:ind w:left="0" w:hanging="0"/>
        <w:rPr>
          <w:rFonts w:ascii="Times New Roman" w:hAnsi="Times New Roman" w:cs="Times New Roman"/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začiatok likvidácie     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koniec likvidácie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   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vyhlásenie konkurzu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      </w:t>
      </w: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zrušenie konkurzu  </w:t>
      </w: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I.4 </w:t>
        <w:tab/>
        <w:t>Informácie o skupine účtovných jednotiek, ak je účtovná jednotka jej súčasťou:</w:t>
      </w:r>
    </w:p>
    <w:p>
      <w:pPr>
        <w:pStyle w:val="Normal"/>
        <w:spacing w:lineRule="auto" w:line="240"/>
        <w:ind w:left="709" w:hanging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I.4 a)</w:t>
      </w:r>
      <w:r>
        <w:rPr>
          <w:rFonts w:cs="Times New Roman" w:ascii="Times New Roman" w:hAnsi="Times New Roman"/>
        </w:rPr>
        <w:tab/>
        <w:t xml:space="preserve">Obchodné meno a sídlo účtovnej jednotky, ktorá zostavuje konsolidovanú účtovnú závierku za najväčšiu skupinu, ktorej súčasťou je účtovná jednotka ako dcérska účtovná jednotka: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433705</wp:posOffset>
                </wp:positionH>
                <wp:positionV relativeFrom="paragraph">
                  <wp:posOffset>188595</wp:posOffset>
                </wp:positionV>
                <wp:extent cx="5344795" cy="10795"/>
                <wp:effectExtent l="0" t="0" r="28575" b="28575"/>
                <wp:wrapNone/>
                <wp:docPr id="1" name="Rovná spojnic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15pt,14.5pt" to="454.9pt,15.15pt" ID="Rovná spojnica 1" stroked="t" style="position:absolute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  <w:r>
        <w:rPr>
          <w:rFonts w:cs="Times New Roman" w:ascii="Times New Roman" w:hAnsi="Times New Roman"/>
        </w:rPr>
        <w:tab/>
      </w:r>
    </w:p>
    <w:p>
      <w:pPr>
        <w:pStyle w:val="Normal"/>
        <w:spacing w:lineRule="auto" w:line="240" w:before="240" w:after="160"/>
        <w:ind w:left="709" w:hanging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I.4 b)</w:t>
      </w:r>
      <w:r>
        <w:rPr>
          <w:rFonts w:cs="Times New Roman" w:ascii="Times New Roman" w:hAnsi="Times New Roman"/>
        </w:rPr>
        <w:tab/>
        <w:t xml:space="preserve">Obchodné meno a sídlo účtovnej jednotky, ktorá zostavuje konsolidovanú účtovnú závierku za najmenšiu skupinu, ktorej súčasťou je účtovná jednotka ako dcérska účtovná jednotka, a ktorá je tiež začlenená do skupiny účtovných jednotiek uvedených v písmene a):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6" wp14:anchorId="7EFA6952">
                <wp:simplePos x="0" y="0"/>
                <wp:positionH relativeFrom="column">
                  <wp:posOffset>433705</wp:posOffset>
                </wp:positionH>
                <wp:positionV relativeFrom="paragraph">
                  <wp:posOffset>188595</wp:posOffset>
                </wp:positionV>
                <wp:extent cx="5344795" cy="10795"/>
                <wp:effectExtent l="0" t="0" r="28575" b="28575"/>
                <wp:wrapNone/>
                <wp:docPr id="2" name="Rovná spojnic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15pt,14.5pt" to="454.9pt,15.15pt" ID="Rovná spojnica 2" stroked="t" style="position:absolute" wp14:anchorId="7EFA6952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  <w:r>
        <w:rPr>
          <w:rFonts w:cs="Times New Roman" w:ascii="Times New Roman" w:hAnsi="Times New Roman"/>
        </w:rPr>
        <w:tab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mc:AlternateContent>
          <mc:Choice Requires="wps">
            <w:drawing>
              <wp:anchor behindDoc="0" distT="0" distB="0" distL="114300" distR="114300" simplePos="0" locked="0" layoutInCell="1" allowOverlap="1" relativeHeight="7" wp14:anchorId="3737DB03">
                <wp:simplePos x="0" y="0"/>
                <wp:positionH relativeFrom="column">
                  <wp:posOffset>429260</wp:posOffset>
                </wp:positionH>
                <wp:positionV relativeFrom="paragraph">
                  <wp:posOffset>182245</wp:posOffset>
                </wp:positionV>
                <wp:extent cx="5344795" cy="10795"/>
                <wp:effectExtent l="0" t="0" r="28575" b="28575"/>
                <wp:wrapNone/>
                <wp:docPr id="3" name="Rovná spojnic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.8pt,14pt" to="454.55pt,14.65pt" ID="Rovná spojnica 3" stroked="t" style="position:absolute" wp14:anchorId="3737DB03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40" w:before="240" w:after="160"/>
        <w:ind w:left="709" w:hanging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I.4 c)</w:t>
      </w:r>
      <w:r>
        <w:rPr>
          <w:rFonts w:cs="Times New Roman" w:ascii="Times New Roman" w:hAnsi="Times New Roman"/>
        </w:rPr>
        <w:tab/>
        <w:t xml:space="preserve">Sídlo konsolidujúcej účtovnej jednotky, v ktorej je možné získať kópie konsolidovaných účtovných závierok uvedených v písmenách a) a b):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8" wp14:anchorId="5D8A6EA1">
                <wp:simplePos x="0" y="0"/>
                <wp:positionH relativeFrom="column">
                  <wp:posOffset>433705</wp:posOffset>
                </wp:positionH>
                <wp:positionV relativeFrom="paragraph">
                  <wp:posOffset>188595</wp:posOffset>
                </wp:positionV>
                <wp:extent cx="5344795" cy="10795"/>
                <wp:effectExtent l="0" t="0" r="28575" b="28575"/>
                <wp:wrapNone/>
                <wp:docPr id="4" name="Rovná spojnica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15pt,14.5pt" to="454.9pt,15.15pt" ID="Rovná spojnica 6" stroked="t" style="position:absolute" wp14:anchorId="5D8A6EA1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  <w:r>
        <w:rPr>
          <w:rFonts w:cs="Times New Roman" w:ascii="Times New Roman" w:hAnsi="Times New Roman"/>
        </w:rPr>
        <w:tab/>
      </w:r>
    </w:p>
    <w:p>
      <w:pPr>
        <w:pStyle w:val="Normal"/>
        <w:spacing w:lineRule="auto" w:line="240" w:before="240" w:after="160"/>
        <w:ind w:left="709" w:hanging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I.4 d)</w:t>
      </w:r>
      <w:r>
        <w:rPr>
          <w:rFonts w:cs="Times New Roman" w:ascii="Times New Roman" w:hAnsi="Times New Roman"/>
        </w:rPr>
        <w:tab/>
        <w:t>Oslobodenie materskej účtovnej jednotky od povinnosti zostavenia konsolidovanej účtovnej závierky a konsolidovanej výročnej správy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:b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>
        <w:rPr>
          <w:rFonts w:cs="Times New Roman" w:ascii="Times New Roman" w:hAnsi="Times New Roman"/>
        </w:rPr>
        <w:t>V zmysle § 22 ods. 8 ZoÚ (oslobodenie od konsolidácie na medzistupni):</w:t>
      </w:r>
    </w:p>
    <w:p>
      <w:pPr>
        <w:pStyle w:val="Normal"/>
        <w:spacing w:lineRule="auto" w:line="240"/>
        <w:ind w:left="70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Obchodné meno a sídlo materskej účtovnej jednotky zostavujúcej konsolidovanú účtovnú závierku podľa IFRS EÚ, do ktorej je zahrňovaná účtovná jednotka a všetky jej dcérske účtovné jednotky: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" wp14:anchorId="1C8E570B">
                <wp:simplePos x="0" y="0"/>
                <wp:positionH relativeFrom="column">
                  <wp:posOffset>438150</wp:posOffset>
                </wp:positionH>
                <wp:positionV relativeFrom="paragraph">
                  <wp:posOffset>170815</wp:posOffset>
                </wp:positionV>
                <wp:extent cx="5344795" cy="10795"/>
                <wp:effectExtent l="0" t="0" r="28575" b="28575"/>
                <wp:wrapNone/>
                <wp:docPr id="5" name="Rovná spojnica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4.5pt,13.1pt" to="455.25pt,13.75pt" ID="Rovná spojnica 5" stroked="t" style="position:absolute" wp14:anchorId="1C8E570B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  <w:r>
        <w:rPr>
          <w:rFonts w:cs="Times New Roman" w:ascii="Times New Roman" w:hAnsi="Times New Roman"/>
        </w:rPr>
        <w:t xml:space="preserve">                  </w:t>
      </w:r>
    </w:p>
    <w:p>
      <w:pPr>
        <w:pStyle w:val="Normal"/>
        <w:spacing w:lineRule="auto" w:line="240"/>
        <w:ind w:left="709" w:hanging="709"/>
        <w:jc w:val="both"/>
        <w:rPr>
          <w:rFonts w:ascii="Times New Roman" w:hAnsi="Times New Roman" w:cs="Times New Roman"/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:b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cs="Times New Roman" w:ascii="Times New Roman" w:hAnsi="Times New Roman"/>
        </w:rPr>
        <w:tab/>
      </w:r>
      <w:r>
        <w:rPr>
          <w:rFonts w:cs="Times New Roman" w:ascii="Times New Roman" w:hAnsi="Times New Roman"/>
        </w:rPr>
        <w:t>V zmysle § 22 ods. 10 a 12  ZoÚ (oslobodenie pri nevýznamnosti dcérskych spoločností):</w:t>
      </w:r>
    </w:p>
    <w:tbl>
      <w:tblPr>
        <w:tblStyle w:val="Mriekatabuky"/>
        <w:tblpPr w:bottomFromText="0" w:horzAnchor="margin" w:leftFromText="141" w:rightFromText="141" w:tblpX="-30" w:tblpY="73" w:topFromText="0" w:vertAnchor="text"/>
        <w:tblW w:w="9333" w:type="dxa"/>
        <w:jc w:val="left"/>
        <w:tblInd w:w="85" w:type="dxa"/>
        <w:tblCellMar>
          <w:top w:w="0" w:type="dxa"/>
          <w:left w:w="62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104"/>
        <w:gridCol w:w="4228"/>
      </w:tblGrid>
      <w:tr>
        <w:trPr/>
        <w:tc>
          <w:tcPr>
            <w:tcW w:w="510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Obchodné meno dcérskej spoločnosti</w:t>
            </w:r>
          </w:p>
        </w:tc>
        <w:tc>
          <w:tcPr>
            <w:tcW w:w="4228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Sídlo dcérskej spoločnosti</w:t>
            </w:r>
          </w:p>
        </w:tc>
      </w:tr>
      <w:tr>
        <w:trPr>
          <w:trHeight w:val="454" w:hRule="atLeast"/>
        </w:trPr>
        <w:tc>
          <w:tcPr>
            <w:tcW w:w="5104" w:type="dxa"/>
            <w:tcBorders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6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228" w:type="dxa"/>
            <w:tcBorders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54" w:hRule="atLeast"/>
        </w:trPr>
        <w:tc>
          <w:tcPr>
            <w:tcW w:w="5104" w:type="dxa"/>
            <w:tcBorders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6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228" w:type="dxa"/>
            <w:tcBorders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54" w:hRule="atLeast"/>
        </w:trPr>
        <w:tc>
          <w:tcPr>
            <w:tcW w:w="510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6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228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I.5 </w:t>
        <w:tab/>
        <w:t>Informácie o počte zamestnancov:</w:t>
      </w:r>
    </w:p>
    <w:tbl>
      <w:tblPr>
        <w:tblStyle w:val="Mriekatabuky"/>
        <w:tblpPr w:bottomFromText="0" w:horzAnchor="margin" w:leftFromText="141" w:rightFromText="141" w:tblpX="-45" w:tblpY="73" w:topFromText="0" w:vertAnchor="text"/>
        <w:tblW w:w="9324" w:type="dxa"/>
        <w:jc w:val="left"/>
        <w:tblInd w:w="85" w:type="dxa"/>
        <w:tblCellMar>
          <w:top w:w="0" w:type="dxa"/>
          <w:left w:w="62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124"/>
        <w:gridCol w:w="2412"/>
        <w:gridCol w:w="2788"/>
      </w:tblGrid>
      <w:tr>
        <w:trPr/>
        <w:tc>
          <w:tcPr>
            <w:tcW w:w="412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Názov položky</w:t>
            </w:r>
          </w:p>
        </w:tc>
        <w:tc>
          <w:tcPr>
            <w:tcW w:w="241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Bežné účtovné obdobie</w:t>
            </w:r>
          </w:p>
        </w:tc>
        <w:tc>
          <w:tcPr>
            <w:tcW w:w="2788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Bezprostredne predchádzajúce účtovné obdobie</w:t>
            </w:r>
          </w:p>
        </w:tc>
      </w:tr>
      <w:tr>
        <w:trPr>
          <w:trHeight w:val="454" w:hRule="atLeast"/>
        </w:trPr>
        <w:tc>
          <w:tcPr>
            <w:tcW w:w="412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62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Priemerný prepočítaný počet zamestnancov počas účtovného obdobia</w:t>
            </w:r>
          </w:p>
        </w:tc>
        <w:tc>
          <w:tcPr>
            <w:tcW w:w="241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788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/>
        <w:ind w:left="1418" w:hanging="70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5B9BD5" w:themeColor="accent1"/>
        </w:rPr>
      </w:pPr>
      <w:r>
        <w:rPr>
          <w:rFonts w:cs="Times New Roman" w:ascii="Times New Roman" w:hAnsi="Times New Roman"/>
          <w:b/>
          <w:color w:val="5B9BD5" w:themeColor="accent1"/>
        </w:rPr>
        <w:t>Čl. II</w:t>
        <w:tab/>
        <w:t>Informácie o orgánoch spoločnosti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II.</w:t>
        <w:tab/>
        <w:t>Informácie o orgánoch účtovnej jednotky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a) - d) </w:t>
      </w:r>
    </w:p>
    <w:tbl>
      <w:tblPr>
        <w:tblW w:w="9235" w:type="dxa"/>
        <w:jc w:val="left"/>
        <w:tblInd w:w="-45" w:type="dxa"/>
        <w:tblBorders>
          <w:top w:val="single" w:sz="18" w:space="0" w:color="00000A"/>
          <w:left w:val="single" w:sz="18" w:space="0" w:color="00000A"/>
          <w:bottom w:val="single" w:sz="12" w:space="0" w:color="000001"/>
          <w:right w:val="single" w:sz="12" w:space="0" w:color="00000A"/>
          <w:insideH w:val="single" w:sz="12" w:space="0" w:color="000001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2692"/>
        <w:gridCol w:w="1417"/>
        <w:gridCol w:w="1134"/>
        <w:gridCol w:w="709"/>
        <w:gridCol w:w="1417"/>
        <w:gridCol w:w="1134"/>
        <w:gridCol w:w="731"/>
      </w:tblGrid>
      <w:tr>
        <w:trPr>
          <w:trHeight w:val="300" w:hRule="atLeast"/>
        </w:trPr>
        <w:tc>
          <w:tcPr>
            <w:tcW w:w="2692" w:type="dxa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1"/>
              <w:right w:val="single" w:sz="12" w:space="0" w:color="00000A"/>
              <w:insideH w:val="single" w:sz="12" w:space="0" w:color="000001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Druh príjmu, výhody</w:t>
            </w:r>
          </w:p>
        </w:tc>
        <w:tc>
          <w:tcPr>
            <w:tcW w:w="3260" w:type="dxa"/>
            <w:gridSpan w:val="3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príjmu, výhody súčasných členov orgánov</w:t>
            </w:r>
          </w:p>
        </w:tc>
        <w:tc>
          <w:tcPr>
            <w:tcW w:w="3282" w:type="dxa"/>
            <w:gridSpan w:val="3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príjmu, výhody bývalých členov orgánov</w:t>
            </w:r>
          </w:p>
        </w:tc>
      </w:tr>
      <w:tr>
        <w:trPr>
          <w:trHeight w:val="285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1"/>
              <w:right w:val="single" w:sz="12" w:space="0" w:color="00000A"/>
              <w:insideH w:val="single" w:sz="12" w:space="0" w:color="000001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141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štatutárneho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6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dozorného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6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iného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štatutárneho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6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dozorného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6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iného</w:t>
            </w:r>
          </w:p>
        </w:tc>
      </w:tr>
      <w:tr>
        <w:trPr>
          <w:trHeight w:val="285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1"/>
              <w:right w:val="single" w:sz="12" w:space="0" w:color="00000A"/>
              <w:insideH w:val="single" w:sz="12" w:space="0" w:color="000001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326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sk-SK"/>
              </w:rPr>
              <w:t>Časť 1 - BO</w:t>
            </w:r>
          </w:p>
        </w:tc>
        <w:tc>
          <w:tcPr>
            <w:tcW w:w="3282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Časť 1 - BO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3260" w:type="dxa"/>
            <w:gridSpan w:val="3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Časť 2 - PO</w:t>
            </w:r>
          </w:p>
        </w:tc>
        <w:tc>
          <w:tcPr>
            <w:tcW w:w="3282" w:type="dxa"/>
            <w:gridSpan w:val="3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Časť 2 - PO</w:t>
            </w:r>
          </w:p>
        </w:tc>
      </w:tr>
      <w:tr>
        <w:trPr>
          <w:trHeight w:val="315" w:hRule="atLeast"/>
        </w:trPr>
        <w:tc>
          <w:tcPr>
            <w:tcW w:w="2692" w:type="dxa"/>
            <w:vMerge w:val="restart"/>
            <w:tcBorders>
              <w:top w:val="single" w:sz="18" w:space="0" w:color="00000A"/>
              <w:left w:val="single" w:sz="18" w:space="0" w:color="00000A"/>
              <w:bottom w:val="single" w:sz="8" w:space="0" w:color="00000A"/>
              <w:right w:val="single" w:sz="12" w:space="0" w:color="00000A"/>
              <w:insideH w:val="single" w:sz="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Záruky</w:t>
            </w:r>
          </w:p>
        </w:tc>
        <w:tc>
          <w:tcPr>
            <w:tcW w:w="1417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8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8" w:space="0" w:color="00000A"/>
              <w:right w:val="single" w:sz="12" w:space="0" w:color="00000A"/>
              <w:insideH w:val="single" w:sz="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zabezpečenie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8" w:space="0" w:color="00000A"/>
              <w:right w:val="single" w:sz="12" w:space="0" w:color="00000A"/>
              <w:insideH w:val="single" w:sz="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Poskytnuté pôžičky k poslednému dňu účtovného obdobia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8" w:space="0" w:color="00000A"/>
              <w:right w:val="single" w:sz="12" w:space="0" w:color="00000A"/>
              <w:insideH w:val="single" w:sz="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Splatené pôžičky k poslednému dňu účtovného obdobia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8" w:space="0" w:color="00000A"/>
              <w:right w:val="single" w:sz="12" w:space="0" w:color="00000A"/>
              <w:insideH w:val="single" w:sz="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Odpustené a odpísané pôžičky k poslednému dňu účtovného obdobia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8" w:space="0" w:color="00000A"/>
              <w:right w:val="single" w:sz="12" w:space="0" w:color="00000A"/>
              <w:insideH w:val="single" w:sz="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Použité finančné prostriedky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  <w:insideH w:val="single" w:sz="12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2692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12" w:space="0" w:color="000001"/>
              <w:right w:val="single" w:sz="12" w:space="0" w:color="00000A"/>
              <w:insideH w:val="single" w:sz="12" w:space="0" w:color="000001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plnenia na súkromné účely, ktoré je potrebné vyúčtovať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692" w:type="dxa"/>
            <w:vMerge w:val="continue"/>
            <w:tcBorders>
              <w:top w:val="single" w:sz="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</w:r>
          </w:p>
        </w:tc>
        <w:tc>
          <w:tcPr>
            <w:tcW w:w="141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4" w:space="0" w:color="00000A"/>
              <w:insideH w:val="single" w:sz="18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Times New Roman" w:hAnsi="Times New Roman" w:eastAsia="Times New Roman" w:cs="Times New Roman"/>
                <w:color w:val="2F75B5"/>
                <w:sz w:val="16"/>
                <w:szCs w:val="16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8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  <w:insideH w:val="single" w:sz="18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Times New Roman" w:hAnsi="Times New Roman" w:eastAsia="Times New Roman" w:cs="Times New Roman"/>
                <w:color w:val="2F75B5"/>
                <w:sz w:val="16"/>
                <w:szCs w:val="16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709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5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Times New Roman" w:hAnsi="Times New Roman" w:eastAsia="Times New Roman" w:cs="Times New Roman"/>
                <w:color w:val="2F75B5"/>
                <w:sz w:val="16"/>
                <w:szCs w:val="16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4" w:space="0" w:color="00000A"/>
              <w:insideH w:val="single" w:sz="18" w:space="0" w:color="00000A"/>
              <w:insideV w:val="single" w:sz="4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Times New Roman" w:hAnsi="Times New Roman" w:eastAsia="Times New Roman" w:cs="Times New Roman"/>
                <w:color w:val="2F75B5"/>
                <w:sz w:val="16"/>
                <w:szCs w:val="16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18" w:space="0" w:color="00000A"/>
              <w:left w:val="single" w:sz="4" w:space="0" w:color="00000A"/>
              <w:bottom w:val="single" w:sz="18" w:space="0" w:color="00000A"/>
              <w:right w:val="single" w:sz="4" w:space="0" w:color="00000A"/>
              <w:insideH w:val="single" w:sz="18" w:space="0" w:color="00000A"/>
              <w:insideV w:val="single" w:sz="4" w:space="0" w:color="00000A"/>
            </w:tcBorders>
            <w:shd w:color="auto" w:fill="auto" w:val="clear"/>
            <w:tcMar>
              <w:left w:w="6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Times New Roman" w:hAnsi="Times New Roman" w:eastAsia="Times New Roman" w:cs="Times New Roman"/>
                <w:color w:val="2F75B5"/>
                <w:sz w:val="16"/>
                <w:szCs w:val="16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731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6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160"/>
              <w:jc w:val="right"/>
              <w:rPr>
                <w:rFonts w:ascii="Times New Roman" w:hAnsi="Times New Roman" w:eastAsia="Times New Roman" w:cs="Times New Roman"/>
                <w:color w:val="2F75B5"/>
                <w:sz w:val="16"/>
                <w:szCs w:val="16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sz w:val="16"/>
                <w:szCs w:val="16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ind w:right="142" w:hanging="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b/>
          <w:szCs w:val="24"/>
        </w:rPr>
        <w:t>Ďalšie dôležité informácie o príjmoch a výhodách členov štatutárnych orgánov, dozorných orgánov a iného orgánu účtovnej jednotky</w:t>
      </w:r>
      <w:r>
        <w:rPr>
          <w:rFonts w:cs="Times New Roman" w:ascii="Times New Roman" w:hAnsi="Times New Roman"/>
          <w:szCs w:val="24"/>
        </w:rPr>
        <w:t xml:space="preserve"> (napr. hlavné podmienky, na základe ktorých boli záruky, iné zabezpečenia a pôžičky poskytnuté):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5B9BD5" w:themeColor="accent1"/>
        </w:rPr>
      </w:pPr>
      <w:r>
        <w:rPr>
          <w:rFonts w:cs="Times New Roman" w:ascii="Times New Roman" w:hAnsi="Times New Roman"/>
          <w:b/>
          <w:color w:val="5B9BD5" w:themeColor="accent1"/>
        </w:rPr>
        <w:t>Čl. III</w:t>
        <w:tab/>
        <w:t>Informácie o prijatých postupoch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III. 1</w:t>
        <w:tab/>
        <w:t>Účtovná jednotka bude nepretržite pokračovať vo svojej činnosti:</w:t>
      </w:r>
    </w:p>
    <w:p>
      <w:pPr>
        <w:pStyle w:val="Normal"/>
        <w:spacing w:lineRule="auto" w:line="240" w:before="0" w:after="36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ab/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:b/>
              <w:sz w:val="24"/>
              <w:szCs w:val="24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x</w:t>
          </w:r>
        </w:sdtContent>
      </w:sdt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 </w:t>
      </w:r>
      <w:r>
        <w:rPr>
          <w:rFonts w:eastAsia="MS Gothic" w:cs="Times New Roman" w:ascii="Times New Roman" w:hAnsi="Times New Roman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áno </w:t>
      </w: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b/>
              <w:sz w:val="24"/>
              <w:szCs w:val="24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</w:t>
      </w:r>
      <w:r>
        <w:rPr>
          <w:rFonts w:eastAsia="MS Gothic" w:cs="Times New Roman" w:ascii="Times New Roman" w:hAnsi="Times New Roman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nie</w:t>
      </w:r>
    </w:p>
    <w:p>
      <w:pPr>
        <w:pStyle w:val="Normal"/>
        <w:spacing w:lineRule="auto" w:line="240" w:before="0" w:after="36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Ak účtovná jednotka nebude nepretržite pokračovať vo svojej činnosti, uvádza sa informácia o nesplnení predpokladu nepretržitého pokračovania vo svojej činnosti a k tomu zodpovedajúci spôsob účtovania podľa § 7 ods. 4 ZoÚ: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III. 2</w:t>
        <w:tab/>
        <w:t>Zmeny účtovných zásad a metód: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Účtovné metódy a zásady boli aplikované v rámci platného ZoÚ, s osobitosťami: 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3104"/>
        <w:gridCol w:w="2835"/>
        <w:gridCol w:w="3402"/>
      </w:tblGrid>
      <w:tr>
        <w:trPr>
          <w:trHeight w:val="1320" w:hRule="atLeast"/>
        </w:trPr>
        <w:tc>
          <w:tcPr>
            <w:tcW w:w="310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zmeny zásady alebo metódy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Dôvod zmeny</w:t>
            </w:r>
          </w:p>
        </w:tc>
        <w:tc>
          <w:tcPr>
            <w:tcW w:w="340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Hodnota vplyvu na príslušnú zložku majetku, záväzkov, vlastného imania a výsledku hospodárenia účtovnej jednotky</w:t>
            </w:r>
          </w:p>
        </w:tc>
      </w:tr>
      <w:tr>
        <w:trPr>
          <w:trHeight w:val="300" w:hRule="atLeast"/>
        </w:trPr>
        <w:tc>
          <w:tcPr>
            <w:tcW w:w="3104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3104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3104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3104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3104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310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Ak v dôsledku zmeny účtovných zásad a účtovných metód nie sú hodnoty za bezprostredne predchádzajúce obdobie v jednotlivých súčastiach účtovnej závierky porovnateľné, uvádza sa vysvetlenie o neporovnateľných hodnotách: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3</w:t>
        <w:tab/>
        <w:t>Informácie o charaktere a účele transakcií, ktoré sa neuvádzajú v súvahe</w:t>
      </w:r>
    </w:p>
    <w:tbl>
      <w:tblPr>
        <w:tblW w:w="9356" w:type="dxa"/>
        <w:jc w:val="left"/>
        <w:tblInd w:w="-45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2410"/>
        <w:gridCol w:w="2410"/>
        <w:gridCol w:w="1984"/>
        <w:gridCol w:w="2551"/>
      </w:tblGrid>
      <w:tr>
        <w:trPr>
          <w:trHeight w:val="900" w:hRule="atLeast"/>
        </w:trPr>
        <w:tc>
          <w:tcPr>
            <w:tcW w:w="2410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Opis transakcie</w:t>
            </w:r>
          </w:p>
        </w:tc>
        <w:tc>
          <w:tcPr>
            <w:tcW w:w="2410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Finančný vplyv transakcie na účtovnú jednotku</w:t>
            </w:r>
          </w:p>
        </w:tc>
        <w:tc>
          <w:tcPr>
            <w:tcW w:w="198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Riziká transakcie</w:t>
            </w:r>
          </w:p>
        </w:tc>
        <w:tc>
          <w:tcPr>
            <w:tcW w:w="255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Prínosy transakcie</w:t>
            </w:r>
          </w:p>
        </w:tc>
      </w:tr>
      <w:tr>
        <w:trPr>
          <w:trHeight w:val="300" w:hRule="atLeast"/>
        </w:trPr>
        <w:tc>
          <w:tcPr>
            <w:tcW w:w="2410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8" w:space="0" w:color="000001"/>
              <w:insideH w:val="single" w:sz="4" w:space="0" w:color="00000A"/>
              <w:insideV w:val="single" w:sz="8" w:space="0" w:color="000001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410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241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8" w:space="0" w:color="000001"/>
              <w:insideH w:val="single" w:sz="4" w:space="0" w:color="00000A"/>
              <w:insideV w:val="single" w:sz="8" w:space="0" w:color="000001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</w:r>
          </w:p>
        </w:tc>
        <w:tc>
          <w:tcPr>
            <w:tcW w:w="241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</w:r>
          </w:p>
        </w:tc>
        <w:tc>
          <w:tcPr>
            <w:tcW w:w="255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</w:r>
          </w:p>
        </w:tc>
      </w:tr>
      <w:tr>
        <w:trPr>
          <w:trHeight w:val="285" w:hRule="atLeast"/>
        </w:trPr>
        <w:tc>
          <w:tcPr>
            <w:tcW w:w="241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8" w:space="0" w:color="000001"/>
              <w:insideH w:val="single" w:sz="4" w:space="0" w:color="00000A"/>
              <w:insideV w:val="single" w:sz="8" w:space="0" w:color="000001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2410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8" w:space="0" w:color="000001"/>
              <w:insideH w:val="single" w:sz="18" w:space="0" w:color="00000A"/>
              <w:insideV w:val="single" w:sz="8" w:space="0" w:color="000001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a)   Spôsob oceňovania jednotlivých zložiek majetku a záväzkov: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3812"/>
        <w:gridCol w:w="2694"/>
        <w:gridCol w:w="2835"/>
      </w:tblGrid>
      <w:tr>
        <w:trPr>
          <w:trHeight w:val="705" w:hRule="atLeast"/>
        </w:trPr>
        <w:tc>
          <w:tcPr>
            <w:tcW w:w="3812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majetku / záväzkov</w:t>
            </w:r>
          </w:p>
        </w:tc>
        <w:tc>
          <w:tcPr>
            <w:tcW w:w="269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Spôsob ocenenia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 xml:space="preserve">Náklady spojené </w:t>
              <w:br/>
              <w:t>s obstaraním</w:t>
            </w:r>
          </w:p>
        </w:tc>
      </w:tr>
      <w:tr>
        <w:trPr>
          <w:trHeight w:val="228" w:hRule="atLeast"/>
        </w:trPr>
        <w:tc>
          <w:tcPr>
            <w:tcW w:w="3812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DNM obstaraný kúpou</w:t>
            </w:r>
          </w:p>
        </w:tc>
        <w:tc>
          <w:tcPr>
            <w:tcW w:w="2694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54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DNM obstaraný vlastnou činnosťou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88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DNM obstaraný iným spôsobom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60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DHM obstaraný kúpou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64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DHM obstaraný vlastnou činnosťou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8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DHM obstaraný iným spôsobom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7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Dlhodobý finančný majetok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76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Zásoby obstarané kúpou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66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Zásoby vytvorené vlastnou činnosťou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4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Zásoby obstarané iným spôsobom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Zákazková výroba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Zákazková výstav. nehnuteľ. určenej na predaj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28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Pohľadávky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47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Krátkodobý finančný majetok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64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Časové rozlíšenie na strane aktív súvahy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8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Záväzky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7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Časové rozlíšenie na strane pasív súvahy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21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Deriváty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Majetok a záväzky zabezpečené derivátmi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0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Prenajatý majetok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Majetok obstar. zmluvou o kúpe prenajatej veci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42" w:hRule="atLeast"/>
        </w:trPr>
        <w:tc>
          <w:tcPr>
            <w:tcW w:w="3812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Majetok obstaraný v privatizácii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430" w:hRule="atLeast"/>
        </w:trPr>
        <w:tc>
          <w:tcPr>
            <w:tcW w:w="3812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Splatná daň z príjmov a odložená daň z príjmov</w:t>
            </w:r>
          </w:p>
        </w:tc>
        <w:tc>
          <w:tcPr>
            <w:tcW w:w="269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b)   Odhad zníženia hodnoty majetku a tvorba OP k majetku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3019"/>
        <w:gridCol w:w="2920"/>
        <w:gridCol w:w="3402"/>
      </w:tblGrid>
      <w:tr>
        <w:trPr>
          <w:trHeight w:val="735" w:hRule="atLeast"/>
        </w:trPr>
        <w:tc>
          <w:tcPr>
            <w:tcW w:w="301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Charakteristika majetku</w:t>
            </w:r>
          </w:p>
        </w:tc>
        <w:tc>
          <w:tcPr>
            <w:tcW w:w="2920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Odhad zníženia hodnoty majetku</w:t>
            </w:r>
          </w:p>
        </w:tc>
        <w:tc>
          <w:tcPr>
            <w:tcW w:w="340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Vytvorená OP</w:t>
            </w:r>
          </w:p>
        </w:tc>
      </w:tr>
      <w:tr>
        <w:trPr>
          <w:trHeight w:val="390" w:hRule="atLeast"/>
        </w:trPr>
        <w:tc>
          <w:tcPr>
            <w:tcW w:w="3019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20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019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2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019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2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019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2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301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20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40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c)   Ocenenie záväzkov a stanovenie odhadu ocenenia rezerv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8" w:space="0" w:color="00000A"/>
          <w:insideH w:val="single" w:sz="18" w:space="0" w:color="00000A"/>
          <w:insideV w:val="single" w:sz="18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805"/>
        <w:gridCol w:w="4535"/>
      </w:tblGrid>
      <w:tr>
        <w:trPr>
          <w:trHeight w:val="390" w:hRule="atLeast"/>
        </w:trPr>
        <w:tc>
          <w:tcPr>
            <w:tcW w:w="4805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Určenie ocenenia záväzkov</w:t>
            </w:r>
          </w:p>
        </w:tc>
        <w:tc>
          <w:tcPr>
            <w:tcW w:w="4535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Odhad ocenenia rezerv</w:t>
            </w:r>
          </w:p>
        </w:tc>
      </w:tr>
      <w:tr>
        <w:trPr>
          <w:trHeight w:val="390" w:hRule="atLeast"/>
        </w:trPr>
        <w:tc>
          <w:tcPr>
            <w:tcW w:w="4805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4535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4535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4535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4535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4535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d)  Ocenenie finančných nástrojov alebo majetku, ktorý nie je finančným nástrojom pri oceňovaní reálnou hodnotou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58"/>
        <w:gridCol w:w="2847"/>
        <w:gridCol w:w="1417"/>
        <w:gridCol w:w="1559"/>
        <w:gridCol w:w="1560"/>
      </w:tblGrid>
      <w:tr>
        <w:trPr>
          <w:trHeight w:val="1870" w:hRule="atLeast"/>
        </w:trPr>
        <w:tc>
          <w:tcPr>
            <w:tcW w:w="195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 xml:space="preserve">Finančný nástroj (FN) alebo majetok, ktorý nie je FN pri oceňovaní reálnou hodnotou </w:t>
            </w:r>
          </w:p>
        </w:tc>
        <w:tc>
          <w:tcPr>
            <w:tcW w:w="284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 xml:space="preserve">Aplikácia RH podľa ZoÚ alebo stanovenie významných predpokladov slúžiacich ako základ modelov a postupov ocenenia pri kvalifikovanom odhade </w:t>
            </w:r>
          </w:p>
        </w:tc>
        <w:tc>
          <w:tcPr>
            <w:tcW w:w="141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Reálna hodnota</w:t>
            </w:r>
          </w:p>
        </w:tc>
        <w:tc>
          <w:tcPr>
            <w:tcW w:w="1559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Vplyv reálnej hodnoty na VH</w:t>
            </w:r>
          </w:p>
        </w:tc>
        <w:tc>
          <w:tcPr>
            <w:tcW w:w="1560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Vplyv reálnej hodnoty na VI</w:t>
            </w:r>
          </w:p>
        </w:tc>
      </w:tr>
      <w:tr>
        <w:trPr>
          <w:trHeight w:val="390" w:hRule="atLeast"/>
        </w:trPr>
        <w:tc>
          <w:tcPr>
            <w:tcW w:w="1958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847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Informácie o rozsahu a podstate všetkých druhov derivátových finančných nástrojov vrátane hlavných podmienok a okolností, ktoré môžu ovplyvniť sumu, časový priebeh a mieru istoty budúcich peňažných tokov: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240" w:after="16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e)</w:t>
        <w:tab/>
        <w:t>Ocenenie finančných nástrojov pri oceňovaní obstarávacou cenou alebo vlastnými nákladmi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58"/>
        <w:gridCol w:w="1571"/>
        <w:gridCol w:w="1701"/>
        <w:gridCol w:w="1835"/>
        <w:gridCol w:w="2276"/>
      </w:tblGrid>
      <w:tr>
        <w:trPr>
          <w:trHeight w:val="569" w:hRule="atLeast"/>
        </w:trPr>
        <w:tc>
          <w:tcPr>
            <w:tcW w:w="1958" w:type="dxa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FM</w:t>
            </w:r>
          </w:p>
        </w:tc>
        <w:tc>
          <w:tcPr>
            <w:tcW w:w="1571" w:type="dxa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Účtovná hodnota</w:t>
            </w:r>
          </w:p>
        </w:tc>
        <w:tc>
          <w:tcPr>
            <w:tcW w:w="1701" w:type="dxa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Reálna hodnota</w:t>
            </w:r>
          </w:p>
        </w:tc>
        <w:tc>
          <w:tcPr>
            <w:tcW w:w="1835" w:type="dxa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Charakteristika FM</w:t>
            </w:r>
          </w:p>
        </w:tc>
        <w:tc>
          <w:tcPr>
            <w:tcW w:w="2276" w:type="dxa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Dôvod pre nezníženie účtovnej hodnoty</w:t>
            </w:r>
          </w:p>
        </w:tc>
      </w:tr>
      <w:tr>
        <w:trPr>
          <w:trHeight w:val="285" w:hRule="atLeast"/>
        </w:trPr>
        <w:tc>
          <w:tcPr>
            <w:tcW w:w="1958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7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835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276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7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7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7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7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83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</w:tr>
      <w:tr>
        <w:trPr>
          <w:trHeight w:val="285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57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835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f)      Spôsob stanovenia metódy vlastného imania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g)     Spôsob zostavenia odpisového plánu dlhodobého majetku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Spôsob zostavenia účtovného odpisového plánu pre dlhodobý hmotný majetok a dlhodobý nehmotný majetok, doba odpisovania a použité sadzby a odpisové metódy pri stanovení účtovných odpisov:</w:t>
      </w:r>
    </w:p>
    <w:tbl>
      <w:tblPr>
        <w:tblStyle w:val="Mriekatabuky"/>
        <w:tblW w:w="9356" w:type="dxa"/>
        <w:jc w:val="left"/>
        <w:tblInd w:w="-20" w:type="dxa"/>
        <w:tblCellMar>
          <w:top w:w="0" w:type="dxa"/>
          <w:left w:w="76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839"/>
        <w:gridCol w:w="2264"/>
        <w:gridCol w:w="1986"/>
        <w:gridCol w:w="2266"/>
      </w:tblGrid>
      <w:tr>
        <w:trPr/>
        <w:tc>
          <w:tcPr>
            <w:tcW w:w="283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Cs w:val="24"/>
              </w:rPr>
            </w:pPr>
            <w:r>
              <w:rPr>
                <w:rFonts w:cs="Times New Roman" w:ascii="Times New Roman" w:hAnsi="Times New Roman"/>
                <w:b/>
                <w:szCs w:val="24"/>
              </w:rPr>
              <w:t>Druh majetku</w:t>
            </w:r>
          </w:p>
        </w:tc>
        <w:tc>
          <w:tcPr>
            <w:tcW w:w="226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Cs w:val="24"/>
              </w:rPr>
            </w:pPr>
            <w:r>
              <w:rPr>
                <w:rFonts w:cs="Times New Roman" w:ascii="Times New Roman" w:hAnsi="Times New Roman"/>
                <w:b/>
                <w:szCs w:val="24"/>
              </w:rPr>
              <w:t>Doba odpisovania</w:t>
            </w:r>
          </w:p>
        </w:tc>
        <w:tc>
          <w:tcPr>
            <w:tcW w:w="1986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Cs w:val="24"/>
              </w:rPr>
            </w:pPr>
            <w:r>
              <w:rPr>
                <w:rFonts w:cs="Times New Roman" w:ascii="Times New Roman" w:hAnsi="Times New Roman"/>
                <w:b/>
                <w:szCs w:val="24"/>
              </w:rPr>
              <w:t>Sadzba odpisov</w:t>
            </w:r>
          </w:p>
        </w:tc>
        <w:tc>
          <w:tcPr>
            <w:tcW w:w="2266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Cs w:val="24"/>
              </w:rPr>
            </w:pPr>
            <w:r>
              <w:rPr>
                <w:rFonts w:cs="Times New Roman" w:ascii="Times New Roman" w:hAnsi="Times New Roman"/>
                <w:b/>
                <w:szCs w:val="24"/>
              </w:rPr>
              <w:t>Odpisová metóda</w:t>
            </w:r>
          </w:p>
        </w:tc>
      </w:tr>
      <w:tr>
        <w:trPr>
          <w:trHeight w:val="340" w:hRule="atLeast"/>
        </w:trPr>
        <w:tc>
          <w:tcPr>
            <w:tcW w:w="2839" w:type="dxa"/>
            <w:tcBorders>
              <w:top w:val="single" w:sz="18" w:space="0" w:color="00000A"/>
              <w:left w:val="single" w:sz="18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os. automobil Fabia</w:t>
            </w:r>
          </w:p>
        </w:tc>
        <w:tc>
          <w:tcPr>
            <w:tcW w:w="2264" w:type="dxa"/>
            <w:tcBorders>
              <w:top w:val="single" w:sz="18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 mesiacov</w:t>
            </w:r>
          </w:p>
        </w:tc>
        <w:tc>
          <w:tcPr>
            <w:tcW w:w="1986" w:type="dxa"/>
            <w:tcBorders>
              <w:top w:val="single" w:sz="18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66" w:type="dxa"/>
            <w:tcBorders>
              <w:top w:val="single" w:sz="18" w:space="0" w:color="00000A"/>
              <w:left w:val="single" w:sz="12" w:space="0" w:color="00000A"/>
              <w:bottom w:val="single" w:sz="6" w:space="0" w:color="00000A"/>
              <w:right w:val="single" w:sz="18" w:space="0" w:color="00000A"/>
              <w:insideH w:val="single" w:sz="6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rovnomerná</w:t>
            </w:r>
          </w:p>
        </w:tc>
      </w:tr>
      <w:tr>
        <w:trPr>
          <w:trHeight w:val="340" w:hRule="atLeast"/>
        </w:trPr>
        <w:tc>
          <w:tcPr>
            <w:tcW w:w="2839" w:type="dxa"/>
            <w:tcBorders>
              <w:top w:val="single" w:sz="6" w:space="0" w:color="00000A"/>
              <w:left w:val="single" w:sz="18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4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6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8" w:space="0" w:color="00000A"/>
              <w:insideH w:val="single" w:sz="6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40" w:hRule="atLeast"/>
        </w:trPr>
        <w:tc>
          <w:tcPr>
            <w:tcW w:w="2839" w:type="dxa"/>
            <w:tcBorders>
              <w:top w:val="single" w:sz="6" w:space="0" w:color="00000A"/>
              <w:left w:val="single" w:sz="18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4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6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8" w:space="0" w:color="00000A"/>
              <w:insideH w:val="single" w:sz="6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40" w:hRule="atLeast"/>
        </w:trPr>
        <w:tc>
          <w:tcPr>
            <w:tcW w:w="2839" w:type="dxa"/>
            <w:tcBorders>
              <w:top w:val="single" w:sz="6" w:space="0" w:color="00000A"/>
              <w:left w:val="single" w:sz="18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4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2" w:space="0" w:color="00000A"/>
              <w:insideH w:val="single" w:sz="6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6" w:type="dxa"/>
            <w:tcBorders>
              <w:top w:val="single" w:sz="6" w:space="0" w:color="00000A"/>
              <w:left w:val="single" w:sz="12" w:space="0" w:color="00000A"/>
              <w:bottom w:val="single" w:sz="6" w:space="0" w:color="00000A"/>
              <w:right w:val="single" w:sz="18" w:space="0" w:color="00000A"/>
              <w:insideH w:val="single" w:sz="6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40" w:hRule="atLeast"/>
        </w:trPr>
        <w:tc>
          <w:tcPr>
            <w:tcW w:w="2839" w:type="dxa"/>
            <w:tcBorders>
              <w:top w:val="single" w:sz="6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4" w:type="dxa"/>
            <w:tcBorders>
              <w:top w:val="single" w:sz="6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6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6" w:type="dxa"/>
            <w:tcBorders>
              <w:top w:val="single" w:sz="6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left="709" w:hanging="709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:b/>
              <w:sz w:val="24"/>
              <w:szCs w:val="24"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:b/>
          <w:sz w:val="32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>
        <w:rPr>
          <w:rFonts w:eastAsia="MS Gothic" w:cs="Times New Roman" w:ascii="Times New Roman" w:hAnsi="Times New Roman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Odpisový plán účtovných odpisov </w:t>
      </w: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dlhodobého nehmotného majetku</w:t>
      </w:r>
      <w:r>
        <w:rPr>
          <w:rFonts w:eastAsia="MS Gothic" w:cs="Times New Roman" w:ascii="Times New Roman" w:hAnsi="Times New Roman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vychádzal z odpisového plánu zostaveného účtovnou jednotkou, ktorý vychádzal z predpokladanej doby použiteľnosti dlhodobého nehmotného majetku alebo iných objektívnych predpokladov</w:t>
      </w: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</w:p>
    <w:p>
      <w:pPr>
        <w:pStyle w:val="Normal"/>
        <w:spacing w:lineRule="auto" w:line="240"/>
        <w:ind w:right="-284" w:hanging="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Times New Roman" w:ascii="MS Gothic" w:hAnsi="MS Gothic"/>
              <w:b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Odpisový plán bol ovplyvnený týmito rozhodnutiami: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mc:AlternateContent>
          <mc:Choice Requires="wps">
            <w:drawing>
              <wp:anchor behindDoc="0" distT="0" distB="0" distL="114300" distR="114300" simplePos="0" locked="0" layoutInCell="1" allowOverlap="1" relativeHeight="5" wp14:anchorId="4DB94A46">
                <wp:simplePos x="0" y="0"/>
                <wp:positionH relativeFrom="column">
                  <wp:posOffset>428625</wp:posOffset>
                </wp:positionH>
                <wp:positionV relativeFrom="paragraph">
                  <wp:posOffset>235585</wp:posOffset>
                </wp:positionV>
                <wp:extent cx="5344795" cy="10795"/>
                <wp:effectExtent l="0" t="0" r="28575" b="28575"/>
                <wp:wrapNone/>
                <wp:docPr id="6" name="Rovná spojnica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.75pt,18.2pt" to="454.5pt,18.85pt" ID="Rovná spojnica 11" stroked="t" style="position:absolute" wp14:anchorId="4DB94A46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mc:AlternateContent>
          <mc:Choice Requires="wps">
            <w:drawing>
              <wp:anchor behindDoc="0" distT="0" distB="0" distL="114300" distR="114300" simplePos="0" locked="0" layoutInCell="1" allowOverlap="1" relativeHeight="4" wp14:anchorId="2DDDD9CA">
                <wp:simplePos x="0" y="0"/>
                <wp:positionH relativeFrom="column">
                  <wp:posOffset>428625</wp:posOffset>
                </wp:positionH>
                <wp:positionV relativeFrom="paragraph">
                  <wp:posOffset>24130</wp:posOffset>
                </wp:positionV>
                <wp:extent cx="5344795" cy="10795"/>
                <wp:effectExtent l="0" t="0" r="28575" b="28575"/>
                <wp:wrapNone/>
                <wp:docPr id="7" name="Rovná spojnica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4200" cy="9000"/>
                        </a:xfrm>
                        <a:prstGeom prst="line">
                          <a:avLst/>
                        </a:prstGeom>
                        <a:ln w="12600">
                          <a:solidFill>
                            <a:schemeClr val="tx1"/>
                          </a:solidFill>
                          <a:custDash>
                            <a:ds d="100000" sp="100000"/>
                          </a:custDash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3.75pt,1.55pt" to="454.5pt,2.2pt" ID="Rovná spojnica 10" stroked="t" style="position:absolute" wp14:anchorId="2DDDD9CA">
                <v:stroke color="black" weight="12600" dashstyle="shortdot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40"/>
        <w:ind w:left="709" w:hanging="709"/>
        <w:jc w:val="both"/>
        <w:rPr>
          <w:rFonts w:ascii="Times New Roman" w:hAnsi="Times New Roman" w:eastAsia="MS Gothic" w:cs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b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☐</w:t>
          </w:r>
        </w:sdtContent>
      </w:sdt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Odpisový plán účtovných odpisov </w:t>
      </w: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dlhodobého hmotného majetku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podnikateľ zostavil interným predpisom, v ktorom vychádzal z predpokladaného opotrebenia zaraďovaného majetku zodpovedajúceho bežným podmienkam jeho používania. Odpisové sadzby pre </w:t>
        <w:tab/>
        <w:t xml:space="preserve">účtovné a daňové odpisy podnikateľa </w:t>
      </w: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sa nerovnajú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.</w:t>
      </w:r>
    </w:p>
    <w:p>
      <w:pPr>
        <w:pStyle w:val="Normal"/>
        <w:spacing w:lineRule="auto" w:line="240"/>
        <w:ind w:left="709" w:hanging="709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eastAsia="MS Gothic" w:cs="Segoe UI Symbol" w:ascii="Segoe UI Symbol" w:hAnsi="Segoe UI Symbol"/>
              <w:b/>
              <w14:textOutline w14:w="0" w14:cap="rnd" w14:cmpd="sng" w14:algn="ctr">
                <w14:solidFill>
                  <w14:schemeClr w14:val="tx1"/>
                </w14:solidFill>
                <w14:prstDash w14:val="solid"/>
                <w14:bevel/>
              </w14:textOutline>
            </w:rPr>
            <w:t>x</w:t>
          </w:r>
        </w:sdtContent>
      </w:sdt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Odpisový plán účtovných odpisov </w:t>
      </w: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dlhodobého hmotného majetku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podnikateľ zostavil interným predpisom tak, že za základ vzal metódy používané pri vyčísľovaní daňových odpisov. Odpisové sadzby pre účtovné a daňové odpisy podnikateľa </w:t>
      </w: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sa rovnajú</w:t>
      </w:r>
      <w:r>
        <w:rPr>
          <w:rFonts w:eastAsia="MS Gothic" w:cs="Times New Roman" w:ascii="Times New Roman" w:hAnsi="Times New Roman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. Ročný účtovný odpis sa odlišuje od daňového podľa počtu mesiacov od zaradenia do konca roka.</w:t>
      </w:r>
    </w:p>
    <w:p>
      <w:pPr>
        <w:pStyle w:val="Normal"/>
        <w:spacing w:lineRule="auto" w:line="240" w:before="240" w:after="160"/>
        <w:ind w:left="992" w:hanging="992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III. 4 h)</w:t>
        <w:tab/>
        <w:t>Dotácie poskytnuté na obstaranie majetku:</w:t>
      </w:r>
    </w:p>
    <w:tbl>
      <w:tblPr>
        <w:tblStyle w:val="Mriekatabuky"/>
        <w:tblW w:w="9341" w:type="dxa"/>
        <w:jc w:val="left"/>
        <w:tblInd w:w="-5" w:type="dxa"/>
        <w:tblCellMar>
          <w:top w:w="0" w:type="dxa"/>
          <w:left w:w="76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013"/>
        <w:gridCol w:w="3351"/>
        <w:gridCol w:w="2977"/>
      </w:tblGrid>
      <w:tr>
        <w:trPr/>
        <w:tc>
          <w:tcPr>
            <w:tcW w:w="3013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Majetok</w:t>
            </w:r>
          </w:p>
        </w:tc>
        <w:tc>
          <w:tcPr>
            <w:tcW w:w="335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Ocenenie</w:t>
            </w:r>
          </w:p>
        </w:tc>
        <w:tc>
          <w:tcPr>
            <w:tcW w:w="297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Výška dotácie</w:t>
            </w:r>
          </w:p>
        </w:tc>
      </w:tr>
      <w:tr>
        <w:trPr/>
        <w:tc>
          <w:tcPr>
            <w:tcW w:w="3013" w:type="dxa"/>
            <w:tcBorders>
              <w:top w:val="single" w:sz="18" w:space="0" w:color="00000A"/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351" w:type="dxa"/>
            <w:tcBorders>
              <w:top w:val="single" w:sz="18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18" w:space="0" w:color="00000A"/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355" w:hRule="atLeast"/>
        </w:trPr>
        <w:tc>
          <w:tcPr>
            <w:tcW w:w="3013" w:type="dxa"/>
            <w:tcBorders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351" w:type="dxa"/>
            <w:tcBorders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977" w:type="dxa"/>
            <w:tcBorders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275" w:hRule="atLeast"/>
        </w:trPr>
        <w:tc>
          <w:tcPr>
            <w:tcW w:w="3013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35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III. 5 </w:t>
        <w:tab/>
        <w:t>Oprava významných a nevýznamných chýb minulých účtovných období vykonaných v bežnom účtovnom období:</w:t>
      </w:r>
    </w:p>
    <w:tbl>
      <w:tblPr>
        <w:tblStyle w:val="Mriekatabuky"/>
        <w:tblW w:w="9341" w:type="dxa"/>
        <w:jc w:val="left"/>
        <w:tblInd w:w="-5" w:type="dxa"/>
        <w:tblCellMar>
          <w:top w:w="0" w:type="dxa"/>
          <w:left w:w="76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104"/>
        <w:gridCol w:w="2922"/>
        <w:gridCol w:w="3315"/>
      </w:tblGrid>
      <w:tr>
        <w:trPr/>
        <w:tc>
          <w:tcPr>
            <w:tcW w:w="310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Gothic" w:cs="Times New Roman"/>
                <w:b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Druh opravy</w:t>
            </w:r>
          </w:p>
        </w:tc>
        <w:tc>
          <w:tcPr>
            <w:tcW w:w="292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Gothic" w:cs="Times New Roman"/>
                <w:b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Suma</w:t>
            </w:r>
          </w:p>
        </w:tc>
        <w:tc>
          <w:tcPr>
            <w:tcW w:w="331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Gothic" w:cs="Times New Roman"/>
                <w:b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Popis chyby a vplyvu opravy</w:t>
            </w:r>
          </w:p>
        </w:tc>
      </w:tr>
      <w:tr>
        <w:trPr/>
        <w:tc>
          <w:tcPr>
            <w:tcW w:w="3104" w:type="dxa"/>
            <w:tcBorders>
              <w:top w:val="single" w:sz="18" w:space="0" w:color="00000A"/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Gothic" w:cs="Times New Roman"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Oprava </w:t>
            </w:r>
            <w:r>
              <w:rPr>
                <w:rFonts w:eastAsia="MS Gothic" w:cs="Times New Roman" w:ascii="Times New Roman" w:hAnsi="Times New Roman"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významných</w:t>
            </w:r>
            <w:r>
              <w:rPr>
                <w:rFonts w:eastAsia="MS Gothic" w:cs="Times New Roman" w:ascii="Times New Roman" w:hAnsi="Times New Roman"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chýb minulých účtovných období</w:t>
            </w:r>
          </w:p>
        </w:tc>
        <w:tc>
          <w:tcPr>
            <w:tcW w:w="2922" w:type="dxa"/>
            <w:tcBorders>
              <w:top w:val="single" w:sz="18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Gothic" w:cs="Times New Roman"/>
                <w:b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r>
          </w:p>
        </w:tc>
        <w:tc>
          <w:tcPr>
            <w:tcW w:w="3315" w:type="dxa"/>
            <w:tcBorders>
              <w:top w:val="single" w:sz="18" w:space="0" w:color="00000A"/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Gothic" w:cs="Times New Roman"/>
                <w:b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r>
          </w:p>
        </w:tc>
      </w:tr>
      <w:tr>
        <w:trPr>
          <w:trHeight w:val="70" w:hRule="atLeast"/>
        </w:trPr>
        <w:tc>
          <w:tcPr>
            <w:tcW w:w="3104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76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Gothic" w:cs="Times New Roman"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Oprava </w:t>
            </w:r>
            <w:r>
              <w:rPr>
                <w:rFonts w:eastAsia="MS Gothic" w:cs="Times New Roman" w:ascii="Times New Roman" w:hAnsi="Times New Roman"/>
                <w:b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nevýznamných</w:t>
            </w:r>
            <w:r>
              <w:rPr>
                <w:rFonts w:eastAsia="MS Gothic" w:cs="Times New Roman" w:ascii="Times New Roman" w:hAnsi="Times New Roman"/>
                <w:sz w:val="24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chýb minulých účtovných období</w:t>
            </w:r>
          </w:p>
        </w:tc>
        <w:tc>
          <w:tcPr>
            <w:tcW w:w="292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Gothic" w:cs="Times New Roman"/>
                <w:b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r>
          </w:p>
        </w:tc>
        <w:tc>
          <w:tcPr>
            <w:tcW w:w="331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Gothic" w:cs="Times New Roman"/>
                <w:b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="MS Gothic" w:cs="Times New Roman" w:ascii="Times New Roman" w:hAnsi="Times New Roman"/>
                <w:b/>
                <w:sz w:val="32"/>
                <w:szCs w:val="24"/>
                <w14:textOutline w14:w="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240" w:after="0"/>
        <w:ind w:left="992" w:hanging="992"/>
        <w:rPr>
          <w:rFonts w:ascii="Times New Roman" w:hAnsi="Times New Roman" w:cs="Times New Roman"/>
          <w:b/>
          <w:b/>
          <w:color w:val="5B9BD5" w:themeColor="accent1"/>
          <w:szCs w:val="24"/>
        </w:rPr>
      </w:pPr>
      <w:r>
        <w:rPr>
          <w:rFonts w:cs="Times New Roman" w:ascii="Times New Roman" w:hAnsi="Times New Roman"/>
          <w:b/>
          <w:color w:val="5B9BD5" w:themeColor="accent1"/>
          <w:szCs w:val="24"/>
        </w:rPr>
        <w:t>Čl. IV</w:t>
        <w:tab/>
        <w:t>Informácie, ktoré vysvetľujú a dopĺňajú položky výkazu ziskov a strát</w:t>
      </w:r>
    </w:p>
    <w:p>
      <w:pPr>
        <w:pStyle w:val="Normal"/>
        <w:spacing w:lineRule="auto" w:line="240" w:before="0" w:after="0"/>
        <w:ind w:left="993" w:hanging="993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IV. 1</w:t>
        <w:tab/>
        <w:t>Charakteristika Goodwilu: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3019"/>
        <w:gridCol w:w="2069"/>
        <w:gridCol w:w="1701"/>
        <w:gridCol w:w="2551"/>
      </w:tblGrid>
      <w:tr>
        <w:trPr>
          <w:trHeight w:val="330" w:hRule="atLeast"/>
        </w:trPr>
        <w:tc>
          <w:tcPr>
            <w:tcW w:w="3019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Charakteristika goodwillu</w:t>
            </w:r>
          </w:p>
        </w:tc>
        <w:tc>
          <w:tcPr>
            <w:tcW w:w="2069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Dôvod vzniku</w:t>
            </w:r>
          </w:p>
        </w:tc>
        <w:tc>
          <w:tcPr>
            <w:tcW w:w="170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Hodnota</w:t>
            </w:r>
          </w:p>
        </w:tc>
        <w:tc>
          <w:tcPr>
            <w:tcW w:w="255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Spôsob výpočtu hodnoty</w:t>
            </w:r>
          </w:p>
        </w:tc>
      </w:tr>
      <w:tr>
        <w:trPr>
          <w:trHeight w:val="330" w:hRule="atLeast"/>
        </w:trPr>
        <w:tc>
          <w:tcPr>
            <w:tcW w:w="3019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069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019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06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019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06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019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069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goodwille</w:t>
      </w:r>
      <w:r>
        <w:rPr>
          <w:rFonts w:eastAsia="MS Gothic" w:cs="Times New Roman" w:ascii="Times New Roman" w:hAnsi="Times New Roman"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 (prehodnotenie opodstatnenosti jeho výšky a odpisu hodnoty):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IV. 2</w:t>
        <w:tab/>
        <w:t>Informácie o významných položkách derivátov za bežné účtovné obdobie:</w:t>
      </w:r>
    </w:p>
    <w:tbl>
      <w:tblPr>
        <w:tblW w:w="9428" w:type="dxa"/>
        <w:jc w:val="left"/>
        <w:tblInd w:w="0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76"/>
        <w:gridCol w:w="576"/>
        <w:gridCol w:w="498"/>
        <w:gridCol w:w="1136"/>
        <w:gridCol w:w="348"/>
        <w:gridCol w:w="2"/>
        <w:gridCol w:w="706"/>
        <w:gridCol w:w="570"/>
        <w:gridCol w:w="527"/>
        <w:gridCol w:w="181"/>
        <w:gridCol w:w="2"/>
        <w:gridCol w:w="754"/>
        <w:gridCol w:w="160"/>
        <w:gridCol w:w="360"/>
        <w:gridCol w:w="495"/>
        <w:gridCol w:w="977"/>
        <w:gridCol w:w="1"/>
        <w:gridCol w:w="158"/>
      </w:tblGrid>
      <w:tr>
        <w:trPr>
          <w:trHeight w:val="330" w:hRule="atLeast"/>
        </w:trPr>
        <w:tc>
          <w:tcPr>
            <w:tcW w:w="197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Tabuľka č. 1</w:t>
            </w:r>
          </w:p>
        </w:tc>
        <w:tc>
          <w:tcPr>
            <w:tcW w:w="57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color w:val="000000"/>
                <w:lang w:eastAsia="sk-SK"/>
              </w:rPr>
            </w:r>
          </w:p>
        </w:tc>
        <w:tc>
          <w:tcPr>
            <w:tcW w:w="1634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34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05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771" w:type="dxa"/>
            <w:gridSpan w:val="5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977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59" w:type="dxa"/>
            <w:gridSpan w:val="2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Názov položky</w:t>
            </w:r>
          </w:p>
        </w:tc>
        <w:tc>
          <w:tcPr>
            <w:tcW w:w="3970" w:type="dxa"/>
            <w:gridSpan w:val="9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Účtovná hodnota</w:t>
            </w:r>
          </w:p>
        </w:tc>
        <w:tc>
          <w:tcPr>
            <w:tcW w:w="2905" w:type="dxa"/>
            <w:gridSpan w:val="7"/>
            <w:vMerge w:val="restart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Dohodnutá cena podkladového nástroja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vMerge w:val="continue"/>
            <w:tcBorders>
              <w:top w:val="single" w:sz="12" w:space="0" w:color="00000A"/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4" w:type="dxa"/>
            <w:gridSpan w:val="4"/>
            <w:tcBorders>
              <w:top w:val="single" w:sz="12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pohľadávky</w:t>
            </w:r>
          </w:p>
        </w:tc>
        <w:tc>
          <w:tcPr>
            <w:tcW w:w="1986" w:type="dxa"/>
            <w:gridSpan w:val="5"/>
            <w:tcBorders>
              <w:top w:val="single" w:sz="12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záväzku</w:t>
            </w:r>
          </w:p>
        </w:tc>
        <w:tc>
          <w:tcPr>
            <w:tcW w:w="2905" w:type="dxa"/>
            <w:gridSpan w:val="7"/>
            <w:vMerge w:val="continue"/>
            <w:tcBorders>
              <w:top w:val="single" w:sz="12" w:space="0" w:color="00000A"/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a</w:t>
            </w:r>
          </w:p>
        </w:tc>
        <w:tc>
          <w:tcPr>
            <w:tcW w:w="1984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b</w:t>
            </w:r>
          </w:p>
        </w:tc>
        <w:tc>
          <w:tcPr>
            <w:tcW w:w="1986" w:type="dxa"/>
            <w:gridSpan w:val="5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c</w:t>
            </w:r>
          </w:p>
        </w:tc>
        <w:tc>
          <w:tcPr>
            <w:tcW w:w="2905" w:type="dxa"/>
            <w:gridSpan w:val="7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</w:t>
            </w:r>
          </w:p>
        </w:tc>
      </w:tr>
      <w:tr>
        <w:trPr>
          <w:trHeight w:val="556" w:hRule="atLeast"/>
        </w:trPr>
        <w:tc>
          <w:tcPr>
            <w:tcW w:w="2552" w:type="dxa"/>
            <w:gridSpan w:val="2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Deriváty určené na obchodovanie, z toho: </w:t>
            </w:r>
          </w:p>
        </w:tc>
        <w:tc>
          <w:tcPr>
            <w:tcW w:w="1984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72" w:hRule="atLeast"/>
        </w:trPr>
        <w:tc>
          <w:tcPr>
            <w:tcW w:w="2552" w:type="dxa"/>
            <w:gridSpan w:val="2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Zabezpečovacie deriváty, z toho:</w:t>
            </w:r>
          </w:p>
        </w:tc>
        <w:tc>
          <w:tcPr>
            <w:tcW w:w="1984" w:type="dxa"/>
            <w:gridSpan w:val="4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6" w:type="dxa"/>
            <w:gridSpan w:val="5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05" w:type="dxa"/>
            <w:gridSpan w:val="7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2" w:space="0" w:color="00000A"/>
              <w:bottom w:val="single" w:sz="12" w:space="0" w:color="00000A"/>
              <w:insideH w:val="single" w:sz="12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24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Tabuľka č. 2</w:t>
            </w:r>
          </w:p>
        </w:tc>
        <w:tc>
          <w:tcPr>
            <w:tcW w:w="49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color w:val="000000"/>
                <w:lang w:eastAsia="sk-SK"/>
              </w:rPr>
            </w:r>
          </w:p>
        </w:tc>
        <w:tc>
          <w:tcPr>
            <w:tcW w:w="113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56" w:type="dxa"/>
            <w:gridSpan w:val="3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570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464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33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5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600" w:hRule="atLeast"/>
        </w:trPr>
        <w:tc>
          <w:tcPr>
            <w:tcW w:w="2552" w:type="dxa"/>
            <w:gridSpan w:val="2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Názov položky</w:t>
            </w:r>
          </w:p>
        </w:tc>
        <w:tc>
          <w:tcPr>
            <w:tcW w:w="3260" w:type="dxa"/>
            <w:gridSpan w:val="6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  <w:tc>
          <w:tcPr>
            <w:tcW w:w="3615" w:type="dxa"/>
            <w:gridSpan w:val="10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690" w:hRule="atLeast"/>
        </w:trPr>
        <w:tc>
          <w:tcPr>
            <w:tcW w:w="2552" w:type="dxa"/>
            <w:gridSpan w:val="2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3260" w:type="dxa"/>
            <w:gridSpan w:val="6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Zmena reálnej hodn. (+/-) s vplyvom na</w:t>
            </w:r>
          </w:p>
        </w:tc>
        <w:tc>
          <w:tcPr>
            <w:tcW w:w="3615" w:type="dxa"/>
            <w:gridSpan w:val="10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Zmena reálnej hodn. (+/-) s vplyvom na</w:t>
            </w:r>
          </w:p>
        </w:tc>
      </w:tr>
      <w:tr>
        <w:trPr>
          <w:trHeight w:val="372" w:hRule="atLeast"/>
        </w:trPr>
        <w:tc>
          <w:tcPr>
            <w:tcW w:w="2552" w:type="dxa"/>
            <w:gridSpan w:val="2"/>
            <w:vMerge w:val="continue"/>
            <w:tcBorders>
              <w:top w:val="single" w:sz="12" w:space="0" w:color="00000A"/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1634" w:type="dxa"/>
            <w:gridSpan w:val="2"/>
            <w:tcBorders>
              <w:top w:val="single" w:sz="12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výsledok hospodárenia</w:t>
            </w:r>
          </w:p>
        </w:tc>
        <w:tc>
          <w:tcPr>
            <w:tcW w:w="1626" w:type="dxa"/>
            <w:gridSpan w:val="4"/>
            <w:tcBorders>
              <w:top w:val="single" w:sz="12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vlastné imanie</w:t>
            </w:r>
          </w:p>
        </w:tc>
        <w:tc>
          <w:tcPr>
            <w:tcW w:w="1984" w:type="dxa"/>
            <w:gridSpan w:val="6"/>
            <w:tcBorders>
              <w:top w:val="single" w:sz="12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výsledok hospodárenia</w:t>
            </w:r>
          </w:p>
        </w:tc>
        <w:tc>
          <w:tcPr>
            <w:tcW w:w="1631" w:type="dxa"/>
            <w:gridSpan w:val="4"/>
            <w:tcBorders>
              <w:top w:val="single" w:sz="12" w:space="0" w:color="00000A"/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vlastné imanie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a</w:t>
            </w:r>
          </w:p>
        </w:tc>
        <w:tc>
          <w:tcPr>
            <w:tcW w:w="1634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b</w:t>
            </w:r>
          </w:p>
        </w:tc>
        <w:tc>
          <w:tcPr>
            <w:tcW w:w="1626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c</w:t>
            </w:r>
          </w:p>
        </w:tc>
        <w:tc>
          <w:tcPr>
            <w:tcW w:w="1984" w:type="dxa"/>
            <w:gridSpan w:val="6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</w:t>
            </w:r>
          </w:p>
        </w:tc>
        <w:tc>
          <w:tcPr>
            <w:tcW w:w="1631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e</w:t>
            </w:r>
          </w:p>
        </w:tc>
      </w:tr>
      <w:tr>
        <w:trPr>
          <w:trHeight w:val="570" w:hRule="atLeast"/>
        </w:trPr>
        <w:tc>
          <w:tcPr>
            <w:tcW w:w="2552" w:type="dxa"/>
            <w:gridSpan w:val="2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Deriváty určené na obchodovanie, z toho: </w:t>
            </w:r>
          </w:p>
        </w:tc>
        <w:tc>
          <w:tcPr>
            <w:tcW w:w="1634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600" w:hRule="atLeast"/>
        </w:trPr>
        <w:tc>
          <w:tcPr>
            <w:tcW w:w="2552" w:type="dxa"/>
            <w:gridSpan w:val="2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Zabezpečovacie deriváty, z toho:</w:t>
            </w:r>
          </w:p>
        </w:tc>
        <w:tc>
          <w:tcPr>
            <w:tcW w:w="1634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552" w:type="dxa"/>
            <w:gridSpan w:val="2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5B9BD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5B9BD5"/>
                <w:lang w:eastAsia="sk-SK"/>
              </w:rPr>
              <w:t> </w:t>
            </w:r>
          </w:p>
        </w:tc>
        <w:tc>
          <w:tcPr>
            <w:tcW w:w="1634" w:type="dxa"/>
            <w:gridSpan w:val="2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26" w:type="dxa"/>
            <w:gridSpan w:val="4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Ďalšie dôležité informácie o významných položkách derivátov za bežné účtovné obdobie </w:t>
      </w:r>
      <w:r>
        <w:rPr>
          <w:rFonts w:eastAsia="MS Gothic" w:cs="Times New Roman" w:ascii="Times New Roman" w:hAnsi="Times New Roman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(napr. informácie o rozsahu a povahe týchto derivátov vrátane významných podmienok, ktoré môžu ovplyvniť sumu, načasovanie a mieru istoty budúcich peňažných tokov):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tbl>
      <w:tblPr>
        <w:tblW w:w="9428" w:type="dxa"/>
        <w:jc w:val="left"/>
        <w:tblInd w:w="0" w:type="dxa"/>
        <w:tblBorders>
          <w:bottom w:val="single" w:sz="18" w:space="0" w:color="00000A"/>
          <w:insideH w:val="single" w:sz="18" w:space="0" w:color="00000A"/>
        </w:tblBorders>
        <w:tblCellMar>
          <w:top w:w="0" w:type="dxa"/>
          <w:left w:w="70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76"/>
        <w:gridCol w:w="1074"/>
        <w:gridCol w:w="1136"/>
        <w:gridCol w:w="1056"/>
        <w:gridCol w:w="1096"/>
        <w:gridCol w:w="323"/>
        <w:gridCol w:w="1"/>
        <w:gridCol w:w="1628"/>
        <w:gridCol w:w="977"/>
        <w:gridCol w:w="160"/>
      </w:tblGrid>
      <w:tr>
        <w:trPr>
          <w:trHeight w:val="330" w:hRule="atLeast"/>
        </w:trPr>
        <w:tc>
          <w:tcPr>
            <w:tcW w:w="1976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Tabuľka č. 3</w:t>
            </w:r>
          </w:p>
        </w:tc>
        <w:tc>
          <w:tcPr>
            <w:tcW w:w="1074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color w:val="000000"/>
                <w:lang w:eastAsia="sk-SK"/>
              </w:rPr>
            </w:r>
          </w:p>
        </w:tc>
        <w:tc>
          <w:tcPr>
            <w:tcW w:w="1136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56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96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323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29" w:type="dxa"/>
            <w:gridSpan w:val="2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977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tcBorders>
              <w:bottom w:val="single" w:sz="18" w:space="0" w:color="00000A"/>
              <w:insideH w:val="single" w:sz="18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330" w:hRule="atLeast"/>
        </w:trPr>
        <w:tc>
          <w:tcPr>
            <w:tcW w:w="4186" w:type="dxa"/>
            <w:gridSpan w:val="3"/>
            <w:vMerge w:val="restart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Zabezpečovaná položka</w:t>
            </w:r>
          </w:p>
        </w:tc>
        <w:tc>
          <w:tcPr>
            <w:tcW w:w="5241" w:type="dxa"/>
            <w:gridSpan w:val="7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Reálna hodnota</w:t>
            </w:r>
          </w:p>
        </w:tc>
      </w:tr>
      <w:tr>
        <w:trPr>
          <w:trHeight w:val="266" w:hRule="atLeast"/>
        </w:trPr>
        <w:tc>
          <w:tcPr>
            <w:tcW w:w="4186" w:type="dxa"/>
            <w:gridSpan w:val="3"/>
            <w:vMerge w:val="continue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2476" w:type="dxa"/>
            <w:gridSpan w:val="4"/>
            <w:tcBorders>
              <w:top w:val="single" w:sz="12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BO</w:t>
            </w:r>
          </w:p>
        </w:tc>
        <w:tc>
          <w:tcPr>
            <w:tcW w:w="2765" w:type="dxa"/>
            <w:gridSpan w:val="3"/>
            <w:tcBorders>
              <w:top w:val="single" w:sz="12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PO</w:t>
            </w:r>
          </w:p>
        </w:tc>
      </w:tr>
      <w:tr>
        <w:trPr>
          <w:trHeight w:val="330" w:hRule="atLeast"/>
        </w:trPr>
        <w:tc>
          <w:tcPr>
            <w:tcW w:w="4186" w:type="dxa"/>
            <w:gridSpan w:val="3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a</w:t>
            </w:r>
          </w:p>
        </w:tc>
        <w:tc>
          <w:tcPr>
            <w:tcW w:w="2476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b</w:t>
            </w:r>
          </w:p>
        </w:tc>
        <w:tc>
          <w:tcPr>
            <w:tcW w:w="2765" w:type="dxa"/>
            <w:gridSpan w:val="3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c</w:t>
            </w:r>
          </w:p>
        </w:tc>
      </w:tr>
      <w:tr>
        <w:trPr>
          <w:trHeight w:val="330" w:hRule="atLeast"/>
        </w:trPr>
        <w:tc>
          <w:tcPr>
            <w:tcW w:w="4186" w:type="dxa"/>
            <w:gridSpan w:val="3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Majetok vykázaný v súvahe</w:t>
            </w:r>
          </w:p>
        </w:tc>
        <w:tc>
          <w:tcPr>
            <w:tcW w:w="2476" w:type="dxa"/>
            <w:gridSpan w:val="4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186" w:type="dxa"/>
            <w:gridSpan w:val="3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Záväzok vykázaný v súvahe</w:t>
            </w:r>
          </w:p>
        </w:tc>
        <w:tc>
          <w:tcPr>
            <w:tcW w:w="2476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448" w:hRule="atLeast"/>
        </w:trPr>
        <w:tc>
          <w:tcPr>
            <w:tcW w:w="4186" w:type="dxa"/>
            <w:gridSpan w:val="3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insideH w:val="single" w:sz="4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Zmluvy, ktoré sa neúčtujú na súvahových účtoch</w:t>
            </w:r>
          </w:p>
        </w:tc>
        <w:tc>
          <w:tcPr>
            <w:tcW w:w="2476" w:type="dxa"/>
            <w:gridSpan w:val="4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484" w:hRule="atLeast"/>
        </w:trPr>
        <w:tc>
          <w:tcPr>
            <w:tcW w:w="4186" w:type="dxa"/>
            <w:gridSpan w:val="3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insideH w:val="single" w:sz="18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Očakávané budúce obchody dosiaľ zmluvne nezabezpečené</w:t>
            </w:r>
          </w:p>
        </w:tc>
        <w:tc>
          <w:tcPr>
            <w:tcW w:w="2476" w:type="dxa"/>
            <w:gridSpan w:val="4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186" w:type="dxa"/>
            <w:gridSpan w:val="3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insideH w:val="single" w:sz="18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2476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položkách zabezpečených derivátmi (najmä forma zabezpečenia):</w:t>
      </w:r>
    </w:p>
    <w:p>
      <w:pPr>
        <w:pStyle w:val="Normal"/>
        <w:spacing w:lineRule="auto" w:line="24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IV. 3 a)</w:t>
        <w:tab/>
        <w:t xml:space="preserve">Informácie o záväzkoch 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8" w:space="0" w:color="00000A"/>
          <w:right w:val="single" w:sz="12" w:space="0" w:color="00000A"/>
          <w:insideH w:val="single" w:sz="18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3245"/>
        <w:gridCol w:w="2977"/>
        <w:gridCol w:w="3119"/>
      </w:tblGrid>
      <w:tr>
        <w:trPr>
          <w:trHeight w:val="330" w:hRule="atLeast"/>
        </w:trPr>
        <w:tc>
          <w:tcPr>
            <w:tcW w:w="3245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Názov položky</w:t>
            </w:r>
          </w:p>
        </w:tc>
        <w:tc>
          <w:tcPr>
            <w:tcW w:w="297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BO</w:t>
            </w:r>
          </w:p>
        </w:tc>
        <w:tc>
          <w:tcPr>
            <w:tcW w:w="3119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PO</w:t>
            </w:r>
          </w:p>
        </w:tc>
      </w:tr>
      <w:tr>
        <w:trPr>
          <w:trHeight w:val="580" w:hRule="atLeast"/>
        </w:trPr>
        <w:tc>
          <w:tcPr>
            <w:tcW w:w="3245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Záväzky so zostatkovou dobou splatnosti nad päť rokov</w:t>
            </w:r>
          </w:p>
        </w:tc>
        <w:tc>
          <w:tcPr>
            <w:tcW w:w="2977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119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záväzkoch: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IV. 3 b)</w:t>
        <w:tab/>
        <w:t>Hodnota záväzkov zabezpečená záložným právom</w:t>
      </w:r>
    </w:p>
    <w:tbl>
      <w:tblPr>
        <w:tblW w:w="9341" w:type="dxa"/>
        <w:jc w:val="left"/>
        <w:tblInd w:w="-22" w:type="dxa"/>
        <w:tblBorders>
          <w:top w:val="single" w:sz="18" w:space="0" w:color="000001"/>
          <w:left w:val="single" w:sz="18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805"/>
        <w:gridCol w:w="2409"/>
        <w:gridCol w:w="2127"/>
      </w:tblGrid>
      <w:tr>
        <w:trPr>
          <w:trHeight w:val="330" w:hRule="atLeast"/>
        </w:trPr>
        <w:tc>
          <w:tcPr>
            <w:tcW w:w="4805" w:type="dxa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Druh formy zabezpečenia záväzku</w:t>
            </w:r>
          </w:p>
        </w:tc>
        <w:tc>
          <w:tcPr>
            <w:tcW w:w="4536" w:type="dxa"/>
            <w:gridSpan w:val="2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záväzku zabezpečená</w:t>
            </w:r>
          </w:p>
        </w:tc>
      </w:tr>
      <w:tr>
        <w:trPr>
          <w:trHeight w:val="458" w:hRule="atLeast"/>
        </w:trPr>
        <w:tc>
          <w:tcPr>
            <w:tcW w:w="4805" w:type="dxa"/>
            <w:vMerge w:val="continue"/>
            <w:tcBorders>
              <w:top w:val="single" w:sz="12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Záložným právom</w:t>
            </w:r>
          </w:p>
        </w:tc>
        <w:tc>
          <w:tcPr>
            <w:tcW w:w="2127" w:type="dxa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Inou formou zabezp.</w:t>
            </w:r>
          </w:p>
        </w:tc>
      </w:tr>
      <w:tr>
        <w:trPr>
          <w:trHeight w:val="330" w:hRule="atLeast"/>
        </w:trPr>
        <w:tc>
          <w:tcPr>
            <w:tcW w:w="4805" w:type="dxa"/>
            <w:tcBorders>
              <w:top w:val="single" w:sz="18" w:space="0" w:color="000001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409" w:type="dxa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7" w:type="dxa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805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805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1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Arial" w:hAnsi="Arial" w:eastAsia="Times New Roman" w:cs="Arial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7" w:type="dxa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ind w:right="-284" w:hanging="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záväzkoch zabezp. záložným právom alebo inou formou zabezpečenia: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 w:before="0" w:after="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IV. 4 </w:t>
        <w:tab/>
        <w:t>Informácie o vlastných akciách</w:t>
      </w:r>
    </w:p>
    <w:p>
      <w:pPr>
        <w:pStyle w:val="Normal"/>
        <w:spacing w:lineRule="auto" w:line="240" w:before="0" w:after="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a) - c)</w:t>
        <w:tab/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819"/>
        <w:gridCol w:w="1568"/>
        <w:gridCol w:w="1985"/>
        <w:gridCol w:w="2126"/>
        <w:gridCol w:w="1843"/>
      </w:tblGrid>
      <w:tr>
        <w:trPr>
          <w:trHeight w:val="330" w:hRule="atLeast"/>
        </w:trPr>
        <w:tc>
          <w:tcPr>
            <w:tcW w:w="1819" w:type="dxa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Dôvod nadobudnutia vlastných akcií počas účtovného obdobia</w:t>
            </w:r>
          </w:p>
        </w:tc>
        <w:tc>
          <w:tcPr>
            <w:tcW w:w="7522" w:type="dxa"/>
            <w:gridSpan w:val="4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Bežné účtovné obdobie</w:t>
            </w:r>
          </w:p>
        </w:tc>
      </w:tr>
      <w:tr>
        <w:trPr>
          <w:trHeight w:val="855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568" w:type="dxa"/>
            <w:vMerge w:val="restart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Stav na začiatku účtovného obdobia</w:t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Prírastky</w:t>
            </w:r>
          </w:p>
        </w:tc>
        <w:tc>
          <w:tcPr>
            <w:tcW w:w="212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Úbytky</w:t>
            </w:r>
          </w:p>
        </w:tc>
        <w:tc>
          <w:tcPr>
            <w:tcW w:w="184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Počet akcií</w:t>
            </w:r>
          </w:p>
        </w:tc>
        <w:tc>
          <w:tcPr>
            <w:tcW w:w="212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Počet akcií</w:t>
            </w:r>
          </w:p>
        </w:tc>
        <w:tc>
          <w:tcPr>
            <w:tcW w:w="184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Počet akcií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Podiel na ZI v %</w:t>
            </w:r>
          </w:p>
        </w:tc>
        <w:tc>
          <w:tcPr>
            <w:tcW w:w="212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Podiel na ZI v %</w:t>
            </w:r>
          </w:p>
        </w:tc>
        <w:tc>
          <w:tcPr>
            <w:tcW w:w="184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Podiel na ZI v %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Menovitá hodnota</w:t>
            </w:r>
          </w:p>
        </w:tc>
        <w:tc>
          <w:tcPr>
            <w:tcW w:w="2126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Menovitá hodnota</w:t>
            </w:r>
          </w:p>
        </w:tc>
        <w:tc>
          <w:tcPr>
            <w:tcW w:w="184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Menovitá hodnota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Hodnota nadobudn.</w:t>
            </w:r>
          </w:p>
        </w:tc>
        <w:tc>
          <w:tcPr>
            <w:tcW w:w="2126" w:type="dxa"/>
            <w:tcBorders>
              <w:top w:val="single" w:sz="12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Hodnota za prevod</w:t>
            </w:r>
          </w:p>
        </w:tc>
        <w:tc>
          <w:tcPr>
            <w:tcW w:w="1843" w:type="dxa"/>
            <w:tcBorders>
              <w:top w:val="single" w:sz="12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Hodnota nadobudn.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568" w:type="dxa"/>
            <w:vMerge w:val="restart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restart"/>
            <w:tcBorders>
              <w:top w:val="single" w:sz="12" w:space="0" w:color="00000A"/>
              <w:left w:val="single" w:sz="18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68" w:type="dxa"/>
            <w:vMerge w:val="restart"/>
            <w:tcBorders>
              <w:top w:val="single" w:sz="12" w:space="0" w:color="00000A"/>
              <w:left w:val="single" w:sz="12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819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568" w:type="dxa"/>
            <w:vMerge w:val="continue"/>
            <w:tcBorders>
              <w:top w:val="single" w:sz="12" w:space="0" w:color="00000A"/>
              <w:left w:val="single" w:sz="12" w:space="0" w:color="00000A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198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126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1843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bottom"/>
          </w:tcPr>
          <w:p>
            <w:pPr>
              <w:pStyle w:val="Normal"/>
              <w:spacing w:lineRule="auto" w:line="240" w:before="0" w:after="0"/>
              <w:ind w:firstLine="221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vlastných akciách: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IV. 5</w:t>
        <w:tab/>
        <w:t>Informácie o výnosoch a nákladoch, ktoré majú výnimočný rozsah alebo výskyt</w:t>
      </w:r>
    </w:p>
    <w:tbl>
      <w:tblPr>
        <w:tblW w:w="9428" w:type="dxa"/>
        <w:jc w:val="left"/>
        <w:tblInd w:w="0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75"/>
        <w:gridCol w:w="1074"/>
        <w:gridCol w:w="494"/>
        <w:gridCol w:w="1698"/>
        <w:gridCol w:w="996"/>
        <w:gridCol w:w="102"/>
        <w:gridCol w:w="160"/>
        <w:gridCol w:w="1792"/>
        <w:gridCol w:w="977"/>
        <w:gridCol w:w="159"/>
      </w:tblGrid>
      <w:tr>
        <w:trPr>
          <w:trHeight w:val="330" w:hRule="atLeast"/>
        </w:trPr>
        <w:tc>
          <w:tcPr>
            <w:tcW w:w="197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Tabuľka č. 1</w:t>
            </w:r>
          </w:p>
        </w:tc>
        <w:tc>
          <w:tcPr>
            <w:tcW w:w="107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color w:val="000000"/>
                <w:lang w:eastAsia="sk-SK"/>
              </w:rPr>
            </w:r>
          </w:p>
        </w:tc>
        <w:tc>
          <w:tcPr>
            <w:tcW w:w="49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9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98" w:type="dxa"/>
            <w:gridSpan w:val="2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792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977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59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975" w:hRule="atLeast"/>
        </w:trPr>
        <w:tc>
          <w:tcPr>
            <w:tcW w:w="3543" w:type="dxa"/>
            <w:gridSpan w:val="3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Výnosy, ktoré majú výnimočný rozsah alebo výskyt</w:t>
            </w:r>
          </w:p>
        </w:tc>
        <w:tc>
          <w:tcPr>
            <w:tcW w:w="2694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  <w:tc>
          <w:tcPr>
            <w:tcW w:w="3190" w:type="dxa"/>
            <w:gridSpan w:val="5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3543" w:type="dxa"/>
            <w:gridSpan w:val="3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69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190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543" w:type="dxa"/>
            <w:gridSpan w:val="3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69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190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543" w:type="dxa"/>
            <w:gridSpan w:val="3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694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190" w:type="dxa"/>
            <w:gridSpan w:val="5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543" w:type="dxa"/>
            <w:gridSpan w:val="3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694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3190" w:type="dxa"/>
            <w:gridSpan w:val="5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výnosoch, ktoré majú výnimočný rozsah alebo výskyt: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tbl>
      <w:tblPr>
        <w:tblW w:w="9428" w:type="dxa"/>
        <w:jc w:val="left"/>
        <w:tblInd w:w="0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76"/>
        <w:gridCol w:w="1074"/>
        <w:gridCol w:w="634"/>
        <w:gridCol w:w="1"/>
        <w:gridCol w:w="1557"/>
        <w:gridCol w:w="1097"/>
        <w:gridCol w:w="323"/>
        <w:gridCol w:w="1629"/>
        <w:gridCol w:w="977"/>
        <w:gridCol w:w="159"/>
      </w:tblGrid>
      <w:tr>
        <w:trPr>
          <w:trHeight w:val="330" w:hRule="atLeast"/>
        </w:trPr>
        <w:tc>
          <w:tcPr>
            <w:tcW w:w="197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Tabuľka č. 2</w:t>
            </w:r>
          </w:p>
        </w:tc>
        <w:tc>
          <w:tcPr>
            <w:tcW w:w="107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lang w:eastAsia="sk-SK"/>
              </w:rPr>
            </w:pPr>
            <w:r>
              <w:rPr>
                <w:rFonts w:eastAsia="Times New Roman" w:cs="Arial" w:ascii="Arial" w:hAnsi="Arial"/>
                <w:color w:val="000000"/>
                <w:lang w:eastAsia="sk-SK"/>
              </w:rPr>
            </w:r>
          </w:p>
        </w:tc>
        <w:tc>
          <w:tcPr>
            <w:tcW w:w="63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558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97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323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29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977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59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694" w:hRule="atLeast"/>
        </w:trPr>
        <w:tc>
          <w:tcPr>
            <w:tcW w:w="3685" w:type="dxa"/>
            <w:gridSpan w:val="4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Náklady, ktoré majú výnimočný rozsah alebo výskyt</w:t>
            </w:r>
          </w:p>
        </w:tc>
        <w:tc>
          <w:tcPr>
            <w:tcW w:w="2977" w:type="dxa"/>
            <w:gridSpan w:val="3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  <w:tc>
          <w:tcPr>
            <w:tcW w:w="2765" w:type="dxa"/>
            <w:gridSpan w:val="3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3685" w:type="dxa"/>
            <w:gridSpan w:val="4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685" w:type="dxa"/>
            <w:gridSpan w:val="4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 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685" w:type="dxa"/>
            <w:gridSpan w:val="4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3685" w:type="dxa"/>
            <w:gridSpan w:val="4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22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977" w:type="dxa"/>
            <w:gridSpan w:val="3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765" w:type="dxa"/>
            <w:gridSpan w:val="3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nákladoch, ktoré majú výnimočný rozsah alebo výskyt: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 w:before="0" w:after="0"/>
        <w:ind w:left="993" w:hanging="993"/>
        <w:rPr>
          <w:rFonts w:ascii="Times New Roman" w:hAnsi="Times New Roman" w:cs="Times New Roman"/>
          <w:b/>
          <w:b/>
          <w:color w:val="5B9BD5" w:themeColor="accent1"/>
          <w:szCs w:val="24"/>
        </w:rPr>
      </w:pPr>
      <w:r>
        <w:rPr>
          <w:rFonts w:cs="Times New Roman" w:ascii="Times New Roman" w:hAnsi="Times New Roman"/>
          <w:b/>
          <w:color w:val="5B9BD5" w:themeColor="accent1"/>
          <w:szCs w:val="24"/>
        </w:rPr>
        <w:t>Čl. V</w:t>
        <w:tab/>
        <w:t>Informácie o iných aktívach a iných pasívach</w:t>
      </w:r>
    </w:p>
    <w:p>
      <w:pPr>
        <w:pStyle w:val="Normal"/>
        <w:spacing w:lineRule="auto" w:line="240" w:before="0" w:after="0"/>
        <w:ind w:left="993" w:hanging="993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V. 1 a)</w:t>
        <w:tab/>
        <w:t>Informácie o podmienenom majetku</w:t>
      </w:r>
    </w:p>
    <w:tbl>
      <w:tblPr>
        <w:tblW w:w="9341" w:type="dxa"/>
        <w:jc w:val="left"/>
        <w:tblInd w:w="-22" w:type="dxa"/>
        <w:tblBorders>
          <w:top w:val="single" w:sz="18" w:space="0" w:color="000001"/>
          <w:left w:val="single" w:sz="18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138"/>
        <w:gridCol w:w="2651"/>
        <w:gridCol w:w="2552"/>
      </w:tblGrid>
      <w:tr>
        <w:trPr>
          <w:trHeight w:val="330" w:hRule="atLeast"/>
        </w:trPr>
        <w:tc>
          <w:tcPr>
            <w:tcW w:w="4138" w:type="dxa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Druh podmieneného majetku</w:t>
            </w:r>
          </w:p>
        </w:tc>
        <w:tc>
          <w:tcPr>
            <w:tcW w:w="5203" w:type="dxa"/>
            <w:gridSpan w:val="2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</w:t>
            </w:r>
          </w:p>
        </w:tc>
      </w:tr>
      <w:tr>
        <w:trPr>
          <w:trHeight w:val="330" w:hRule="atLeast"/>
        </w:trPr>
        <w:tc>
          <w:tcPr>
            <w:tcW w:w="4138" w:type="dxa"/>
            <w:vMerge w:val="continue"/>
            <w:tcBorders>
              <w:top w:val="single" w:sz="12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2651" w:type="dxa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BO</w:t>
            </w:r>
          </w:p>
        </w:tc>
        <w:tc>
          <w:tcPr>
            <w:tcW w:w="2552" w:type="dxa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PO</w:t>
            </w:r>
          </w:p>
        </w:tc>
      </w:tr>
      <w:tr>
        <w:trPr>
          <w:trHeight w:val="135" w:hRule="atLeast"/>
        </w:trPr>
        <w:tc>
          <w:tcPr>
            <w:tcW w:w="4138" w:type="dxa"/>
            <w:tcBorders>
              <w:top w:val="single" w:sz="18" w:space="0" w:color="000001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zo servisných zmlúv</w:t>
            </w:r>
          </w:p>
        </w:tc>
        <w:tc>
          <w:tcPr>
            <w:tcW w:w="2651" w:type="dxa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18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 poistných zmlúv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308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 koncesionárskych zmlúv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43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 licenčných zmlúv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473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 investovania prostriedkov získaných oslobodením od dane z príjmov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 privatizácie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88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Práva zo súdnych sporov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45" w:hRule="atLeast"/>
        </w:trPr>
        <w:tc>
          <w:tcPr>
            <w:tcW w:w="4138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práva</w:t>
            </w:r>
          </w:p>
        </w:tc>
        <w:tc>
          <w:tcPr>
            <w:tcW w:w="2651" w:type="dxa"/>
            <w:tcBorders>
              <w:top w:val="single" w:sz="4" w:space="0" w:color="00000A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podmienenom majetku: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V. 1 b)</w:t>
        <w:tab/>
        <w:t>Informácie o podmienených záväzkoch</w:t>
      </w:r>
    </w:p>
    <w:tbl>
      <w:tblPr>
        <w:tblW w:w="9356" w:type="dxa"/>
        <w:jc w:val="left"/>
        <w:tblInd w:w="0" w:type="dxa"/>
        <w:tblBorders>
          <w:bottom w:val="single" w:sz="18" w:space="0" w:color="000001"/>
          <w:insideH w:val="single" w:sz="18" w:space="0" w:color="000001"/>
        </w:tblBorders>
        <w:tblCellMar>
          <w:top w:w="0" w:type="dxa"/>
          <w:left w:w="70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000"/>
        <w:gridCol w:w="960"/>
        <w:gridCol w:w="1060"/>
        <w:gridCol w:w="1120"/>
        <w:gridCol w:w="1039"/>
        <w:gridCol w:w="65"/>
        <w:gridCol w:w="95"/>
        <w:gridCol w:w="1840"/>
        <w:gridCol w:w="160"/>
        <w:gridCol w:w="1"/>
        <w:gridCol w:w="1799"/>
        <w:gridCol w:w="216"/>
      </w:tblGrid>
      <w:tr>
        <w:trPr>
          <w:trHeight w:val="330" w:hRule="atLeast"/>
        </w:trPr>
        <w:tc>
          <w:tcPr>
            <w:tcW w:w="1960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Tabuľka č.1</w:t>
            </w:r>
          </w:p>
        </w:tc>
        <w:tc>
          <w:tcPr>
            <w:tcW w:w="1060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sk-SK"/>
              </w:rPr>
            </w:pPr>
            <w:r>
              <w:rPr>
                <w:rFonts w:eastAsia="Times New Roman" w:cs="Arial" w:ascii="Arial" w:hAnsi="Arial"/>
                <w:lang w:eastAsia="sk-SK"/>
              </w:rPr>
            </w:r>
          </w:p>
        </w:tc>
        <w:tc>
          <w:tcPr>
            <w:tcW w:w="1120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39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40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00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216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253" w:hRule="atLeast"/>
        </w:trPr>
        <w:tc>
          <w:tcPr>
            <w:tcW w:w="5244" w:type="dxa"/>
            <w:gridSpan w:val="6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podmieneného záväzku</w:t>
            </w:r>
          </w:p>
        </w:tc>
        <w:tc>
          <w:tcPr>
            <w:tcW w:w="4111" w:type="dxa"/>
            <w:gridSpan w:val="6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</w:tr>
      <w:tr>
        <w:trPr>
          <w:trHeight w:val="316" w:hRule="atLeast"/>
        </w:trPr>
        <w:tc>
          <w:tcPr>
            <w:tcW w:w="5244" w:type="dxa"/>
            <w:gridSpan w:val="6"/>
            <w:vMerge w:val="continue"/>
            <w:tcBorders>
              <w:top w:val="single" w:sz="12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2096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celkom</w:t>
            </w:r>
          </w:p>
        </w:tc>
        <w:tc>
          <w:tcPr>
            <w:tcW w:w="201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Spriaznené osoby</w:t>
            </w:r>
          </w:p>
        </w:tc>
      </w:tr>
      <w:tr>
        <w:trPr>
          <w:trHeight w:val="228" w:hRule="atLeast"/>
        </w:trPr>
        <w:tc>
          <w:tcPr>
            <w:tcW w:w="5244" w:type="dxa"/>
            <w:gridSpan w:val="6"/>
            <w:tcBorders>
              <w:top w:val="single" w:sz="12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Zo súdnych rozhodnutí</w:t>
            </w:r>
          </w:p>
        </w:tc>
        <w:tc>
          <w:tcPr>
            <w:tcW w:w="2096" w:type="dxa"/>
            <w:gridSpan w:val="4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42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 poskytnutých záruk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46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Zo všeobecne záväzných právnych predpisov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22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Zo zmluvy o podriadenom záväzku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26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 ručenia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44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podmienené záväzky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3" w:hRule="exact"/>
        </w:trPr>
        <w:tc>
          <w:tcPr>
            <w:tcW w:w="100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Arial" w:hAnsi="Arial" w:eastAsia="Times New Roman" w:cs="Arial"/>
                <w:color w:val="2F75B5"/>
                <w:lang w:eastAsia="sk-SK"/>
              </w:rPr>
            </w:pPr>
            <w:r>
              <w:rPr>
                <w:rFonts w:eastAsia="Times New Roman" w:cs="Arial" w:ascii="Arial" w:hAnsi="Arial"/>
                <w:color w:val="2F75B5"/>
                <w:lang w:eastAsia="sk-SK"/>
              </w:rPr>
            </w:r>
          </w:p>
        </w:tc>
        <w:tc>
          <w:tcPr>
            <w:tcW w:w="96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6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12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39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4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0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00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0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216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0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330" w:hRule="atLeast"/>
        </w:trPr>
        <w:tc>
          <w:tcPr>
            <w:tcW w:w="1960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Tabuľka č. 2</w:t>
            </w:r>
          </w:p>
        </w:tc>
        <w:tc>
          <w:tcPr>
            <w:tcW w:w="106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lang w:eastAsia="sk-SK"/>
              </w:rPr>
            </w:pPr>
            <w:r>
              <w:rPr>
                <w:rFonts w:eastAsia="Times New Roman" w:cs="Arial" w:ascii="Arial" w:hAnsi="Arial"/>
                <w:lang w:eastAsia="sk-SK"/>
              </w:rPr>
            </w:r>
          </w:p>
        </w:tc>
        <w:tc>
          <w:tcPr>
            <w:tcW w:w="112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39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4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0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800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216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443" w:hRule="atLeast"/>
        </w:trPr>
        <w:tc>
          <w:tcPr>
            <w:tcW w:w="5244" w:type="dxa"/>
            <w:gridSpan w:val="6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podmieneného záväzku</w:t>
            </w:r>
          </w:p>
        </w:tc>
        <w:tc>
          <w:tcPr>
            <w:tcW w:w="4111" w:type="dxa"/>
            <w:gridSpan w:val="6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5244" w:type="dxa"/>
            <w:gridSpan w:val="6"/>
            <w:vMerge w:val="continue"/>
            <w:tcBorders>
              <w:top w:val="single" w:sz="12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2096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celkom</w:t>
            </w:r>
          </w:p>
        </w:tc>
        <w:tc>
          <w:tcPr>
            <w:tcW w:w="201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Spriaznené osoby</w:t>
            </w:r>
          </w:p>
        </w:tc>
      </w:tr>
      <w:tr>
        <w:trPr>
          <w:trHeight w:val="198" w:hRule="atLeast"/>
        </w:trPr>
        <w:tc>
          <w:tcPr>
            <w:tcW w:w="5244" w:type="dxa"/>
            <w:gridSpan w:val="6"/>
            <w:tcBorders>
              <w:top w:val="single" w:sz="12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Zo súdnych rozhodnutí</w:t>
            </w:r>
          </w:p>
        </w:tc>
        <w:tc>
          <w:tcPr>
            <w:tcW w:w="2096" w:type="dxa"/>
            <w:gridSpan w:val="4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08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 poskytnutých záruk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Zo všeobecne záväzných právnych predpisov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58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Zo zmluvy o podriadenom záväzku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50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 ručenia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68" w:hRule="atLeast"/>
        </w:trPr>
        <w:tc>
          <w:tcPr>
            <w:tcW w:w="5244" w:type="dxa"/>
            <w:gridSpan w:val="6"/>
            <w:tcBorders>
              <w:top w:val="single" w:sz="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podmienené záväzky</w:t>
            </w:r>
          </w:p>
        </w:tc>
        <w:tc>
          <w:tcPr>
            <w:tcW w:w="2096" w:type="dxa"/>
            <w:gridSpan w:val="4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2015" w:type="dxa"/>
            <w:gridSpan w:val="2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podmienených záväzkov: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V. 2</w:t>
        <w:tab/>
        <w:t>Informácie o podmienených záväzkoch</w:t>
      </w:r>
    </w:p>
    <w:tbl>
      <w:tblPr>
        <w:tblW w:w="9356" w:type="dxa"/>
        <w:jc w:val="left"/>
        <w:tblInd w:w="0" w:type="dxa"/>
        <w:tblBorders>
          <w:bottom w:val="single" w:sz="18" w:space="0" w:color="000001"/>
          <w:insideH w:val="single" w:sz="18" w:space="0" w:color="000001"/>
        </w:tblBorders>
        <w:tblCellMar>
          <w:top w:w="0" w:type="dxa"/>
          <w:left w:w="70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993"/>
        <w:gridCol w:w="951"/>
        <w:gridCol w:w="1"/>
        <w:gridCol w:w="1046"/>
        <w:gridCol w:w="1"/>
        <w:gridCol w:w="1104"/>
        <w:gridCol w:w="1028"/>
        <w:gridCol w:w="1"/>
        <w:gridCol w:w="261"/>
        <w:gridCol w:w="1"/>
        <w:gridCol w:w="1717"/>
        <w:gridCol w:w="265"/>
        <w:gridCol w:w="1"/>
        <w:gridCol w:w="1683"/>
        <w:gridCol w:w="302"/>
      </w:tblGrid>
      <w:tr>
        <w:trPr>
          <w:trHeight w:val="330" w:hRule="atLeast"/>
        </w:trPr>
        <w:tc>
          <w:tcPr>
            <w:tcW w:w="1945" w:type="dxa"/>
            <w:gridSpan w:val="3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Tabuľka č.1</w:t>
            </w:r>
          </w:p>
        </w:tc>
        <w:tc>
          <w:tcPr>
            <w:tcW w:w="1047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104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029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262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717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265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1684" w:type="dxa"/>
            <w:gridSpan w:val="2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  <w:tc>
          <w:tcPr>
            <w:tcW w:w="302" w:type="dxa"/>
            <w:tcBorders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  <w:tr>
        <w:trPr>
          <w:trHeight w:val="182" w:hRule="atLeast"/>
        </w:trPr>
        <w:tc>
          <w:tcPr>
            <w:tcW w:w="5387" w:type="dxa"/>
            <w:gridSpan w:val="10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podmieneného záväzku alebo ostatnej finančnej povinnosti, ktorá sa nevykazuje v účtovných výkazoch</w:t>
            </w:r>
          </w:p>
        </w:tc>
        <w:tc>
          <w:tcPr>
            <w:tcW w:w="3968" w:type="dxa"/>
            <w:gridSpan w:val="5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</w:tr>
      <w:tr>
        <w:trPr>
          <w:trHeight w:val="186" w:hRule="atLeast"/>
        </w:trPr>
        <w:tc>
          <w:tcPr>
            <w:tcW w:w="5387" w:type="dxa"/>
            <w:gridSpan w:val="10"/>
            <w:vMerge w:val="continue"/>
            <w:tcBorders>
              <w:top w:val="single" w:sz="12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3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celkom</w:t>
            </w:r>
          </w:p>
        </w:tc>
        <w:tc>
          <w:tcPr>
            <w:tcW w:w="1985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Spriaznené osoby</w:t>
            </w:r>
          </w:p>
        </w:tc>
      </w:tr>
      <w:tr>
        <w:trPr>
          <w:trHeight w:val="178" w:hRule="atLeast"/>
        </w:trPr>
        <w:tc>
          <w:tcPr>
            <w:tcW w:w="5387" w:type="dxa"/>
            <w:gridSpan w:val="10"/>
            <w:tcBorders>
              <w:top w:val="single" w:sz="18" w:space="0" w:color="000001"/>
              <w:left w:val="single" w:sz="1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Zákonná povinnosť odobrať určité množstvo produktu </w:t>
            </w:r>
          </w:p>
        </w:tc>
        <w:tc>
          <w:tcPr>
            <w:tcW w:w="1983" w:type="dxa"/>
            <w:gridSpan w:val="3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88" w:hRule="atLeast"/>
        </w:trPr>
        <w:tc>
          <w:tcPr>
            <w:tcW w:w="5387" w:type="dxa"/>
            <w:gridSpan w:val="10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Zmluvná povinnosť odobrať určité množstvo produktu </w:t>
            </w:r>
          </w:p>
        </w:tc>
        <w:tc>
          <w:tcPr>
            <w:tcW w:w="1983" w:type="dxa"/>
            <w:gridSpan w:val="3"/>
            <w:tcBorders>
              <w:top w:val="single" w:sz="4" w:space="0" w:color="00000A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20" w:hRule="atLeast"/>
        </w:trPr>
        <w:tc>
          <w:tcPr>
            <w:tcW w:w="5387" w:type="dxa"/>
            <w:gridSpan w:val="10"/>
            <w:tcBorders>
              <w:top w:val="single" w:sz="4" w:space="0" w:color="000001"/>
              <w:left w:val="single" w:sz="1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Povinnosť uskutočniť investície </w:t>
            </w:r>
          </w:p>
        </w:tc>
        <w:tc>
          <w:tcPr>
            <w:tcW w:w="1983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8" w:space="0" w:color="000001"/>
              <w:insideH w:val="single" w:sz="4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97" w:hRule="atLeast"/>
        </w:trPr>
        <w:tc>
          <w:tcPr>
            <w:tcW w:w="5387" w:type="dxa"/>
            <w:gridSpan w:val="10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Povinnosť uskutočniť veľké opravy</w:t>
            </w:r>
          </w:p>
        </w:tc>
        <w:tc>
          <w:tcPr>
            <w:tcW w:w="1983" w:type="dxa"/>
            <w:gridSpan w:val="3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3" w:hRule="exact"/>
        </w:trPr>
        <w:tc>
          <w:tcPr>
            <w:tcW w:w="993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</w:r>
          </w:p>
        </w:tc>
        <w:tc>
          <w:tcPr>
            <w:tcW w:w="951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047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105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028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262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718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265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684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302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</w:tr>
      <w:tr>
        <w:trPr>
          <w:trHeight w:val="330" w:hRule="atLeast"/>
        </w:trPr>
        <w:tc>
          <w:tcPr>
            <w:tcW w:w="1945" w:type="dxa"/>
            <w:gridSpan w:val="3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Tabuľka č. 2</w:t>
            </w:r>
          </w:p>
        </w:tc>
        <w:tc>
          <w:tcPr>
            <w:tcW w:w="1047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104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029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262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717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265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1684" w:type="dxa"/>
            <w:gridSpan w:val="2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  <w:tc>
          <w:tcPr>
            <w:tcW w:w="302" w:type="dxa"/>
            <w:tcBorders>
              <w:top w:val="single" w:sz="18" w:space="0" w:color="000001"/>
              <w:bottom w:val="single" w:sz="18" w:space="0" w:color="000001"/>
              <w:insideH w:val="single" w:sz="18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</w:r>
          </w:p>
        </w:tc>
      </w:tr>
      <w:tr>
        <w:trPr>
          <w:trHeight w:val="529" w:hRule="atLeast"/>
        </w:trPr>
        <w:tc>
          <w:tcPr>
            <w:tcW w:w="5387" w:type="dxa"/>
            <w:gridSpan w:val="10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Druh podmieneného záväzku alebo ostatnej finančnej povinnosti, ktorá sa nevykazuje v účtovných výkazoch</w:t>
            </w:r>
          </w:p>
        </w:tc>
        <w:tc>
          <w:tcPr>
            <w:tcW w:w="3968" w:type="dxa"/>
            <w:gridSpan w:val="5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266" w:hRule="atLeast"/>
        </w:trPr>
        <w:tc>
          <w:tcPr>
            <w:tcW w:w="5387" w:type="dxa"/>
            <w:gridSpan w:val="10"/>
            <w:vMerge w:val="continue"/>
            <w:tcBorders>
              <w:top w:val="single" w:sz="12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83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 celkom</w:t>
            </w:r>
          </w:p>
        </w:tc>
        <w:tc>
          <w:tcPr>
            <w:tcW w:w="1985" w:type="dxa"/>
            <w:gridSpan w:val="2"/>
            <w:tcBorders>
              <w:top w:val="single" w:sz="12" w:space="0" w:color="000001"/>
              <w:left w:val="single" w:sz="12" w:space="0" w:color="00000A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Spriaznené osoby</w:t>
            </w:r>
          </w:p>
        </w:tc>
      </w:tr>
      <w:tr>
        <w:trPr>
          <w:trHeight w:val="256" w:hRule="atLeast"/>
        </w:trPr>
        <w:tc>
          <w:tcPr>
            <w:tcW w:w="5387" w:type="dxa"/>
            <w:gridSpan w:val="10"/>
            <w:tcBorders>
              <w:top w:val="single" w:sz="18" w:space="0" w:color="000001"/>
              <w:left w:val="single" w:sz="1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Zákonná povinnosť odobrať určité množstvo produktu </w:t>
            </w:r>
          </w:p>
        </w:tc>
        <w:tc>
          <w:tcPr>
            <w:tcW w:w="1983" w:type="dxa"/>
            <w:gridSpan w:val="3"/>
            <w:tcBorders>
              <w:top w:val="single" w:sz="18" w:space="0" w:color="000001"/>
              <w:left w:val="single" w:sz="12" w:space="0" w:color="000001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18" w:space="0" w:color="000001"/>
              <w:left w:val="single" w:sz="12" w:space="0" w:color="00000A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5387" w:type="dxa"/>
            <w:gridSpan w:val="10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Zmluvná povinnosť odobrať určité množstvo produktu </w:t>
            </w:r>
          </w:p>
        </w:tc>
        <w:tc>
          <w:tcPr>
            <w:tcW w:w="1983" w:type="dxa"/>
            <w:gridSpan w:val="3"/>
            <w:tcBorders>
              <w:top w:val="single" w:sz="4" w:space="0" w:color="00000A"/>
              <w:left w:val="single" w:sz="12" w:space="0" w:color="000001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1"/>
              <w:insideH w:val="single" w:sz="4" w:space="0" w:color="00000A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29" w:hRule="atLeast"/>
        </w:trPr>
        <w:tc>
          <w:tcPr>
            <w:tcW w:w="5387" w:type="dxa"/>
            <w:gridSpan w:val="10"/>
            <w:tcBorders>
              <w:top w:val="single" w:sz="4" w:space="0" w:color="000001"/>
              <w:left w:val="single" w:sz="18" w:space="0" w:color="000001"/>
              <w:bottom w:val="single" w:sz="4" w:space="0" w:color="000001"/>
              <w:right w:val="single" w:sz="12" w:space="0" w:color="000001"/>
              <w:insideH w:val="single" w:sz="4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Povinnosť uskutočniť investície </w:t>
            </w:r>
          </w:p>
        </w:tc>
        <w:tc>
          <w:tcPr>
            <w:tcW w:w="1983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single" w:sz="12" w:space="0" w:color="00000A"/>
              <w:insideH w:val="single" w:sz="4" w:space="0" w:color="000001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1"/>
              <w:left w:val="single" w:sz="12" w:space="0" w:color="00000A"/>
              <w:bottom w:val="single" w:sz="4" w:space="0" w:color="000001"/>
              <w:right w:val="single" w:sz="18" w:space="0" w:color="000001"/>
              <w:insideH w:val="single" w:sz="4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46" w:hRule="atLeast"/>
        </w:trPr>
        <w:tc>
          <w:tcPr>
            <w:tcW w:w="5387" w:type="dxa"/>
            <w:gridSpan w:val="10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Povinnosť uskutočniť veľké opravy</w:t>
            </w:r>
          </w:p>
        </w:tc>
        <w:tc>
          <w:tcPr>
            <w:tcW w:w="1983" w:type="dxa"/>
            <w:gridSpan w:val="3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2" w:space="0" w:color="00000A"/>
              <w:insideH w:val="single" w:sz="18" w:space="0" w:color="000001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18" w:space="0" w:color="000001"/>
              <w:left w:val="single" w:sz="12" w:space="0" w:color="00000A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44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podmienených záväzkov</w:t>
      </w: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V. 3</w:t>
        <w:tab/>
        <w:t>Informácie o údajoch na podsúvahových účtoch</w:t>
      </w:r>
    </w:p>
    <w:tbl>
      <w:tblPr>
        <w:tblW w:w="9341" w:type="dxa"/>
        <w:jc w:val="left"/>
        <w:tblInd w:w="-22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2" w:space="0" w:color="000001"/>
          <w:insideH w:val="single" w:sz="18" w:space="0" w:color="000001"/>
          <w:insideV w:val="single" w:sz="12" w:space="0" w:color="000001"/>
        </w:tblBorders>
        <w:tblCellMar>
          <w:top w:w="0" w:type="dxa"/>
          <w:left w:w="46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138"/>
        <w:gridCol w:w="2651"/>
        <w:gridCol w:w="2552"/>
      </w:tblGrid>
      <w:tr>
        <w:trPr>
          <w:trHeight w:val="330" w:hRule="atLeast"/>
        </w:trPr>
        <w:tc>
          <w:tcPr>
            <w:tcW w:w="4138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Názov položky</w:t>
            </w:r>
          </w:p>
        </w:tc>
        <w:tc>
          <w:tcPr>
            <w:tcW w:w="2651" w:type="dxa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BO</w:t>
            </w:r>
          </w:p>
        </w:tc>
        <w:tc>
          <w:tcPr>
            <w:tcW w:w="2552" w:type="dxa"/>
            <w:tcBorders>
              <w:top w:val="single" w:sz="1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PO</w:t>
            </w:r>
          </w:p>
        </w:tc>
      </w:tr>
      <w:tr>
        <w:trPr>
          <w:trHeight w:val="144" w:hRule="atLeast"/>
        </w:trPr>
        <w:tc>
          <w:tcPr>
            <w:tcW w:w="4138" w:type="dxa"/>
            <w:tcBorders>
              <w:top w:val="single" w:sz="1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Prenajatý majetok</w:t>
            </w:r>
          </w:p>
        </w:tc>
        <w:tc>
          <w:tcPr>
            <w:tcW w:w="2651" w:type="dxa"/>
            <w:tcBorders>
              <w:top w:val="single" w:sz="1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1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54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Majetok v nájme (operatívny prenájom)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86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Majetok prijatý do úschovy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04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Pohľadávky z derivátov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23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Záväzky z opcií derivátov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Odpísané pohľadávky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273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Pohľadávky z leasingu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20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Záväzky z leasingu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  <w:tr>
        <w:trPr>
          <w:trHeight w:val="138" w:hRule="atLeast"/>
        </w:trPr>
        <w:tc>
          <w:tcPr>
            <w:tcW w:w="4138" w:type="dxa"/>
            <w:tcBorders>
              <w:top w:val="single" w:sz="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6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položky</w:t>
            </w:r>
          </w:p>
        </w:tc>
        <w:tc>
          <w:tcPr>
            <w:tcW w:w="2651" w:type="dxa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62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firstLine="663"/>
              <w:jc w:val="right"/>
              <w:rPr>
                <w:rFonts w:ascii="Times New Roman" w:hAnsi="Times New Roman" w:eastAsia="Times New Roman" w:cs="Times New Roman"/>
                <w:b/>
                <w:b/>
                <w:bCs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sumách na podsúvahových účtoch: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color w:val="5B9BD5" w:themeColor="accent1"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color w:val="5B9BD5" w:themeColor="accent1"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rPr>
          <w:rFonts w:ascii="Times New Roman" w:hAnsi="Times New Roman" w:cs="Times New Roman"/>
          <w:b/>
          <w:b/>
          <w:color w:val="5B9BD5" w:themeColor="accent1"/>
          <w:szCs w:val="24"/>
        </w:rPr>
      </w:pPr>
      <w:r>
        <w:rPr>
          <w:rFonts w:cs="Times New Roman" w:ascii="Times New Roman" w:hAnsi="Times New Roman"/>
          <w:b/>
          <w:color w:val="5B9BD5" w:themeColor="accent1"/>
          <w:szCs w:val="24"/>
        </w:rPr>
        <w:t>Čl. VI</w:t>
        <w:tab/>
        <w:t> Udalosti, ktoré nastali po dni, ku ktorému sa zostavuje účtovná závierka</w:t>
      </w:r>
    </w:p>
    <w:p>
      <w:pPr>
        <w:pStyle w:val="Normal"/>
        <w:spacing w:lineRule="auto" w:line="240"/>
        <w:ind w:left="1134" w:hanging="1134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VI. a) – j)   Udalosti, ktoré nastali po dni, ku ktorému sa zostavuje účtovná závierka</w:t>
      </w:r>
    </w:p>
    <w:tbl>
      <w:tblPr>
        <w:tblW w:w="9341" w:type="dxa"/>
        <w:jc w:val="left"/>
        <w:tblInd w:w="-22" w:type="dxa"/>
        <w:tblBorders>
          <w:top w:val="single" w:sz="18" w:space="0" w:color="000001"/>
          <w:left w:val="single" w:sz="18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139"/>
        <w:gridCol w:w="1941"/>
        <w:gridCol w:w="1701"/>
        <w:gridCol w:w="1559"/>
      </w:tblGrid>
      <w:tr>
        <w:trPr>
          <w:trHeight w:val="330" w:hRule="atLeast"/>
        </w:trPr>
        <w:tc>
          <w:tcPr>
            <w:tcW w:w="4139" w:type="dxa"/>
            <w:vMerge w:val="restart"/>
            <w:tcBorders>
              <w:top w:val="single" w:sz="18" w:space="0" w:color="000001"/>
              <w:left w:val="single" w:sz="18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Zoznam udalostí, ktoré nastali alebo sú dôsledkom okolností po dni, ku ktorému sa zostavuje účtovná závierka do dňa zostavenia účtovnej závierky</w:t>
            </w:r>
          </w:p>
        </w:tc>
        <w:tc>
          <w:tcPr>
            <w:tcW w:w="1941" w:type="dxa"/>
            <w:vMerge w:val="restart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Dôvod</w:t>
            </w:r>
          </w:p>
        </w:tc>
        <w:tc>
          <w:tcPr>
            <w:tcW w:w="3260" w:type="dxa"/>
            <w:gridSpan w:val="2"/>
            <w:tcBorders>
              <w:top w:val="single" w:sz="18" w:space="0" w:color="000001"/>
              <w:left w:val="single" w:sz="12" w:space="0" w:color="000001"/>
              <w:bottom w:val="single" w:sz="12" w:space="0" w:color="000001"/>
              <w:right w:val="single" w:sz="18" w:space="0" w:color="000001"/>
              <w:insideH w:val="single" w:sz="12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Hodnota</w:t>
            </w:r>
          </w:p>
        </w:tc>
      </w:tr>
      <w:tr>
        <w:trPr>
          <w:trHeight w:val="318" w:hRule="atLeast"/>
        </w:trPr>
        <w:tc>
          <w:tcPr>
            <w:tcW w:w="4139" w:type="dxa"/>
            <w:vMerge w:val="continue"/>
            <w:tcBorders>
              <w:top w:val="single" w:sz="12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</w:r>
          </w:p>
        </w:tc>
        <w:tc>
          <w:tcPr>
            <w:tcW w:w="1941" w:type="dxa"/>
            <w:vMerge w:val="continue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1701" w:type="dxa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BO</w:t>
            </w:r>
          </w:p>
        </w:tc>
        <w:tc>
          <w:tcPr>
            <w:tcW w:w="1559" w:type="dxa"/>
            <w:tcBorders>
              <w:top w:val="single" w:sz="12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PO</w:t>
            </w:r>
          </w:p>
        </w:tc>
      </w:tr>
      <w:tr>
        <w:trPr>
          <w:trHeight w:val="1192" w:hRule="atLeast"/>
        </w:trPr>
        <w:tc>
          <w:tcPr>
            <w:tcW w:w="4139" w:type="dxa"/>
            <w:tcBorders>
              <w:top w:val="single" w:sz="18" w:space="0" w:color="000001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Pokles alebo zvýšenie trhovej ceny finančného majetku ako dôsledku udalostí, ktoré nastali po dni, ku ktorému sa zostavuje účtovná závierka do dňa zostavenia účtovnej závierky, s uvedením dôvodu týchto zmien</w:t>
            </w:r>
          </w:p>
        </w:tc>
        <w:tc>
          <w:tcPr>
            <w:tcW w:w="1941" w:type="dxa"/>
            <w:tcBorders>
              <w:top w:val="single" w:sz="1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1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635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Zmena výšky rezerv a opravných položiek, o ktorých sa účtovná jednotka dozvedela v hore uvedenom období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78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Zmena spoločníkov účtovnej jednotky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66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Prijatie rozhodnutia o predaji účtovnej jednotky, alebo jej časti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46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Zmeny významných položiek dlhodobého finančného majetku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600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Začatie alebo ukončenie činnosti časti účtovnej jednotky (napr. prevádzkarne)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36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Vydanie dlhopisov a iných cenných papierov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38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Zlúčenie, splynutie, rozdelenie a zmena právnej formy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59" w:hRule="atLeast"/>
        </w:trPr>
        <w:tc>
          <w:tcPr>
            <w:tcW w:w="4139" w:type="dxa"/>
            <w:tcBorders>
              <w:top w:val="single" w:sz="4" w:space="0" w:color="00000A"/>
              <w:left w:val="single" w:sz="18" w:space="0" w:color="000001"/>
              <w:bottom w:val="single" w:sz="4" w:space="0" w:color="00000A"/>
              <w:right w:val="single" w:sz="12" w:space="0" w:color="000001"/>
              <w:insideH w:val="single" w:sz="4" w:space="0" w:color="00000A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Mimoriadne udalosti (napr. živelné pohromy)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2" w:space="0" w:color="000001"/>
              <w:insideH w:val="single" w:sz="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8" w:space="0" w:color="000001"/>
              <w:right w:val="single" w:sz="18" w:space="0" w:color="000001"/>
              <w:insideH w:val="single" w:sz="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425" w:hRule="atLeast"/>
        </w:trPr>
        <w:tc>
          <w:tcPr>
            <w:tcW w:w="4139" w:type="dxa"/>
            <w:tcBorders>
              <w:top w:val="single" w:sz="18" w:space="0" w:color="000001"/>
              <w:left w:val="single" w:sz="18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Získanie, alebo odobratie licencie alebo iného povolenia významného pre činnosť</w:t>
            </w:r>
          </w:p>
        </w:tc>
        <w:tc>
          <w:tcPr>
            <w:tcW w:w="1941" w:type="dxa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2" w:space="0" w:color="000001"/>
              <w:insideH w:val="single" w:sz="18" w:space="0" w:color="000001"/>
              <w:insideV w:val="single" w:sz="12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1"/>
              <w:left w:val="single" w:sz="12" w:space="0" w:color="000001"/>
              <w:bottom w:val="single" w:sz="18" w:space="0" w:color="000001"/>
              <w:right w:val="single" w:sz="18" w:space="0" w:color="000001"/>
              <w:insideH w:val="single" w:sz="18" w:space="0" w:color="000001"/>
              <w:insideV w:val="single" w:sz="18" w:space="0" w:color="000001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Ďalšie dôležité informácie o skutočnostiach, ktoré nastali po dni, ku ktorému sa zostavuje účtovná závierka do dňa zostavenia účtovnej závierky: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rPr>
          <w:rFonts w:ascii="Times New Roman" w:hAnsi="Times New Roman" w:cs="Times New Roman"/>
          <w:b/>
          <w:b/>
          <w:color w:val="5B9BD5" w:themeColor="accent1"/>
          <w:szCs w:val="24"/>
        </w:rPr>
      </w:pPr>
      <w:r>
        <w:rPr>
          <w:rFonts w:cs="Times New Roman" w:ascii="Times New Roman" w:hAnsi="Times New Roman"/>
          <w:b/>
          <w:color w:val="5B9BD5" w:themeColor="accent1"/>
          <w:szCs w:val="24"/>
        </w:rPr>
        <w:t>Čl. VII</w:t>
        <w:tab/>
        <w:t> Ostatné informácie</w:t>
      </w:r>
    </w:p>
    <w:p>
      <w:pPr>
        <w:pStyle w:val="Normal"/>
        <w:spacing w:lineRule="auto" w:line="240" w:before="0" w:after="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VII. 1 </w:t>
        <w:tab/>
        <w:t xml:space="preserve"> Informácie o výlučných právach alebo osobitných právach udelených účtovnej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a) – c)</w:t>
        <w:tab/>
        <w:t xml:space="preserve">      jednotke     </w:t>
      </w:r>
    </w:p>
    <w:p>
      <w:pPr>
        <w:pStyle w:val="Normal"/>
        <w:spacing w:lineRule="auto" w:line="240" w:before="240" w:after="160"/>
        <w:jc w:val="both"/>
        <w:rPr>
          <w:rFonts w:ascii="Times New Roman" w:hAnsi="Times New Roman" w:eastAsia="MS Gothic" w:cs="Times New Roman"/>
          <w:b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Ďalšie informácie týkajúce sa údelných výlučných práv alebo osobitných práv, a práv poskytovať služby vo verejnom záujme </w:t>
      </w:r>
      <w:r>
        <w:rPr>
          <w:rFonts w:eastAsia="MS Gothic" w:cs="Times New Roman" w:ascii="Times New Roman" w:hAnsi="Times New Roman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(formy prijatej náhrady, účtovné zásady použité pri prideľovaní nákladov a výnosov, všetky druhy činností účtovnej jednotky):</w:t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VII. 2 a) </w:t>
        <w:tab/>
        <w:t>Informácie týkajúce sa účtovnej jednotky, na ktorú sa vzťahuje § 23d ods. 6 ZoÚ, jej činnosť je zaradená do kategórie priemyselnej výroby a jej čistý obrat za bezprostredne predchádzajúce účtovné obdobie bol väčší ako 250 000 000 €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1958"/>
        <w:gridCol w:w="1713"/>
        <w:gridCol w:w="1984"/>
        <w:gridCol w:w="1701"/>
        <w:gridCol w:w="1985"/>
      </w:tblGrid>
      <w:tr>
        <w:trPr>
          <w:trHeight w:val="504" w:hRule="atLeast"/>
        </w:trPr>
        <w:tc>
          <w:tcPr>
            <w:tcW w:w="1958" w:type="dxa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Informácie o</w:t>
            </w:r>
          </w:p>
        </w:tc>
        <w:tc>
          <w:tcPr>
            <w:tcW w:w="3697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  <w:tc>
          <w:tcPr>
            <w:tcW w:w="3686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256" w:hRule="atLeast"/>
        </w:trPr>
        <w:tc>
          <w:tcPr>
            <w:tcW w:w="1958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3697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Vlastníctvo pripadajúce na:</w:t>
            </w:r>
          </w:p>
        </w:tc>
        <w:tc>
          <w:tcPr>
            <w:tcW w:w="3686" w:type="dxa"/>
            <w:gridSpan w:val="2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Vlastníctvo pripadajúce na:</w:t>
            </w:r>
          </w:p>
        </w:tc>
      </w:tr>
      <w:tr>
        <w:trPr>
          <w:trHeight w:val="1110" w:hRule="atLeast"/>
        </w:trPr>
        <w:tc>
          <w:tcPr>
            <w:tcW w:w="1958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1713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orgány verejnej              moci</w:t>
            </w:r>
          </w:p>
        </w:tc>
        <w:tc>
          <w:tcPr>
            <w:tcW w:w="198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iné osoby, v ktorých má orgán verejnej moci väčšinový podiel na hlasovacích právach</w:t>
            </w:r>
          </w:p>
        </w:tc>
        <w:tc>
          <w:tcPr>
            <w:tcW w:w="1701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orgány verejnej moci</w:t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iné osoby, v ktorých má orgán verejnej moci väčšinový podiel na hlasovacích právach</w:t>
            </w:r>
          </w:p>
        </w:tc>
      </w:tr>
      <w:tr>
        <w:trPr>
          <w:trHeight w:val="64" w:hRule="atLeast"/>
        </w:trPr>
        <w:tc>
          <w:tcPr>
            <w:tcW w:w="195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a</w:t>
            </w:r>
          </w:p>
        </w:tc>
        <w:tc>
          <w:tcPr>
            <w:tcW w:w="1713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b</w:t>
            </w:r>
          </w:p>
        </w:tc>
        <w:tc>
          <w:tcPr>
            <w:tcW w:w="198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c</w:t>
            </w:r>
          </w:p>
        </w:tc>
        <w:tc>
          <w:tcPr>
            <w:tcW w:w="170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d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e</w:t>
            </w:r>
          </w:p>
        </w:tc>
      </w:tr>
      <w:tr>
        <w:trPr>
          <w:trHeight w:val="330" w:hRule="atLeast"/>
        </w:trPr>
        <w:tc>
          <w:tcPr>
            <w:tcW w:w="195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sk-SK"/>
              </w:rPr>
              <w:t>Výška ZI</w:t>
            </w:r>
          </w:p>
        </w:tc>
        <w:tc>
          <w:tcPr>
            <w:tcW w:w="1713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1958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Druh akcií</w:t>
            </w:r>
          </w:p>
        </w:tc>
        <w:tc>
          <w:tcPr>
            <w:tcW w:w="1713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870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Opis práv a povinností s nimi spojených 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72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Percentuálny podiel na celkovom ZI alebo hodnote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08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Percentuálna výška podielu na ZI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927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Hlasovacie práva spojené s vlastníctvom podielov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272" w:hRule="atLeast"/>
        </w:trPr>
        <w:tc>
          <w:tcPr>
            <w:tcW w:w="1958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Druh akcií</w:t>
            </w:r>
          </w:p>
        </w:tc>
        <w:tc>
          <w:tcPr>
            <w:tcW w:w="1713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870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Opis práv a povinností s nimi spojených 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694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Percentuálny podiel na celkovom ZI alebo hodnote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506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Percentuálna výška podielu na ZI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941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Hlasovacie práva spojené s vlastníctvom podielov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1958" w:type="dxa"/>
            <w:tcBorders>
              <w:top w:val="single" w:sz="12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Druh akcií</w:t>
            </w:r>
          </w:p>
        </w:tc>
        <w:tc>
          <w:tcPr>
            <w:tcW w:w="1713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633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Opis práv a povinností s nimi spojených 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701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Percentuálny podiel na celkovom ZI alebo hodnote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372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Percentuálna výška podielu na ZI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  <w:tr>
        <w:trPr>
          <w:trHeight w:val="833" w:hRule="atLeast"/>
        </w:trPr>
        <w:tc>
          <w:tcPr>
            <w:tcW w:w="1958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Hlasovacie práva spojené s vlastníctvom podielov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2F75B5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2F75B5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 w:before="0" w:after="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VII. 2 </w:t>
        <w:tab/>
        <w:t xml:space="preserve">Informácie týkajúce sa účtovnej jednotky, na ktorú sa vzťahuje § 23d ods. 6 ZoÚ, jej </w:t>
      </w:r>
    </w:p>
    <w:p>
      <w:pPr>
        <w:pStyle w:val="Normal"/>
        <w:spacing w:lineRule="auto" w:line="240"/>
        <w:ind w:left="993" w:hanging="993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b) - g)      činnosť je zaradená do kategórie priemyselnej výroby a jej čistý obrat za bezprostredne predchádzajúce účtovné obdobie bol väčší ako 250 000 000 €</w:t>
      </w:r>
    </w:p>
    <w:tbl>
      <w:tblPr>
        <w:tblW w:w="9333" w:type="dxa"/>
        <w:jc w:val="left"/>
        <w:tblInd w:w="-22" w:type="dxa"/>
        <w:tblBorders>
          <w:top w:val="single" w:sz="18" w:space="0" w:color="00000A"/>
          <w:left w:val="single" w:sz="18" w:space="0" w:color="00000A"/>
          <w:right w:val="single" w:sz="12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140"/>
        <w:gridCol w:w="2641"/>
        <w:gridCol w:w="2552"/>
      </w:tblGrid>
      <w:tr>
        <w:trPr>
          <w:trHeight w:val="330" w:hRule="atLeast"/>
        </w:trPr>
        <w:tc>
          <w:tcPr>
            <w:tcW w:w="4140" w:type="dxa"/>
            <w:vMerge w:val="restart"/>
            <w:tcBorders>
              <w:top w:val="single" w:sz="18" w:space="0" w:color="00000A"/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Informácie o</w:t>
            </w:r>
          </w:p>
        </w:tc>
        <w:tc>
          <w:tcPr>
            <w:tcW w:w="5193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Suma</w:t>
            </w:r>
          </w:p>
        </w:tc>
      </w:tr>
      <w:tr>
        <w:trPr>
          <w:trHeight w:val="491" w:hRule="atLeast"/>
        </w:trPr>
        <w:tc>
          <w:tcPr>
            <w:tcW w:w="4140" w:type="dxa"/>
            <w:vMerge w:val="continue"/>
            <w:tcBorders>
              <w:top w:val="single" w:sz="12" w:space="0" w:color="00000A"/>
              <w:left w:val="single" w:sz="18" w:space="0" w:color="00000A"/>
              <w:right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2641" w:type="dxa"/>
            <w:tcBorders>
              <w:top w:val="single" w:sz="12" w:space="0" w:color="00000A"/>
              <w:left w:val="single" w:sz="12" w:space="0" w:color="00000A"/>
              <w:right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  <w:tc>
          <w:tcPr>
            <w:tcW w:w="2552" w:type="dxa"/>
            <w:tcBorders>
              <w:top w:val="single" w:sz="12" w:space="0" w:color="00000A"/>
              <w:left w:val="single" w:sz="12" w:space="0" w:color="00000A"/>
              <w:right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4140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a</w:t>
            </w:r>
          </w:p>
        </w:tc>
        <w:tc>
          <w:tcPr>
            <w:tcW w:w="2641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b</w:t>
            </w:r>
          </w:p>
        </w:tc>
        <w:tc>
          <w:tcPr>
            <w:tcW w:w="2552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c</w:t>
            </w:r>
          </w:p>
        </w:tc>
      </w:tr>
      <w:tr>
        <w:trPr>
          <w:trHeight w:val="934" w:hRule="atLeast"/>
        </w:trPr>
        <w:tc>
          <w:tcPr>
            <w:tcW w:w="4140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Cenné papiere vo vlastníctve orgánov verejnej moci a iných osôb, v ktorých má orgán verejnej moci väčšinový podiel na hlasovacích právach </w:t>
            </w:r>
          </w:p>
        </w:tc>
        <w:tc>
          <w:tcPr>
            <w:tcW w:w="2641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90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Dotácie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223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Návratné finančné výpomoci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98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Prijaté úvery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17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Poskytnutie prečerpania úverov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418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Prijaté kapitálové príspevky s uvedením úrokových sadzieb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56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Záruky poskytnuté účtovnou jednotkou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202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Záruky poskytnuté orgánom verejnej správy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362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Záruky poskytnuté inou účtovnou jednotkou, v ktorej má orgán verejnej moci väčšinový podiel na hlasovacích právach 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74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Vyplatené dividendy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93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Výška nerozdeleného zisku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68" w:hRule="atLeast"/>
        </w:trPr>
        <w:tc>
          <w:tcPr>
            <w:tcW w:w="4140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Iné formy prijatej štátnej pomoci</w:t>
            </w:r>
          </w:p>
        </w:tc>
        <w:tc>
          <w:tcPr>
            <w:tcW w:w="2641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</w:tbl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MS Gothic" w:cs="Times New Roman"/>
          <w:b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:sz w:val="24"/>
          <w:szCs w:val="24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r>
    </w:p>
    <w:p>
      <w:pPr>
        <w:pStyle w:val="Normal"/>
        <w:spacing w:lineRule="auto" w:line="240"/>
        <w:ind w:left="709" w:hanging="709"/>
        <w:jc w:val="both"/>
        <w:rPr>
          <w:rFonts w:ascii="Times New Roman" w:hAnsi="Times New Roman" w:eastAsia="MS Gothic" w:cs="Times New Roman"/>
          <w:b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rFonts w:eastAsia="MS Gothic" w:cs="Times New Roman" w:ascii="Times New Roman" w:hAnsi="Times New Roman"/>
          <w:b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VII. 3 </w:t>
        <w:tab/>
        <w:t>Informácie týkajúce sa účtovnej jednotky, na ktorú sa vzťahuje § 23d ods. 6 ZoÚ, jej činnosť je zaradená do kategórie priemyselnej výroby a jej čistý obrat za bezprostredne predchádzajúce účtovné obdobie bol väčší ako 250 000 000 € o finančných vzťahoch medzi orgánom verejnej moci a účtovnou jednotkou:</w:t>
      </w:r>
    </w:p>
    <w:tbl>
      <w:tblPr>
        <w:tblW w:w="9341" w:type="dxa"/>
        <w:jc w:val="left"/>
        <w:tblInd w:w="-22" w:type="dxa"/>
        <w:tblBorders>
          <w:top w:val="single" w:sz="18" w:space="0" w:color="00000A"/>
          <w:left w:val="single" w:sz="18" w:space="0" w:color="00000A"/>
          <w:bottom w:val="single" w:sz="12" w:space="0" w:color="00000A"/>
          <w:right w:val="single" w:sz="12" w:space="0" w:color="00000A"/>
          <w:insideH w:val="single" w:sz="12" w:space="0" w:color="00000A"/>
          <w:insideV w:val="single" w:sz="12" w:space="0" w:color="00000A"/>
        </w:tblBorders>
        <w:tblCellMar>
          <w:top w:w="0" w:type="dxa"/>
          <w:left w:w="24" w:type="dxa"/>
          <w:bottom w:w="0" w:type="dxa"/>
          <w:right w:w="70" w:type="dxa"/>
        </w:tblCellMar>
        <w:tblLook w:val="04a0" w:noVBand="1" w:noHBand="0" w:lastColumn="0" w:firstColumn="1" w:lastRow="0" w:firstRow="1"/>
      </w:tblPr>
      <w:tblGrid>
        <w:gridCol w:w="4138"/>
        <w:gridCol w:w="2509"/>
        <w:gridCol w:w="2694"/>
      </w:tblGrid>
      <w:tr>
        <w:trPr>
          <w:trHeight w:val="205" w:hRule="atLeast"/>
        </w:trPr>
        <w:tc>
          <w:tcPr>
            <w:tcW w:w="4138" w:type="dxa"/>
            <w:vMerge w:val="restart"/>
            <w:tcBorders>
              <w:top w:val="single" w:sz="18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Informácie o</w:t>
            </w:r>
          </w:p>
        </w:tc>
        <w:tc>
          <w:tcPr>
            <w:tcW w:w="5203" w:type="dxa"/>
            <w:gridSpan w:val="2"/>
            <w:tcBorders>
              <w:top w:val="single" w:sz="18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Suma</w:t>
            </w:r>
          </w:p>
        </w:tc>
      </w:tr>
      <w:tr>
        <w:trPr>
          <w:trHeight w:val="565" w:hRule="atLeast"/>
        </w:trPr>
        <w:tc>
          <w:tcPr>
            <w:tcW w:w="4138" w:type="dxa"/>
            <w:vMerge w:val="continue"/>
            <w:tcBorders>
              <w:top w:val="single" w:sz="12" w:space="0" w:color="00000A"/>
              <w:left w:val="single" w:sz="18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</w:r>
          </w:p>
        </w:tc>
        <w:tc>
          <w:tcPr>
            <w:tcW w:w="250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Bežné účtovné obdobie</w:t>
            </w:r>
          </w:p>
        </w:tc>
        <w:tc>
          <w:tcPr>
            <w:tcW w:w="269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8" w:space="0" w:color="00000A"/>
              <w:insideH w:val="single" w:sz="12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sk-SK"/>
              </w:rPr>
              <w:t>Bezprostredne predchádzajúce účtovné obdobie</w:t>
            </w:r>
          </w:p>
        </w:tc>
      </w:tr>
      <w:tr>
        <w:trPr>
          <w:trHeight w:val="82" w:hRule="atLeast"/>
        </w:trPr>
        <w:tc>
          <w:tcPr>
            <w:tcW w:w="4138" w:type="dxa"/>
            <w:tcBorders>
              <w:top w:val="single" w:sz="18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a</w:t>
            </w:r>
          </w:p>
        </w:tc>
        <w:tc>
          <w:tcPr>
            <w:tcW w:w="2509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b</w:t>
            </w:r>
          </w:p>
        </w:tc>
        <w:tc>
          <w:tcPr>
            <w:tcW w:w="2694" w:type="dxa"/>
            <w:tcBorders>
              <w:top w:val="single" w:sz="18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c</w:t>
            </w:r>
          </w:p>
        </w:tc>
      </w:tr>
      <w:tr>
        <w:trPr>
          <w:trHeight w:val="281" w:hRule="atLeast"/>
        </w:trPr>
        <w:tc>
          <w:tcPr>
            <w:tcW w:w="4138" w:type="dxa"/>
            <w:tcBorders>
              <w:top w:val="single" w:sz="18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 xml:space="preserve">Náhrady strát z hospodárskej činnosti </w:t>
            </w:r>
          </w:p>
        </w:tc>
        <w:tc>
          <w:tcPr>
            <w:tcW w:w="2509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18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278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Peňažné vklady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40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Nepeňažné vklady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59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Nenávratné finančné príspevky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76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Pôžičky za zvýhodnených podmienok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336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Finančné výhody (napr. nevymáhanie pohľadávky voči účtovnej jednotke)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103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Vzdanie sa dividend alebo podielov na zisku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  <w:insideH w:val="single" w:sz="4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8" w:space="0" w:color="00000A"/>
              <w:insideH w:val="single" w:sz="4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  <w:tr>
        <w:trPr>
          <w:trHeight w:val="404" w:hRule="atLeast"/>
        </w:trPr>
        <w:tc>
          <w:tcPr>
            <w:tcW w:w="4138" w:type="dxa"/>
            <w:tcBorders>
              <w:top w:val="single" w:sz="4" w:space="0" w:color="00000A"/>
              <w:left w:val="single" w:sz="18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24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sk-SK"/>
              </w:rPr>
              <w:t>Poskytnuté náhrady za finančné povinnosti uložené orgánom verejnej moci</w:t>
            </w:r>
          </w:p>
        </w:tc>
        <w:tc>
          <w:tcPr>
            <w:tcW w:w="2509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2" w:space="0" w:color="00000A"/>
              <w:insideH w:val="single" w:sz="18" w:space="0" w:color="00000A"/>
              <w:insideV w:val="single" w:sz="12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12" w:space="0" w:color="00000A"/>
              <w:bottom w:val="single" w:sz="18" w:space="0" w:color="00000A"/>
              <w:right w:val="single" w:sz="18" w:space="0" w:color="00000A"/>
              <w:insideH w:val="single" w:sz="18" w:space="0" w:color="00000A"/>
              <w:insideV w:val="single" w:sz="18" w:space="0" w:color="00000A"/>
            </w:tcBorders>
            <w:shd w:color="auto" w:fill="auto" w:val="clear"/>
            <w:tcMar>
              <w:left w:w="4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lang w:eastAsia="sk-SK"/>
              </w:rPr>
              <w:t> </w:t>
            </w:r>
          </w:p>
        </w:tc>
      </w:tr>
    </w:tbl>
    <w:p>
      <w:pPr>
        <w:pStyle w:val="Normal"/>
        <w:tabs>
          <w:tab w:val="left" w:pos="3150" w:leader="none"/>
        </w:tabs>
        <w:rPr>
          <w:rFonts w:ascii="Times New Roman" w:hAnsi="Times New Roman" w:eastAsia="MS Gothic" w:cs="Times New Roman"/>
          <w:sz w:val="24"/>
          <w:szCs w:val="24"/>
        </w:rPr>
      </w:pPr>
      <w:r>
        <w:rPr>
          <w:rFonts w:eastAsia="MS Gothic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3150" w:leader="none"/>
        </w:tabs>
        <w:spacing w:before="0" w:after="16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133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egoe UI Symbol">
    <w:charset w:val="01"/>
    <w:family w:val="roman"/>
    <w:pitch w:val="variable"/>
  </w:font>
  <w:font w:name="MS Gothic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jc w:val="center"/>
      <w:rPr/>
    </w:pPr>
    <w:r>
      <w:rPr/>
      <w:t xml:space="preserve">Strana </w:t>
    </w:r>
    <w:r>
      <w:rPr/>
      <w:fldChar w:fldCharType="begin"/>
    </w:r>
    <w:r>
      <w:instrText> PAGE </w:instrText>
    </w:r>
    <w:r>
      <w:fldChar w:fldCharType="separate"/>
    </w:r>
    <w:r>
      <w:t>16</w:t>
    </w:r>
    <w:r>
      <w:fldChar w:fldCharType="end"/>
    </w:r>
    <w:r>
      <w:rPr/>
      <w:t xml:space="preserve"> z </w:t>
    </w:r>
    <w:r>
      <w:rPr/>
      <w:fldChar w:fldCharType="begin"/>
    </w:r>
    <w:r>
      <w:instrText> NUMPAGES </w:instrText>
    </w:r>
    <w:r>
      <w:fldChar w:fldCharType="separate"/>
    </w:r>
    <w:r>
      <w:t>16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Mriekatabuky"/>
      <w:tblW w:w="9614" w:type="dxa"/>
      <w:jc w:val="left"/>
      <w:tblInd w:w="0" w:type="dxa"/>
      <w:tblCellMar>
        <w:top w:w="0" w:type="dxa"/>
        <w:left w:w="118" w:type="dxa"/>
        <w:bottom w:w="0" w:type="dxa"/>
        <w:right w:w="108" w:type="dxa"/>
      </w:tblCellMar>
      <w:tblLook w:val="04a0" w:noVBand="1" w:noHBand="0" w:firstRow="1" w:lastRow="0" w:firstColumn="1" w:lastColumn="0"/>
    </w:tblPr>
    <w:tblGrid>
      <w:gridCol w:w="2692"/>
      <w:gridCol w:w="709"/>
      <w:gridCol w:w="297"/>
      <w:gridCol w:w="297"/>
      <w:gridCol w:w="297"/>
      <w:gridCol w:w="297"/>
      <w:gridCol w:w="297"/>
      <w:gridCol w:w="297"/>
      <w:gridCol w:w="297"/>
      <w:gridCol w:w="298"/>
      <w:gridCol w:w="867"/>
      <w:gridCol w:w="297"/>
      <w:gridCol w:w="297"/>
      <w:gridCol w:w="297"/>
      <w:gridCol w:w="297"/>
      <w:gridCol w:w="297"/>
      <w:gridCol w:w="297"/>
      <w:gridCol w:w="297"/>
      <w:gridCol w:w="297"/>
      <w:gridCol w:w="297"/>
      <w:gridCol w:w="293"/>
    </w:tblGrid>
    <w:tr>
      <w:trPr>
        <w:trHeight w:val="138" w:hRule="atLeast"/>
      </w:trPr>
      <w:tc>
        <w:tcPr>
          <w:tcW w:w="2692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ind w:left="-108" w:right="-121" w:hanging="0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Poznámky Úč PODV 3 – 01</w:t>
          </w:r>
        </w:p>
      </w:tc>
      <w:tc>
        <w:tcPr>
          <w:tcW w:w="709" w:type="dxa"/>
          <w:tcBorders>
            <w:top w:val="nil"/>
            <w:left w:val="nil"/>
            <w:bottom w:val="nil"/>
            <w:insideH w:val="nil"/>
          </w:tcBorders>
          <w:shd w:fill="auto" w:val="clear"/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IČO: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rPr/>
          </w:pPr>
          <w:r>
            <w:rPr>
              <w:rFonts w:cs="Times New Roman" w:ascii="Times New Roman" w:hAnsi="Times New Roman"/>
              <w:szCs w:val="24"/>
            </w:rPr>
            <w:t>5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0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1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2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9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0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6</w:t>
          </w:r>
        </w:p>
      </w:tc>
      <w:tc>
        <w:tcPr>
          <w:tcW w:w="298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6</w:t>
          </w:r>
        </w:p>
      </w:tc>
      <w:tc>
        <w:tcPr>
          <w:tcW w:w="867" w:type="dxa"/>
          <w:tcBorders>
            <w:top w:val="nil"/>
            <w:bottom w:val="nil"/>
            <w:insideH w:val="nil"/>
          </w:tcBorders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 xml:space="preserve">  </w:t>
          </w:r>
          <w:r>
            <w:rPr>
              <w:rFonts w:cs="Times New Roman" w:ascii="Times New Roman" w:hAnsi="Times New Roman"/>
              <w:szCs w:val="24"/>
            </w:rPr>
            <w:t>DIČ: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2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1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2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0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1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8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>
              <w:rFonts w:ascii="Times New Roman" w:hAnsi="Times New Roman" w:cs="Times New Roman"/>
              <w:szCs w:val="24"/>
            </w:rPr>
          </w:pPr>
          <w:r>
            <w:rPr>
              <w:rFonts w:cs="Times New Roman" w:ascii="Times New Roman" w:hAnsi="Times New Roman"/>
              <w:szCs w:val="24"/>
            </w:rPr>
            <w:t>2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4</w:t>
          </w:r>
        </w:p>
      </w:tc>
      <w:tc>
        <w:tcPr>
          <w:tcW w:w="297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szCs w:val="24"/>
            </w:rPr>
            <w:t>6</w:t>
          </w:r>
        </w:p>
      </w:tc>
      <w:tc>
        <w:tcPr>
          <w:tcW w:w="293" w:type="dxa"/>
          <w:tcBorders/>
          <w:shd w:fill="auto" w:val="clear"/>
          <w:tcMar>
            <w:left w:w="103" w:type="dxa"/>
          </w:tcMar>
        </w:tcPr>
        <w:p>
          <w:pPr>
            <w:pStyle w:val="Hlavika"/>
            <w:tabs>
              <w:tab w:val="center" w:pos="4536" w:leader="none"/>
              <w:tab w:val="left" w:pos="5106" w:leader="none"/>
              <w:tab w:val="right" w:pos="9072" w:leader="none"/>
            </w:tabs>
            <w:spacing w:lineRule="auto" w:line="240" w:before="0" w:after="0"/>
            <w:jc w:val="center"/>
            <w:rPr/>
          </w:pPr>
          <w:r>
            <w:rPr>
              <w:rFonts w:cs="Times New Roman" w:ascii="Times New Roman" w:hAnsi="Times New Roman"/>
              <w:position w:val="2"/>
              <w:szCs w:val="24"/>
            </w:rPr>
            <w:t>0</w:t>
          </w:r>
        </w:p>
      </w:tc>
    </w:tr>
  </w:tbl>
  <w:p>
    <w:pPr>
      <w:pStyle w:val="Hlavika"/>
      <w:tabs>
        <w:tab w:val="center" w:pos="4536" w:leader="none"/>
        <w:tab w:val="left" w:pos="5106" w:leader="none"/>
        <w:tab w:val="right" w:pos="9072" w:leader="none"/>
      </w:tabs>
      <w:spacing w:before="80" w:after="0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ce03ec"/>
    <w:rPr/>
  </w:style>
  <w:style w:type="character" w:styleId="PtaChar" w:customStyle="1">
    <w:name w:val="Päta Char"/>
    <w:basedOn w:val="DefaultParagraphFont"/>
    <w:link w:val="Pta"/>
    <w:uiPriority w:val="99"/>
    <w:qFormat/>
    <w:rsid w:val="00ce03ec"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ce03e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qFormat/>
    <w:rsid w:val="00173c34"/>
    <w:rPr>
      <w:color w:val="808080"/>
    </w:rPr>
  </w:style>
  <w:style w:type="character" w:styleId="ListLabel1">
    <w:name w:val="ListLabel 1"/>
    <w:qFormat/>
    <w:rPr>
      <w:rFonts w:eastAsia="Calibri"/>
      <w:sz w:val="24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Telotextu">
    <w:name w:val="Body Text"/>
    <w:basedOn w:val="Normal"/>
    <w:pPr>
      <w:spacing w:lineRule="auto" w:line="288" w:before="0" w:after="140"/>
    </w:pPr>
    <w:rPr/>
  </w:style>
  <w:style w:type="paragraph" w:styleId="Zoznam">
    <w:name w:val="List"/>
    <w:basedOn w:val="Telotextu"/>
    <w:pPr/>
    <w:rPr>
      <w:rFonts w:cs="Lohit Devanagari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ce03ec"/>
    <w:pPr>
      <w:spacing w:before="0" w:after="160"/>
      <w:ind w:left="720" w:hanging="0"/>
      <w:contextualSpacing/>
    </w:pPr>
    <w:rPr/>
  </w:style>
  <w:style w:type="paragraph" w:styleId="Hlavika">
    <w:name w:val="Header"/>
    <w:basedOn w:val="Normal"/>
    <w:link w:val="HlavikaChar"/>
    <w:uiPriority w:val="99"/>
    <w:unhideWhenUsed/>
    <w:rsid w:val="00ce03ec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Footer"/>
    <w:basedOn w:val="Normal"/>
    <w:link w:val="PtaChar"/>
    <w:uiPriority w:val="99"/>
    <w:unhideWhenUsed/>
    <w:rsid w:val="00ce03ec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ce03e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39"/>
    <w:rsid w:val="00090e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LibreOffice/5.1.6.2$Linux_X86_64 LibreOffice_project/10m0$Build-2</Application>
  <Pages>16</Pages>
  <Words>2365</Words>
  <Characters>14406</Characters>
  <CharactersWithSpaces>17163</CharactersWithSpaces>
  <Paragraphs>1053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2019-02-11T09:34:00Z</dcterms:created>
  <dc:creator>Martin T</dc:creator>
  <dc:description/>
  <dc:language>sk-SK</dc:language>
  <cp:lastModifiedBy/>
  <cp:lastPrinted>2016-01-29T11:21:00Z</cp:lastPrinted>
  <dcterms:modified xsi:type="dcterms:W3CDTF">2019-06-25T09:27:25Z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