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hanging="142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VŠEOBECNÉ INFORMÁCIE</w:t>
      </w:r>
    </w:p>
    <w:p>
      <w:pPr>
        <w:spacing w:before="0" w:after="0" w:line="240"/>
        <w:ind w:right="0" w:left="0" w:hanging="142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Základné informácie o 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520"/>
        <w:gridCol w:w="6664"/>
      </w:tblGrid>
      <w:tr>
        <w:trPr>
          <w:trHeight w:val="231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Obchodné meno: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JUDr.Ivan Pádej, advokát – AK s.r.o.</w:t>
            </w:r>
          </w:p>
        </w:tc>
      </w:tr>
      <w:tr>
        <w:trPr>
          <w:trHeight w:val="249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Sídlo: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Krížna 336/2, 01701 Považská Bystrica</w:t>
            </w:r>
          </w:p>
        </w:tc>
      </w:tr>
      <w:tr>
        <w:trPr>
          <w:trHeight w:val="125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Právna forma: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čnosť s ručením obmedzeným</w:t>
            </w:r>
          </w:p>
        </w:tc>
      </w:tr>
      <w:tr>
        <w:trPr>
          <w:trHeight w:val="143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Dátum založenia: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43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auto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Dátum vzniku: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Zápis do obchodného registra: 18. apríla 2009,  Obchodný register Okresného súdu Tren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čín, Oddiel: Sro, Vložka číslo: 21544/R</w:t>
            </w:r>
          </w:p>
        </w:tc>
      </w:tr>
      <w:tr>
        <w:trPr>
          <w:trHeight w:val="175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Hlavný predmet podnikania: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Právne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činnosti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</w:tc>
      </w:tr>
      <w:tr>
        <w:trPr>
          <w:trHeight w:val="194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Subjekt verejného záujmu: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čnosť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JUDr.Ivan Pádej, advokát – AK s.r.o.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nie je subjektom verejného záujmu (§ 2/14 zákon o účtovníctve)</w:t>
            </w:r>
          </w:p>
        </w:tc>
      </w:tr>
      <w:tr>
        <w:trPr>
          <w:trHeight w:val="194" w:hRule="auto"/>
          <w:jc w:val="left"/>
        </w:trPr>
        <w:tc>
          <w:tcPr>
            <w:tcW w:w="25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obdobie:</w:t>
            </w:r>
          </w:p>
        </w:tc>
        <w:tc>
          <w:tcPr>
            <w:tcW w:w="666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1.január 201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8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 – 31.december 201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8</w:t>
            </w:r>
          </w:p>
        </w:tc>
      </w:tr>
    </w:tbl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33"/>
        </w:numPr>
        <w:tabs>
          <w:tab w:val="left" w:pos="360" w:leader="none"/>
        </w:tabs>
        <w:spacing w:before="0" w:after="0" w:line="240"/>
        <w:ind w:right="0" w:left="-142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Právny dôvod na zostavenie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závierky</w:t>
      </w:r>
    </w:p>
    <w:p>
      <w:pPr>
        <w:spacing w:before="0" w:after="0" w:line="240"/>
        <w:ind w:right="0" w:left="-142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čtovná závierka Spoločnosti k 31. decembru 2018 je zostavená ako riadna účtovná závierka podľa     ustanovenia § 16 zákona NR SR č. 431/2002 Z. z. o účtovníctve v znení neskorších predpisov (ďalej len „zákon o účtovníctve“), za účtovné obdobie od 1. januára 2018 do 31. decembra 2018.</w:t>
      </w:r>
    </w:p>
    <w:p>
      <w:pPr>
        <w:spacing w:before="0" w:after="0" w:line="240"/>
        <w:ind w:right="0" w:left="-142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</w:t>
      </w:r>
    </w:p>
    <w:p>
      <w:pPr>
        <w:spacing w:before="0" w:after="0" w:line="240"/>
        <w:ind w:right="0" w:left="-142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35"/>
        </w:numPr>
        <w:tabs>
          <w:tab w:val="left" w:pos="360" w:leader="none"/>
        </w:tabs>
        <w:spacing w:before="0" w:after="0" w:line="240"/>
        <w:ind w:right="0" w:left="360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numPr>
          <w:ilvl w:val="0"/>
          <w:numId w:val="35"/>
        </w:numPr>
        <w:tabs>
          <w:tab w:val="left" w:pos="360" w:leader="none"/>
        </w:tabs>
        <w:spacing w:before="0" w:after="0" w:line="240"/>
        <w:ind w:right="0" w:left="-142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čte zamestnancov účtovnej jednotky</w:t>
      </w:r>
    </w:p>
    <w:tbl>
      <w:tblPr/>
      <w:tblGrid>
        <w:gridCol w:w="6397"/>
        <w:gridCol w:w="1251"/>
        <w:gridCol w:w="1668"/>
      </w:tblGrid>
      <w:tr>
        <w:trPr>
          <w:trHeight w:val="646" w:hRule="auto"/>
          <w:jc w:val="left"/>
        </w:trPr>
        <w:tc>
          <w:tcPr>
            <w:tcW w:w="6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12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-284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spacing w:before="0" w:after="0" w:line="240"/>
              <w:ind w:right="0" w:left="-284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</w:t>
            </w:r>
          </w:p>
          <w:p>
            <w:pPr>
              <w:spacing w:before="0" w:after="0" w:line="240"/>
              <w:ind w:right="0" w:left="-284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</w:t>
            </w:r>
          </w:p>
          <w:p>
            <w:pPr>
              <w:spacing w:before="0" w:after="0" w:line="240"/>
              <w:ind w:right="0" w:left="-284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-108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spacing w:before="0" w:after="0" w:line="240"/>
              <w:ind w:right="0" w:left="-108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-108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-108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84" w:hRule="auto"/>
          <w:jc w:val="left"/>
        </w:trPr>
        <w:tc>
          <w:tcPr>
            <w:tcW w:w="63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884" w:left="-108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884" w:left="-108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 zamestnancov</w:t>
            </w:r>
          </w:p>
        </w:tc>
        <w:tc>
          <w:tcPr>
            <w:tcW w:w="12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-284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-284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  <w:tc>
          <w:tcPr>
            <w:tcW w:w="16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-284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-284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PRIJATÝCH POSTUPOCH</w:t>
      </w:r>
    </w:p>
    <w:p>
      <w:pPr>
        <w:spacing w:before="0" w:after="0" w:line="240"/>
        <w:ind w:right="0" w:left="0" w:hanging="142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9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Východiská pre zostavenie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závierky</w:t>
      </w: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čtovná závierka Spoločnosti bola zostavená za predpokladu nepretržitého trvania jej činnosti v súlade so zákonom o účtovníctve platným v Slovenskej republike a nadväzujúcimi postupmi účtovania. </w:t>
      </w: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čtovné metódy a všeobecné účtovné zásady Spoločnosť aplikovala konzistentne s predchádzajúcim účtovným obdobím.</w:t>
      </w:r>
    </w:p>
    <w:p>
      <w:pPr>
        <w:numPr>
          <w:ilvl w:val="0"/>
          <w:numId w:val="51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51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Dlhodobý nehmotný a hmotný majetok</w:t>
      </w: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Dlhodobý majetok  nakupovaný sa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ňuje obstarávacou cenou, ktorá zahŕňa cenu obstarania a náklady súvisiace s obstaraním. </w:t>
      </w: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Odpisy dlhodobého nehmotného a hmotného majetku sú stanovené vychádzajúc z predpokladanej doby jeho používania a predpokladaného priebehu jeho opotrebenia. Odpisova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sa začína v mesiaci zaradenia majetku do užívania.</w:t>
      </w: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FFFFFF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FFFFFF" w:val="clear"/>
        </w:rPr>
        <w:t xml:space="preserve">O dlhodobom nehmotnom majetku,  ktorého obstarávacia cena je 2 400 eur a nižšia sa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FFFFFF" w:val="clear"/>
        </w:rPr>
        <w:t xml:space="preserve">čtuje priamo do nákladov.</w:t>
      </w: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O dlhodobom hmotnom majetku, ktorého obstarávacia cena je 1 700 eur a nižšia sa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čtuje ako o zásobách</w:t>
      </w: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Predpokladaná doba používania a metóda odpisovania sú uvedené v nasledujúcej tabu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ľke:</w:t>
      </w:r>
    </w:p>
    <w:tbl>
      <w:tblPr/>
      <w:tblGrid>
        <w:gridCol w:w="3686"/>
        <w:gridCol w:w="2700"/>
        <w:gridCol w:w="3121"/>
      </w:tblGrid>
      <w:tr>
        <w:trPr>
          <w:trHeight w:val="202" w:hRule="auto"/>
          <w:jc w:val="left"/>
        </w:trPr>
        <w:tc>
          <w:tcPr>
            <w:tcW w:w="36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6776932" w:leader="none"/>
              </w:tabs>
              <w:spacing w:before="0" w:after="0" w:line="240"/>
              <w:ind w:right="0" w:left="-284" w:firstLine="708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7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6776932" w:leader="none"/>
              </w:tabs>
              <w:spacing w:before="0" w:after="0" w:line="240"/>
              <w:ind w:right="0" w:left="-284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Predpokladaná doba používania v rokoch</w:t>
            </w:r>
          </w:p>
        </w:tc>
        <w:tc>
          <w:tcPr>
            <w:tcW w:w="31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6776932" w:leader="none"/>
              </w:tabs>
              <w:spacing w:before="0" w:after="0" w:line="240"/>
              <w:ind w:right="0" w:left="-284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Metóda odpisovania</w:t>
            </w:r>
          </w:p>
        </w:tc>
      </w:tr>
      <w:tr>
        <w:trPr>
          <w:trHeight w:val="120" w:hRule="auto"/>
          <w:jc w:val="left"/>
        </w:trPr>
        <w:tc>
          <w:tcPr>
            <w:tcW w:w="36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6776932" w:leader="none"/>
              </w:tabs>
              <w:spacing w:before="0" w:after="0" w:line="240"/>
              <w:ind w:right="0" w:left="-284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6776932" w:leader="none"/>
              </w:tabs>
              <w:spacing w:before="0" w:after="0" w:line="240"/>
              <w:ind w:right="0" w:left="-284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6776932" w:leader="none"/>
              </w:tabs>
              <w:spacing w:before="0" w:after="0" w:line="240"/>
              <w:ind w:right="0" w:left="-284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20" w:hRule="auto"/>
          <w:jc w:val="left"/>
        </w:trPr>
        <w:tc>
          <w:tcPr>
            <w:tcW w:w="36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6776932" w:leader="none"/>
              </w:tabs>
              <w:spacing w:before="0" w:after="0" w:line="240"/>
              <w:ind w:right="0" w:left="-284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6776932" w:leader="none"/>
              </w:tabs>
              <w:spacing w:before="0" w:after="0" w:line="240"/>
              <w:ind w:right="0" w:left="-284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6776932" w:leader="none"/>
              </w:tabs>
              <w:spacing w:before="0" w:after="0" w:line="240"/>
              <w:ind w:right="0" w:left="-284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16776932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Odpisy sa mesa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čne zaokrúhľujú  matematicky na desiatky centov.</w:t>
      </w:r>
    </w:p>
    <w:p>
      <w:pPr>
        <w:numPr>
          <w:ilvl w:val="0"/>
          <w:numId w:val="64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64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ľadávky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ľadávky pri ich vzniku sa  oceňujú ich menovitou hodnotou. Toto ocenenie sa znižuje o pochybné a nevymožiteľné pohľadávky.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66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ňažné prostriedky a ceniny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ňažné prostriedky a ceniny sa oceňujú ich menovitou hodnotou. 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68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Náklady budúcich období a príjmy budúcich období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Náklady budúcich období a príjmy budúcich období  sa vykazujú vo výške, ktorá je potrebná na dodržanie zásady vecnej 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časovej súvislosti s účtovným obdobím.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70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Rezervy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Rezervy sú záväzky s neur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čitým časovým vymedzením alebo výškou, tvoria sa na krytie známych rizík alebo strát z podnikania. Oceňujú sa v očakávanej výške záväzku. Spoločnosť tvorí rezervy na nevyčerpané dovolenky a súvisiace odvody do poistných fondov </w:t>
      </w:r>
    </w:p>
    <w:p>
      <w:pPr>
        <w:numPr>
          <w:ilvl w:val="0"/>
          <w:numId w:val="72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72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ňujú menovitou hodnotou. 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Výdavky budúcich období a výnosy budúcich období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Výdavky budúcich období a výnosy budúcich období sa vykazujú vo výške, ktorá je potrebná na dodržanie zásady vecnej 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časovej súvislosti s účtovným obdobím.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170" w:left="-284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Cudzia mena </w:t>
      </w:r>
    </w:p>
    <w:p>
      <w:pPr>
        <w:spacing w:before="0" w:after="0" w:line="240"/>
        <w:ind w:right="17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Majetok a záväzky okrem prijatých a poskytnutých preddavkov, vyjadrené v cudzej mene sa prepo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>
      <w:pPr>
        <w:spacing w:before="0" w:after="0" w:line="240"/>
        <w:ind w:right="17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Kurzové straty a zisky sa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čtujú priamo do finančných nákladov a výnosov a majú vplyv na hospodársky výsledok. 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76"/>
        </w:numPr>
        <w:tabs>
          <w:tab w:val="left" w:pos="360" w:leader="none"/>
          <w:tab w:val="left" w:pos="426" w:leader="none"/>
        </w:tabs>
        <w:spacing w:before="0" w:after="0" w:line="240"/>
        <w:ind w:right="0" w:left="-284" w:hanging="426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Výnosy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Tržby za vlastné výkony neobsahujú da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z pridanej hodnoty a sú znížené o zľavy a zrážky (rabaty, bonusy, skontá, dobropisy a pod.) 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keepLines w:val="true"/>
        <w:spacing w:before="480" w:after="0" w:line="240"/>
        <w:ind w:right="0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INFORMÁCIE, KTORÉ VYSVET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ĽUJÚ A DOPĹŇAJÚ SÚVAHU A VÝKAZ ZISKOV A STRÁT 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 záväzkoch</w:t>
      </w:r>
    </w:p>
    <w:p>
      <w:pPr>
        <w:spacing w:before="0" w:after="0" w:line="240"/>
        <w:ind w:right="-468" w:left="-284" w:firstLine="0"/>
        <w:jc w:val="both"/>
        <w:rPr>
          <w:rFonts w:ascii="Arial" w:hAnsi="Arial" w:cs="Arial" w:eastAsia="Arial"/>
          <w:color w:val="FF0000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neeviduje žiadne dlhodobé záväzky. 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sume a dôvodoch vzniku jednotlivých položiek nákladov a výnosov, ktoré majú výnimo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čný rozsah alebo výskyt.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 priebehu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čtovného obdobia nevznikli položky, ktoré by mali výnimočný rozsah alebo výskyt.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color w:val="FF0000"/>
          <w:spacing w:val="0"/>
          <w:position w:val="0"/>
          <w:sz w:val="20"/>
          <w:shd w:fill="auto" w:val="clear"/>
        </w:rPr>
      </w:pPr>
    </w:p>
    <w:p>
      <w:pPr>
        <w:keepNext w:val="true"/>
        <w:keepLines w:val="true"/>
        <w:spacing w:before="480" w:after="0" w:line="240"/>
        <w:ind w:right="0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INÝCH AKTÍVACH A INÝCH PASÍVACH</w:t>
      </w:r>
    </w:p>
    <w:p>
      <w:pPr>
        <w:spacing w:before="0" w:after="0" w:line="240"/>
        <w:ind w:right="0" w:left="-284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Podmienený majetok </w:t>
      </w:r>
    </w:p>
    <w:p>
      <w:pPr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Vedenie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  si nie je vedomé možnosti vzniku alebo výskytu podmieneného majetku, ktorý by mohlo akýmkoľvek spôsobom identifikovať alebo oceniť.</w:t>
      </w:r>
    </w:p>
    <w:p>
      <w:pPr>
        <w:spacing w:before="0" w:after="0" w:line="240"/>
        <w:ind w:right="-468" w:left="-284" w:firstLine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Podmienené záväzky</w:t>
      </w:r>
    </w:p>
    <w:p>
      <w:pPr>
        <w:spacing w:before="0" w:after="0" w:line="240"/>
        <w:ind w:right="-468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Vedenie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  si nie je vedomé možnosti výskytu podmienených záväzkov v dôsledku ktorých by jej vznikol významný náklad.</w:t>
      </w:r>
    </w:p>
    <w:p>
      <w:pPr>
        <w:spacing w:before="0" w:after="0" w:line="240"/>
        <w:ind w:right="-468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Ostatné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čné povinnosti 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Vedenie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  si nie je vedomé žiadnych finančných povinností okrem riadne zaevidovaných v súvahe. </w:t>
      </w:r>
    </w:p>
    <w:p>
      <w:pPr>
        <w:spacing w:before="0" w:after="0" w:line="240"/>
        <w:ind w:right="-468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keepLines w:val="true"/>
        <w:spacing w:before="480" w:after="0" w:line="240"/>
        <w:ind w:right="0" w:left="-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UDALOSTI, KTORÉ NASTALI PO ZÁVIERKOVOM DNI</w:t>
      </w:r>
    </w:p>
    <w:p>
      <w:pPr>
        <w:tabs>
          <w:tab w:val="left" w:pos="426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-284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Po 31. decembri 201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8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do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ňa zostavenia účtovnej závierky nenastali udalosti, ktoré majú významný vplyv na verné zobrazenie skutočností, ktoré sú predmetom účtovníctva. </w:t>
      </w:r>
    </w:p>
    <w:p>
      <w:pPr>
        <w:spacing w:before="0" w:after="0" w:line="240"/>
        <w:ind w:right="-468" w:left="-284" w:firstLine="0"/>
        <w:jc w:val="left"/>
        <w:rPr>
          <w:rFonts w:ascii="Arial" w:hAnsi="Arial" w:cs="Arial" w:eastAsia="Arial"/>
          <w:color w:val="FF0000"/>
          <w:spacing w:val="0"/>
          <w:position w:val="0"/>
          <w:sz w:val="20"/>
          <w:shd w:fill="auto" w:val="clear"/>
        </w:rPr>
      </w:pPr>
    </w:p>
    <w:p>
      <w:pPr>
        <w:keepNext w:val="true"/>
        <w:keepLines w:val="true"/>
        <w:spacing w:before="480" w:after="0" w:line="240"/>
        <w:ind w:right="0" w:left="-284" w:firstLine="0"/>
        <w:jc w:val="center"/>
        <w:rPr>
          <w:rFonts w:ascii="Arial" w:hAnsi="Arial" w:cs="Arial" w:eastAsia="Arial"/>
          <w:b/>
          <w:color w:val="365F91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hanging="142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2">
    <w:lvl w:ilvl="0">
      <w:start w:val="1"/>
      <w:numFmt w:val="lowerLetter"/>
      <w:lvlText w:val="%1."/>
    </w:lvl>
  </w:abstractNum>
  <w:abstractNum w:abstractNumId="8">
    <w:lvl w:ilvl="0">
      <w:start w:val="1"/>
      <w:numFmt w:val="lowerLetter"/>
      <w:lvlText w:val="%1."/>
    </w:lvl>
  </w:abstractNum>
  <w:abstractNum w:abstractNumId="14">
    <w:lvl w:ilvl="0">
      <w:start w:val="1"/>
      <w:numFmt w:val="lowerLetter"/>
      <w:lvlText w:val="%1."/>
    </w:lvl>
  </w:abstractNum>
  <w:abstractNum w:abstractNumId="20">
    <w:lvl w:ilvl="0">
      <w:start w:val="1"/>
      <w:numFmt w:val="lowerLetter"/>
      <w:lvlText w:val="%1."/>
    </w:lvl>
  </w:abstractNum>
  <w:abstractNum w:abstractNumId="26">
    <w:lvl w:ilvl="0">
      <w:start w:val="1"/>
      <w:numFmt w:val="lowerLetter"/>
      <w:lvlText w:val="%1."/>
    </w:lvl>
  </w:abstractNum>
  <w:abstractNum w:abstractNumId="32">
    <w:lvl w:ilvl="0">
      <w:start w:val="1"/>
      <w:numFmt w:val="lowerLetter"/>
      <w:lvlText w:val="%1."/>
    </w:lvl>
  </w:abstractNum>
  <w:abstractNum w:abstractNumId="38">
    <w:lvl w:ilvl="0">
      <w:start w:val="1"/>
      <w:numFmt w:val="lowerLetter"/>
      <w:lvlText w:val="%1."/>
    </w:lvl>
  </w:abstractNum>
  <w:abstractNum w:abstractNumId="44">
    <w:lvl w:ilvl="0">
      <w:start w:val="1"/>
      <w:numFmt w:val="lowerLetter"/>
      <w:lvlText w:val="%1."/>
    </w:lvl>
  </w:abstractNum>
  <w:num w:numId="33">
    <w:abstractNumId w:val="7"/>
  </w:num>
  <w:num w:numId="35">
    <w:abstractNumId w:val="1"/>
  </w:num>
  <w:num w:numId="49">
    <w:abstractNumId w:val="44"/>
  </w:num>
  <w:num w:numId="51">
    <w:abstractNumId w:val="38"/>
  </w:num>
  <w:num w:numId="64">
    <w:abstractNumId w:val="32"/>
  </w:num>
  <w:num w:numId="66">
    <w:abstractNumId w:val="26"/>
  </w:num>
  <w:num w:numId="68">
    <w:abstractNumId w:val="20"/>
  </w:num>
  <w:num w:numId="70">
    <w:abstractNumId w:val="14"/>
  </w:num>
  <w:num w:numId="72">
    <w:abstractNumId w:val="8"/>
  </w:num>
  <w:num w:numId="76">
    <w:abstractNumId w:val="2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