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TOVNEJ ZÁVIERKE 2018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č.MF/23378/2014-74 (FS č.12/2014),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ávierke a rozsahu údajov ur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 malé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ánok 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–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 INFORMÁCIE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Základné informácie o 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tovnej jednotke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636"/>
        <w:gridCol w:w="6969"/>
      </w:tblGrid>
      <w:tr>
        <w:trPr>
          <w:trHeight w:val="231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Rokus real s.r.o.</w:t>
            </w:r>
          </w:p>
        </w:tc>
      </w:tr>
      <w:tr>
        <w:trPr>
          <w:trHeight w:val="249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Sabinovská 55, 080 01  Pre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</w:p>
        </w:tc>
      </w:tr>
      <w:tr>
        <w:trPr>
          <w:trHeight w:val="125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Právna forma: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ím obmedzeným</w:t>
            </w:r>
          </w:p>
        </w:tc>
      </w:tr>
      <w:tr>
        <w:trPr>
          <w:trHeight w:val="143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Zápis do obchodného registra: 3.8.2007</w:t>
            </w:r>
          </w:p>
        </w:tc>
      </w:tr>
      <w:tr>
        <w:trPr>
          <w:trHeight w:val="175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Hlavný predmet podnikania: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Prenájom 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 v rozsahu vo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ných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živnost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</w:tr>
      <w:tr>
        <w:trPr>
          <w:trHeight w:val="194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Subjekt verejného záujmu: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nie je subjektom verejn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záujmu (§ 2/14 ZoU).</w:t>
            </w:r>
          </w:p>
        </w:tc>
      </w:tr>
      <w:tr>
        <w:trPr>
          <w:trHeight w:val="194" w:hRule="auto"/>
          <w:jc w:val="left"/>
        </w:trPr>
        <w:tc>
          <w:tcPr>
            <w:tcW w:w="263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obdobie:</w:t>
            </w:r>
          </w:p>
        </w:tc>
        <w:tc>
          <w:tcPr>
            <w:tcW w:w="696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Kalendárny rok 2018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25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Test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ľkostnej skupiny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(2 ZoU)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(Do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ľkostnej skupiny mikro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patrí taká, ktorá za dve po sebe idúce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obdobia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ĺňa aspoň dve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troch podmienok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suma netto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nepresiahla 350 000 eur,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istý obrat nepresiahol 700 000 eur a priemerný prepo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počas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nepresiahol 10). 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38" w:type="dxa"/>
      </w:tblPr>
      <w:tblGrid>
        <w:gridCol w:w="2197"/>
        <w:gridCol w:w="2835"/>
        <w:gridCol w:w="3260"/>
        <w:gridCol w:w="1276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Áno/Nie</w:t>
            </w:r>
          </w:p>
        </w:tc>
      </w:tr>
      <w:tr>
        <w:trPr>
          <w:trHeight w:val="276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Netto aktíva celkom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42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3437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452643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nie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13428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22928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UJ sp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ĺň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ľkostn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podmienky na zatriedenie do ve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kostnej skupiny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mikro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preto zostavuje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tovnú závierku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metodiky pre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úto 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ľkostn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skupinu (Opatrenie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.MF/23378/2014-74).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Dátum schválenia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bezprostredne predchádzajúce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21.06.2018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Právny dôvod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 zostavenie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závierky:</w:t>
      </w:r>
    </w:p>
    <w:p>
      <w:pPr>
        <w:spacing w:before="0" w:after="0" w:line="240"/>
        <w:ind w:right="0" w:left="668" w:hanging="426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čnosti k 31. decembru 2016 je zostaven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§ 17 ods. 6</w:t>
      </w:r>
    </w:p>
    <w:p>
      <w:pPr>
        <w:spacing w:before="0" w:after="0" w:line="240"/>
        <w:ind w:right="0" w:left="668" w:hanging="426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zákona NR SR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č. 431/2002 Z.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 z. o 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íctve za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é obdobie od 1. januára 2018 do 31. decembra 2018.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Údaje o skupine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jednotiek v súvislosti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 konsolidáciou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nevstupuje do skupiny pre konsolidáciu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a) Obchodné meno a sídlo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zostavuje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konsolidovanú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tovnú závierku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za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u w:val="single"/>
          <w:shd w:fill="auto" w:val="clear"/>
        </w:rPr>
        <w:t xml:space="preserve">najvä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u w:val="single"/>
          <w:shd w:fill="auto" w:val="clear"/>
        </w:rPr>
        <w:t xml:space="preserve">čš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u w:val="single"/>
          <w:shd w:fill="auto" w:val="clear"/>
        </w:rPr>
        <w:t xml:space="preserve">iu skupinu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, ktorej sú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ťou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jednotka ako dcérska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jednotka (najvy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í stupe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 konsolid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ácie):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b) Obchodné meno a sídlo 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tovnej jednotky, ktorá zostavuje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konsolidovanú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tovnú závierku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za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u w:val="single"/>
          <w:shd w:fill="auto" w:val="clear"/>
        </w:rPr>
        <w:t xml:space="preserve">najmen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u w:val="single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u w:val="single"/>
          <w:shd w:fill="auto" w:val="clear"/>
        </w:rPr>
        <w:t xml:space="preserve">iu skupinu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, ktorej sú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ťou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jednotka ako dcérska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jednotka (bezprostredne vy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šš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í stupe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 konsolid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ácie), a ktorá je tie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za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do skupiny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ých jednotiek na najvy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šš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om stupni konsolidácie: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c) Adresa, kde sa mô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e vy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žiadať 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ópia vy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ššie uveden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ých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konsolidovaných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tovných závierok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á jednotka je materskou 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tovnou jednotkou a údaj,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i je oslobodená od povinnosti zostavi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ť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ú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ú závierku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a konsolidovanú výro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nú správu pod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§ 22 zákona o 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tovníctve, pri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om sa uvádzajú: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1. pri oslobodení pod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 § 22 ods. 8 zákona o 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tovníctve obchodné meno a sídlo materskej 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tovnej jednotky zostavujúcej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konsolidovanú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tovnú závierku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pod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 osobitných predpisov (IFRS/EÚ):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2. pri oslobodení pod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 § 22 ods. 10 a 12 zákona o 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tovníctve obchodné meno a sídlo dcérskych ú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tovných jednotiek: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čet zamestnancov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</w:t>
      </w:r>
    </w:p>
    <w:tbl>
      <w:tblPr/>
      <w:tblGrid>
        <w:gridCol w:w="4857"/>
        <w:gridCol w:w="2523"/>
        <w:gridCol w:w="2367"/>
      </w:tblGrid>
      <w:tr>
        <w:trPr>
          <w:trHeight w:val="537" w:hRule="auto"/>
          <w:jc w:val="left"/>
        </w:trPr>
        <w:tc>
          <w:tcPr>
            <w:tcW w:w="4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459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163" w:hRule="auto"/>
          <w:jc w:val="left"/>
        </w:trPr>
        <w:tc>
          <w:tcPr>
            <w:tcW w:w="48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počas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      0</w:t>
            </w:r>
          </w:p>
        </w:tc>
        <w:tc>
          <w:tcPr>
            <w:tcW w:w="23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        0</w:t>
            </w:r>
          </w:p>
        </w:tc>
      </w:tr>
    </w:tbl>
    <w:p>
      <w:pPr>
        <w:spacing w:before="0" w:after="0" w:line="240"/>
        <w:ind w:right="-468" w:left="92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ánok II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 ORGÁNOCH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 iného orgánu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pričom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najmä informácie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 podmienkach a vý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ke jednotlivých druhov záruk alebo iných zabezpe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ení, o pô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a ich podmienkach (vý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úrokov, celková suma pô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čky, suma splatenej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žičky, suma odpustenej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žičky), 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ití majetku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na súkromné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čely;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 jednotlivé orgány (informácie sa neuvádzajú vtedy, ak by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žnili identifik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áciu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konkrétnej fyzickej osoby):</w:t>
      </w:r>
    </w:p>
    <w:tbl>
      <w:tblPr/>
      <w:tblGrid>
        <w:gridCol w:w="6312"/>
        <w:gridCol w:w="1701"/>
        <w:gridCol w:w="1701"/>
      </w:tblGrid>
      <w:tr>
        <w:trPr>
          <w:trHeight w:val="780" w:hRule="auto"/>
          <w:jc w:val="center"/>
        </w:trPr>
        <w:tc>
          <w:tcPr>
            <w:tcW w:w="6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67" w:hRule="auto"/>
          <w:jc w:val="center"/>
        </w:trPr>
        <w:tc>
          <w:tcPr>
            <w:tcW w:w="6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árny orgán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center"/>
        </w:trPr>
        <w:tc>
          <w:tcPr>
            <w:tcW w:w="6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2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Ing. Róbert Ku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nír - konate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1" w:hRule="auto"/>
          <w:jc w:val="center"/>
        </w:trPr>
        <w:tc>
          <w:tcPr>
            <w:tcW w:w="6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1" w:hRule="auto"/>
          <w:jc w:val="center"/>
        </w:trPr>
        <w:tc>
          <w:tcPr>
            <w:tcW w:w="6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orgán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1" w:hRule="auto"/>
          <w:jc w:val="center"/>
        </w:trPr>
        <w:tc>
          <w:tcPr>
            <w:tcW w:w="6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84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 (výhody):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ánok III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INFORMÁCIE O PRIJATÝCH POSTUPOCH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Informácia,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nepretr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 minim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 12 mesiacov po závierkovom dni v zmysle § 7 ods. 4 zákona o 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tovníctve. Ak by tento predpoklad nebol splnený, uvedie sa aj dopad do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závierky (napr. zru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rezerv): 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50" w:hanging="45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čnosti (going concern).</w:t>
      </w:r>
    </w:p>
    <w:p>
      <w:pPr>
        <w:spacing w:before="0" w:after="0" w:line="240"/>
        <w:ind w:right="0" w:left="450" w:hanging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Informácia o aplikácii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zásad a 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ktoré sú dôle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ité na posúdenie majetku, záväzkov,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a výsledku hospodárenia. Informácia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zmenách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tovných zásad a zmenách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a to s uvedením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dôvodu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ich uplatnenia a ich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vplyvu na hodnotu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majetku, záväzkov, vlastného imania a výsledku hospodárenia. Ak v dôsledku 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zásad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nie sú hodnoty za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v jednotlivých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častiach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porovnate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uvádza sa vysvetlenie v neporovnate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hodnotách: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50" w:hanging="45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é. V priebehu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obdobia nedo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šlo k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ásadným zmenám  týchto zásad a metód.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Informácie o charaktere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transakci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í, ktoré sa neuvádzajú v súvahe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sa uvádza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vplyv týchto transakcií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jednotku, ak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riziká alebo prínosy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vyplývajúce z týchto transakcií významné a ak uvedenie týchto rizík alebo prínosov je potrebné na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ely posúdenia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(napr.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údne spory, zmluvy,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asovo limitované licencie a oprávnenia, podnikové kombinácie, záväzky investova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dopad legislatívy, celkový pokles v hospodárskom segmente):  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Spôsob a ur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enie oce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majetku a záväzkov (vrátane rozhodujúcich odhadov):</w:t>
      </w:r>
    </w:p>
    <w:p>
      <w:pPr>
        <w:spacing w:before="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ovania majetku a záväzkov (§ 25 ZoU):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706"/>
        <w:gridCol w:w="5300"/>
        <w:gridCol w:w="3600"/>
      </w:tblGrid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externe kúpený: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interne vytvorený: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obstaraný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Reproduk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interne vytvorený: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 obstaraný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Reproduk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 Narrow" w:hAnsi="Arial Narrow" w:cs="Arial Narrow" w:eastAsia="Arial Narrow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 Narrow" w:hAnsi="Arial Narrow" w:cs="Arial Narrow" w:eastAsia="Arial Narrow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 Narrow" w:hAnsi="Arial Narrow" w:cs="Arial Narrow" w:eastAsia="Arial Narrow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soby obstarané inak (darom):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Reproduk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 a zákazková výstavba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12.1.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12.2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 Narrow" w:hAnsi="Arial Narrow" w:cs="Arial Narrow" w:eastAsia="Arial Narrow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Tahoma" w:hAnsi="Tahoma" w:cs="Tahoma" w:eastAsia="Tahoma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14.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na strane akt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ív súvahy: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Záväzky, vrátane rezerv, dlhopisov, pô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žičiek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úverov: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na strane pas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ív súvahy: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 Narrow" w:hAnsi="Arial Narrow" w:cs="Arial Narrow" w:eastAsia="Arial Narrow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-1"/>
                <w:position w:val="0"/>
                <w:sz w:val="22"/>
                <w:shd w:fill="auto" w:val="clear"/>
              </w:rPr>
              <w:t xml:space="preserve">18.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a záväzky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20.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príjmov: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Trvalé zní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ženie hodnoty majetku nebolo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é. Prechodné zní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ženie hodnoty majetku je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formou opravnej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stanoven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odborným odhadom bonity klienta resp. odhadom rizika.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Záväzky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jednotka ocenila menovitou hodnotou záväzkov. Rezervy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jednotka ocenila odborným odhadom budúcej menovitej hodnoty potrebnej na ich úhradu.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ocenenia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finančn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nástrojov alebo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ktorý nie je finan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ným nástrojom pri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ocenenia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finančn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nástrojov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obstarávacou cenou alebo vlastnými nákladmi: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 k 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ňovaniu majetku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áväzkov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é nástroje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definuje § 5 zákona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.566/2001 Z.z. o cenných papieroch v znení neskor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to napr. cenné papiere (akcie, dlhopisy,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listy), deriváty (opcie, futures, swapy, forwardy), nástroje pe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trhu (pokladni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pouká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žky, vkladov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listy).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Opravné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žky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majetku, okrem dlhodobej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 a dlhodobej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žičky, stanovila UJ odborn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odhadom bonity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Opravnú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žku 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 dlhodobej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ávke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ani opravnú polo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ku k dlhodobej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žičke UJ nevytv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árala, nemala k tomu vecnú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ň,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prípade jej tvorby by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met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ódu odúro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enia na sú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asnú hodnotu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(§ 18/8 PU; § 21/6 PU).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Rezervy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ocenila UJ kalkula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metódou kvalifikovaného odhadu ich menovitej hodnoty na pokrytie budúcich záväzkov.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(§ 25 ZoU), ani k závierkovému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 (§ 27 ZoU) nepou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ila ocenenie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lebo nemala k tomu vecnú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pri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úbytku rovnakého druhu zásob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met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ódu FIFO (§ 25/5 ZoU; § 22/1 PU).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pri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prírastku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cudzej meny v hotovosti alebo na bankový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zmen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árenský kurz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konkrétnej banky (§ 24/3 ZoU).</w:t>
      </w:r>
    </w:p>
    <w:p>
      <w:pPr>
        <w:numPr>
          <w:ilvl w:val="0"/>
          <w:numId w:val="159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pri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úbytku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cudzej meny v hotovosti alebo z bankového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ákladné pravidlo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(D-1), teda kurz zo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predchádzajúceho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prípadu (§ 24/2/a; § 24/6 ZoU).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žila dobrovoľn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obchodn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podielov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metódou vlastného imania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(§ 27/9 ZoU).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1005" w:leader="none"/>
        </w:tabs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 odpisy:</w:t>
      </w:r>
    </w:p>
    <w:tbl>
      <w:tblPr/>
      <w:tblGrid>
        <w:gridCol w:w="4218"/>
        <w:gridCol w:w="1013"/>
        <w:gridCol w:w="2107"/>
        <w:gridCol w:w="2268"/>
      </w:tblGrid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a nehmotný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odpisovaný majetok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čtu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rokov)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sadzba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(%)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013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014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021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 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príslu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enstvom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022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023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4-6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25-16,67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Výrobná  a ost. technológia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022.A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6-12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16,67-8,33</w:t>
            </w:r>
          </w:p>
        </w:tc>
      </w:tr>
      <w:tr>
        <w:trPr>
          <w:trHeight w:val="1" w:hRule="atLeast"/>
          <w:jc w:val="left"/>
        </w:trPr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Ost. drobný dlhodobý hmotný majetok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022.A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2-3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50-33,33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 k odpisovému plánu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tovné odpisy nezávisle na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odpisoch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Majetok sa za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ína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mesiaci, kedy bol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zaradený do 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ívania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tovné odpisy vychádzajú z predpokladanej doby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ívania majetku. Dlhodobý nehmotný majetok sa odpisuje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5 rokov od jeho obstarania.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rovnomerné odpisovanie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dlhodobého hmotného majetku a dlhodobého nehmotného majetku. Podrobný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 odpisový plán po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vedie v podsystéme Majetok s podporou softvéru Tangram (taktie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odpisy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ákona o dani z príjmov).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odpisuje jednotlivé veci alebo relevantné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súbory hnute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ných vecí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(napr. po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ábytková zostava). UJ nepou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komponentné odpisovanie (odpisovanie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astí majetku - komponentov).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jednorazov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 odpis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dlhodobého majetku z dôvodu jednorazového trvalého zní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 hodnoty majetku (§ 21/5 PU).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íva kategóriu drobného dlhodobého nehmotného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polo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pod 2 400 eur jednotkovej ceny so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ivotnos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nad jeden rok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íva kategóriu drobného dlhodobého hmotného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polo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pod 1 700 eur jednotkovej ceny so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ivotnos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nad jeden rok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  a takýto majetok odpisuje v zmysle odpisového plánu</w:t>
      </w:r>
    </w:p>
    <w:p>
      <w:pPr>
        <w:numPr>
          <w:ilvl w:val="0"/>
          <w:numId w:val="190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ého technického zhodnotenia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odpisovaného dlhodobého majetku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technické zhodnotenie pod 1 700 eur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(§ 21/3 PU; § 29/2 ZDP).</w:t>
      </w:r>
    </w:p>
    <w:p>
      <w:pPr>
        <w:numPr>
          <w:ilvl w:val="0"/>
          <w:numId w:val="190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nepou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ú kapitalizáciu úrokov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obstarávacej ceny odpisovaného dlhodobého hmotného majetku alebo dlhodobého nehmotného majetku (§ 34/1 PU; § 35/2/h PU).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Informácia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poskytnutých dotáciách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pri dotáciách na obstaranie majetku sa uvedú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majetku a ich ocenenie: nebola poskytnutá dotácia. </w:t>
      </w: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 oprave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významných chýb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 uvedením sumy vplyvu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 nerozdelený zisk minulých rokov alebo na neuhradenú stratu minulých rokov.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jednotka mô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uvies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aj informácie o oprave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nevýznamných chýb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čtovala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významných opravách chýb minulých období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075"/>
        <w:gridCol w:w="1040"/>
        <w:gridCol w:w="1039"/>
        <w:gridCol w:w="1928"/>
        <w:gridCol w:w="2519"/>
      </w:tblGrid>
      <w:tr>
        <w:trPr>
          <w:trHeight w:val="1" w:hRule="atLeast"/>
          <w:jc w:val="left"/>
        </w:trPr>
        <w:tc>
          <w:tcPr>
            <w:tcW w:w="30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Opis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prípadu</w:t>
            </w:r>
          </w:p>
        </w:tc>
        <w:tc>
          <w:tcPr>
            <w:tcW w:w="1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Suma</w:t>
            </w:r>
          </w:p>
        </w:tc>
        <w:tc>
          <w:tcPr>
            <w:tcW w:w="1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MD/DAL</w:t>
            </w:r>
          </w:p>
        </w:tc>
        <w:tc>
          <w:tcPr>
            <w:tcW w:w="1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na výsledok</w:t>
            </w:r>
          </w:p>
        </w:tc>
        <w:tc>
          <w:tcPr>
            <w:tcW w:w="2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Vplyv na vlastné imanie</w:t>
            </w:r>
          </w:p>
        </w:tc>
      </w:tr>
      <w:tr>
        <w:trPr>
          <w:trHeight w:val="1" w:hRule="atLeast"/>
          <w:jc w:val="left"/>
        </w:trPr>
        <w:tc>
          <w:tcPr>
            <w:tcW w:w="30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Vysvetlivky k oprave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období:</w:t>
      </w:r>
    </w:p>
    <w:p>
      <w:pPr>
        <w:numPr>
          <w:ilvl w:val="0"/>
          <w:numId w:val="205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 schválení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valnom zhroma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dení 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 otv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knihy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a prípadné opravy sa vykonajú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(§ 16/10,11 ZoU).</w:t>
      </w:r>
    </w:p>
    <w:p>
      <w:pPr>
        <w:numPr>
          <w:ilvl w:val="0"/>
          <w:numId w:val="205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Opravy nevýznamných nákladov a nevýznamných výnosov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sa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ako výsledkové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prípady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(§ 5/1 PU).  </w:t>
      </w:r>
    </w:p>
    <w:p>
      <w:pPr>
        <w:numPr>
          <w:ilvl w:val="0"/>
          <w:numId w:val="205"/>
        </w:numPr>
        <w:spacing w:before="0" w:after="120" w:line="240"/>
        <w:ind w:right="0" w:left="227" w:hanging="227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Významné opravy chýb minulých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období sa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(§ 59/13 PU) - 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minul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výsledkom hospodárenia (vo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imaniu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428 alebo 429). </w:t>
      </w:r>
    </w:p>
    <w:p>
      <w:pPr>
        <w:numPr>
          <w:ilvl w:val="0"/>
          <w:numId w:val="205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Hranicu významnosti si UJ stanoví individuálne v internej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smernici (napr. 1 tis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ícina z brutto aktív).</w:t>
      </w:r>
    </w:p>
    <w:p>
      <w:pPr>
        <w:numPr>
          <w:ilvl w:val="0"/>
          <w:numId w:val="205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 ukladaní pokuty za nesprávnosti v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tovníctve prihliadne da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ový úrad aj na to,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UJ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ísomne ohlásila obsah a sumu vykonanej opravy chýb minulých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období (§ 38/5 ZoU).</w:t>
      </w:r>
    </w:p>
    <w:p>
      <w:pPr>
        <w:numPr>
          <w:ilvl w:val="0"/>
          <w:numId w:val="205"/>
        </w:numPr>
        <w:spacing w:before="0" w:after="120" w:line="240"/>
        <w:ind w:right="0" w:left="227" w:hanging="22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Opravy chýb minulých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období sa da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ovo vysporiadajú pod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pravidiel v zákone o dani z príjmov (§ 17/15,29 ZDP) a pravidiel v da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ovom poriadku (§ 16).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ánok IV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INFORMÁCIE, KTORÉ VYSVET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UJÚ A DOP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ĹŇ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AJÚ SÚVAHU A VÝKAZ ZISKOV A STRÁT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Dlhodobý nehmotný majetok, ktorým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goodwill alebo záporný goodwill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dôvod jeho vzniku, spôsob výpo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tu a prehodnotenie opodstatnenosti jeho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odpisu jeho hodnoty: neú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tovala o goodwille alebo zápornom goodwille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[Vysvetlivky: Záporný goodwill sa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odpí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do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ýnosov (075/551) jednorázovo v roku jeho vzniku (§ 37 PU).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ňovo sa goodwill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podnikových kombinácií spravidla odpisuje najdlh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šie počas 7 rokov podľa pravidiel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zákone o dani z príjmov (§ 17/11; § 17a - 17e ZDP)]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Informácie o významných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polo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kách derivátov, majetku a záväzkoch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derivátmi (§ 16 PU):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derivátoch ani o majetku nimi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čenom.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Pritom sa uvádza forma tohto zabezpe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 a uvádza sa zmena reálnej hodnoty v priebehu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(§ 27 ZoU). Pre ka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dý druh derivátov sa uvádza informácia o rozsahu a povahe týchto derivátov vrátane významných podmienok, ktoré mô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žu ovplyvniť sumu, načasovanie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mieru istoty budúcich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 tabu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kovej forme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informácia zobrazujúca pohyby v 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ovacích rozdieloch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 ocenenia 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</w:t>
      </w:r>
    </w:p>
    <w:tbl>
      <w:tblPr/>
      <w:tblGrid>
        <w:gridCol w:w="3655"/>
        <w:gridCol w:w="1135"/>
        <w:gridCol w:w="1135"/>
        <w:gridCol w:w="1844"/>
        <w:gridCol w:w="1836"/>
      </w:tblGrid>
      <w:tr>
        <w:trPr>
          <w:trHeight w:val="153" w:hRule="auto"/>
          <w:jc w:val="left"/>
        </w:trPr>
        <w:tc>
          <w:tcPr>
            <w:tcW w:w="3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átov</w:t>
            </w: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Suma</w:t>
            </w: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MD/DAL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na výsledok</w:t>
            </w:r>
          </w:p>
        </w:tc>
        <w:tc>
          <w:tcPr>
            <w:tcW w:w="1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Vplyv na imanie</w:t>
            </w:r>
          </w:p>
        </w:tc>
      </w:tr>
      <w:tr>
        <w:trPr>
          <w:trHeight w:val="62" w:hRule="auto"/>
          <w:jc w:val="left"/>
        </w:trPr>
        <w:tc>
          <w:tcPr>
            <w:tcW w:w="3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9" w:hRule="auto"/>
          <w:jc w:val="left"/>
        </w:trPr>
        <w:tc>
          <w:tcPr>
            <w:tcW w:w="3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-47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Komentár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Prvotné ocenenie reálnou hodnotou (§ 25 ZoU) po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bez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áplne.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[Vysvetlivky: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Reálnou hodnotou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k závierkovému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ú, okrem iného, aj deriváty a majetok a záväzky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derivátmi (§ 27/1 ZoU); precenenie na reálnu hodnotu k závierkovému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 sa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16 PU) - výsledkovo (ú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ty 56x, 66x) alebo súvahovo (ú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et 414)].</w:t>
      </w: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3a) Celková suma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záväzkov so zostatkovou dobou splatnosti dlh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ou ako 5 rokov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 </w:t>
      </w:r>
    </w:p>
    <w:tbl>
      <w:tblPr/>
      <w:tblGrid>
        <w:gridCol w:w="4785"/>
        <w:gridCol w:w="2553"/>
        <w:gridCol w:w="2376"/>
      </w:tblGrid>
      <w:tr>
        <w:trPr>
          <w:trHeight w:val="693" w:hRule="auto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07" w:hRule="auto"/>
          <w:jc w:val="center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2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410945</w:t>
            </w:r>
          </w:p>
        </w:tc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436445</w:t>
            </w:r>
          </w:p>
        </w:tc>
      </w:tr>
    </w:tbl>
    <w:p>
      <w:pPr>
        <w:spacing w:before="120" w:after="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[Vysvetlivky: Zostatková doba splatnosti záväzku alebo jeho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 rozdiel medzi dohodnutou dobou splatnosti záväzkov a závierkovým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(§ 12 PU).]</w:t>
      </w:r>
    </w:p>
    <w:p>
      <w:pPr>
        <w:spacing w:before="120" w:after="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14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3b) Celková suma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zabezpe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ených záväzkov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opis a spôsob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áväzkov: </w:t>
      </w:r>
    </w:p>
    <w:tbl>
      <w:tblPr/>
      <w:tblGrid>
        <w:gridCol w:w="4396"/>
        <w:gridCol w:w="2831"/>
        <w:gridCol w:w="2411"/>
      </w:tblGrid>
      <w:tr>
        <w:trPr>
          <w:trHeight w:val="1" w:hRule="atLeast"/>
          <w:jc w:val="center"/>
        </w:trPr>
        <w:tc>
          <w:tcPr>
            <w:tcW w:w="4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záväzky</w:t>
            </w:r>
          </w:p>
        </w:tc>
        <w:tc>
          <w:tcPr>
            <w:tcW w:w="5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3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záväzkov</w:t>
            </w:r>
          </w:p>
        </w:tc>
      </w:tr>
      <w:tr>
        <w:trPr>
          <w:trHeight w:val="69" w:hRule="auto"/>
          <w:jc w:val="center"/>
        </w:trPr>
        <w:tc>
          <w:tcPr>
            <w:tcW w:w="4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7" w:hRule="auto"/>
          <w:jc w:val="center"/>
        </w:trPr>
        <w:tc>
          <w:tcPr>
            <w:tcW w:w="4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7" w:hRule="auto"/>
          <w:jc w:val="center"/>
        </w:trPr>
        <w:tc>
          <w:tcPr>
            <w:tcW w:w="4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suma 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záväzkov: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Informácie o vlastných akciách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 nadobudnutia vlastných akcií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b1)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menovitá hodnota nadobudnutých vlastných akcií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menovitá hodnota prevedených vlastných akcií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b2)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protihodnota, za ktorú sa vlastné akcie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nadobudli a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protihodnota, za ktorú sa vlastné akcie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previedli na inú osobu: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čet,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a protihodnota, za ktorú sa vlastné akcie nadobudli a ktoré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má v 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žbe 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poslednému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imaní: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5) Informácie o sume a dôvodoch vzniku jednotlivých polo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ný rozsah alebo výskyt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(napr. výnosy z predaja podniku alebo jeho 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 náklady z dôvodu predaja podniku alebo jeho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časti, škody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dôvodu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živeln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pohrôm): UJ neú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tovala o 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nákladoch a výnosoch.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20" w:line="240"/>
        <w:ind w:right="-471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ánok V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1a)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Podmienený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opis a hodnota pravdepodobného majetku, ktorým sa rozumie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majetok, ktorý vznikol v dôsledku minulých udalostí a ktorého existencia alebo vlastníctvo závisí od toho,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nastane alebo nenastane jeden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 budúcnosti, ktorých vznik nezávisí od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ýmto majetkom sú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napr. 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 zo servisných zmlúv, poistných zmlúv, koncesionárskych zmlúv, licen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zmlúv: UJ nemá takýto majetok.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1b)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Podmienené záväzky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opis a hodnota podmienených záväzkov vyplývajúcich napr. zo súdnych rozhodnutí, z poskytnutých záruk, zo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šeobecne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áväzných právnych predpisov, z 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podľa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čenia; tak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podmienenými záväzkami sú: </w:t>
      </w:r>
    </w:p>
    <w:p>
      <w:pPr>
        <w:numPr>
          <w:ilvl w:val="0"/>
          <w:numId w:val="264"/>
        </w:numPr>
        <w:spacing w:before="0" w:after="120" w:line="240"/>
        <w:ind w:right="0" w:left="227" w:hanging="227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 ktorej existencia závisí od toho,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nastane 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 budúcnosti, ktorých vznik nezávisí od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120" w:line="240"/>
        <w:ind w:right="0" w:left="227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6"/>
        </w:numPr>
        <w:spacing w:before="0" w:after="0" w:line="240"/>
        <w:ind w:right="0" w:left="227" w:hanging="227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 súvahe,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nie je pravdepodobn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žitkov, alebo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ľahlivo oceniť: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Ostatné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né povinnosti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ktoré sa nevykazujú v 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výkazoch - napríklad zákonná 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alebo zmluvn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odobrať určit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mno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žstvo produktu, uskutočniť invest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ície a 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opravy:  UJ nemá takéto povinnosti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Podsúvahové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ty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uvádzajú sa informácie o významných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sledovaných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85 PU): UJ nevedie takýto majetok</w:t>
      </w:r>
    </w:p>
    <w:tbl>
      <w:tblPr/>
      <w:tblGrid>
        <w:gridCol w:w="6311"/>
        <w:gridCol w:w="1701"/>
        <w:gridCol w:w="1593"/>
      </w:tblGrid>
      <w:tr>
        <w:trPr>
          <w:trHeight w:val="780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podsúvahovej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67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1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opcií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1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opcií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1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1" w:hRule="auto"/>
          <w:jc w:val="center"/>
        </w:trPr>
        <w:tc>
          <w:tcPr>
            <w:tcW w:w="63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............................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ánok VI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 UDALOSTI,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NASTALI PO ZÁVIERKOVOM DNI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(Následné udalosti)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Uvádzajú sa informácie o charaktere 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čnom vplyve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udalostí, ktoré nastali v 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ase po závierkovom dni - do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zostavenia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(t.j. do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podpísania výkazov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17/5 ZoU) a ktoré nie sú zoh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adnené v súvahe alebo vo výkaze ziskov a strát, napríklad: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Pokles alebo zvý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enie trhovej ceny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ého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ako dôsledku udalostí, ktoré nastali po dni, ku ktorému sa zostavuje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tovná závierka 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s uvedením dôvodu týchto zmien: neeviduje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Dôvody pre zmenu vý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ky rezerv a opravných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žiek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v dôsledku udalostí po dni, ku ktorému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neeviduje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Zmena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íkov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nenastala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Prijaté rozhodnutia o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alebo jej časti: nenastalo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Zmeny významných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majetku: nenastali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čatie alebo ukončenie činnosti časti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štepn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závodu, organiza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čnej zložky, prev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ádzkarne: nenastalo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Vydané dlhopisy a iné cenné papiere: neboli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Zlú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čenie, splynutie, rozdelenie a zmena 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ávnej formy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nenastalo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Mimoriadne udalosti, ak majú vplyv na hospodárenie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napr. živeln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pohroma: nestali sa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Získanie alebo odobratie licencií alebo iných povolení významných pre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nenastalo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[Vysvetlivky: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Následná udalos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udalos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sa stala následne po závierkovom dni do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podpísania výkazov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sa v poznámkach.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Upravujúci závierkový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 prípad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stal sa do závierkového d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a, len bol zistený 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podp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ísania výkazov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riadne sa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do hlavnej knihy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riadne sa vykazuje vo výkazoch (§ 17/8 ZoU; § 2a; § 18/9; § 19/6; § 48/3; § 50/6 PU).]</w:t>
      </w: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ánok VII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 OSTATN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1) Informácie o výlu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práve poskytova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vo verejnom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áujme: UJ neposkytuje slu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by vo verejnom záujme,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Informácie o osobitnej kategórii priemyselnej výroby (§ 23d/6 ZoU): UJ nie je v osobitnej kategórii priem. Výroby,</w:t>
      </w:r>
    </w:p>
    <w:p>
      <w:pPr>
        <w:spacing w:before="0" w:after="120" w:line="240"/>
        <w:ind w:right="-471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3) Informácie o 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ťahoch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orgánmi verejnej moci (§ 23d/6 ZoU): UJ nemá finan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né vz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ťahy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orgánmi verejnej moci.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84">
    <w:abstractNumId w:val="30"/>
  </w:num>
  <w:num w:numId="159">
    <w:abstractNumId w:val="24"/>
  </w:num>
  <w:num w:numId="190">
    <w:abstractNumId w:val="18"/>
  </w:num>
  <w:num w:numId="205">
    <w:abstractNumId w:val="12"/>
  </w:num>
  <w:num w:numId="264">
    <w:abstractNumId w:val="6"/>
  </w:num>
  <w:num w:numId="2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