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  <w:t xml:space="preserve">TOVNEJ ZÁVIERKE 2018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č.MF/23378/2014-74 (FS č.12/2014),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ávierke a rozsahu údajov ur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 malé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ánok 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–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 INFORMÁCIE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Základné informácie o 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tovnej jednotke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636"/>
        <w:gridCol w:w="6969"/>
      </w:tblGrid>
      <w:tr>
        <w:trPr>
          <w:trHeight w:val="231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Rokus real s.r.o.</w:t>
            </w:r>
          </w:p>
        </w:tc>
      </w:tr>
      <w:tr>
        <w:trPr>
          <w:trHeight w:val="249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Sabinovská 55, 080 01  Pre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</w:p>
        </w:tc>
      </w:tr>
      <w:tr>
        <w:trPr>
          <w:trHeight w:val="125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Právna forma: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čnosť 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ím obmedzeným</w:t>
            </w:r>
          </w:p>
        </w:tc>
      </w:tr>
      <w:tr>
        <w:trPr>
          <w:trHeight w:val="143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Zápis do obchodného registra: 3.8.2007</w:t>
            </w:r>
          </w:p>
        </w:tc>
      </w:tr>
      <w:tr>
        <w:trPr>
          <w:trHeight w:val="175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Hlavný predmet podnikania: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Prenájom 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 v rozsahu vo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ných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živnost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</w:tr>
      <w:tr>
        <w:trPr>
          <w:trHeight w:val="194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Subjekt verejného záujmu: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čnosť nie je subjektom verejn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záujmu (§ 2/14 ZoU).</w:t>
            </w:r>
          </w:p>
        </w:tc>
      </w:tr>
      <w:tr>
        <w:trPr>
          <w:trHeight w:val="194" w:hRule="auto"/>
          <w:jc w:val="left"/>
        </w:trPr>
        <w:tc>
          <w:tcPr>
            <w:tcW w:w="2636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obdobie:</w:t>
            </w:r>
          </w:p>
        </w:tc>
        <w:tc>
          <w:tcPr>
            <w:tcW w:w="696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Kalendárny rok 2018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25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Test ve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ľkostnej skupiny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(2 ZoU)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(Do ve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ľkostnej skupiny mikro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patrí taká, ktorá za dve po sebe idúce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obdobia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ĺňa aspoň dve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troch podmienok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suma netto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nepresiahla 350 000 eur, 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istý obrat nepresiahol 700 000 eur a priemerný prepo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počas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nepresiahol 10). 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38" w:type="dxa"/>
      </w:tblPr>
      <w:tblGrid>
        <w:gridCol w:w="2197"/>
        <w:gridCol w:w="2835"/>
        <w:gridCol w:w="3260"/>
        <w:gridCol w:w="1276"/>
      </w:tblGrid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Áno/Nie</w:t>
            </w:r>
          </w:p>
        </w:tc>
      </w:tr>
      <w:tr>
        <w:trPr>
          <w:trHeight w:val="276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Netto aktíva celkom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42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3437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452643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nie</w:t>
            </w: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13428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22928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2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áno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Komentár: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UJ sp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ĺň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ve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ľkostn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podmienky na zatriedenie do ve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kostnej skupiny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mikro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preto zostavuje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tovnú závierku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metodiky pre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úto ve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ľkostn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skupinu (Opatrenie 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.MF/23378/2014-74).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Dátum schválenia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bezprostredne predchádzajúce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21.06.2018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Právny dôvod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 zostavenie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závierky:</w:t>
      </w:r>
    </w:p>
    <w:p>
      <w:pPr>
        <w:spacing w:before="0" w:after="0" w:line="240"/>
        <w:ind w:right="0" w:left="668" w:hanging="426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čnosti k 31. decembru 2016 je zostaven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á ako riadna 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á závierka pod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§ 17 ods. 6</w:t>
      </w:r>
    </w:p>
    <w:p>
      <w:pPr>
        <w:spacing w:before="0" w:after="0" w:line="240"/>
        <w:ind w:right="0" w:left="668" w:hanging="426"/>
        <w:jc w:val="left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zákona NR SR 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č. 431/2002 Z.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 z. o 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íctve za ú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  <w:t xml:space="preserve">é obdobie od 1. januára 2018 do 31. decembra 2018.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Údaje o skupine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jednotiek v súvislosti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 konsolidáciou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nevstupuje do skupiny pre konsolidáciu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a) Obchodné meno a sídlo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á zostavuje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konsolidovanú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tovnú závierku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 za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u w:val="single"/>
          <w:shd w:fill="auto" w:val="clear"/>
        </w:rPr>
        <w:t xml:space="preserve">najvä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u w:val="single"/>
          <w:shd w:fill="auto" w:val="clear"/>
        </w:rPr>
        <w:t xml:space="preserve">čš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u w:val="single"/>
          <w:shd w:fill="auto" w:val="clear"/>
        </w:rPr>
        <w:t xml:space="preserve">iu skupinu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, ktorej sú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ťou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á jednotka ako dcérska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á jednotka (najvy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í stupe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 konsolid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ácie):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b) Obchodné meno a sídlo ú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tovnej jednotky, ktorá zostavuje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konsolidovanú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tovnú závierku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 za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u w:val="single"/>
          <w:shd w:fill="auto" w:val="clear"/>
        </w:rPr>
        <w:t xml:space="preserve">najmen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u w:val="single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u w:val="single"/>
          <w:shd w:fill="auto" w:val="clear"/>
        </w:rPr>
        <w:t xml:space="preserve">iu skupinu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, ktorej sú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ťou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á jednotka ako dcérska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á jednotka (bezprostredne vy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šš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í stupe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 konsolid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ácie), a ktorá je tie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 za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á do skupiny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ých jednotiek na najvy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šš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om stupni konsolidácie: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c) Adresa, kde sa mô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e vy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žiadať 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ópia vy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ššie uveden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ých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konsolidovaných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tovných závierok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: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á jednotka je materskou ú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tovnou jednotkou a údaj, 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i je oslobodená od povinnosti zostavi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ť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ú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ú závierku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 a konsolidovanú výro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nú správu pod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§ 22 zákona o ú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tovníctve, pri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om sa uvádzajú: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1. pri oslobodení pod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 § 22 ods. 8 zákona o ú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tovníctve obchodné meno a sídlo materskej ú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tovnej jednotky zostavujúcej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konsolidovanú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tovnú závierku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 pod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 osobitných predpisov (IFRS/EÚ):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2. pri oslobodení pod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 § 22 ods. 10 a 12 zákona o ú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tovníctve obchodné meno a sídlo dcérskych ú</w:t>
      </w:r>
      <w:r>
        <w:rPr>
          <w:rFonts w:ascii="Tahoma" w:hAnsi="Tahoma" w:cs="Tahoma" w:eastAsia="Tahoma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tovných jednotiek: 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čet zamestnancov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</w:t>
      </w:r>
    </w:p>
    <w:tbl>
      <w:tblPr/>
      <w:tblGrid>
        <w:gridCol w:w="4857"/>
        <w:gridCol w:w="2523"/>
        <w:gridCol w:w="2367"/>
      </w:tblGrid>
      <w:tr>
        <w:trPr>
          <w:trHeight w:val="537" w:hRule="auto"/>
          <w:jc w:val="left"/>
        </w:trPr>
        <w:tc>
          <w:tcPr>
            <w:tcW w:w="48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459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3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163" w:hRule="auto"/>
          <w:jc w:val="left"/>
        </w:trPr>
        <w:tc>
          <w:tcPr>
            <w:tcW w:w="48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počas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       0</w:t>
            </w:r>
          </w:p>
        </w:tc>
        <w:tc>
          <w:tcPr>
            <w:tcW w:w="23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                    0</w:t>
            </w:r>
          </w:p>
        </w:tc>
      </w:tr>
    </w:tbl>
    <w:p>
      <w:pPr>
        <w:spacing w:before="0" w:after="0" w:line="240"/>
        <w:ind w:right="-468" w:left="928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ánok II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–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 ORGÁNOCH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 iného orgánu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jednotky, pričom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najmä informácie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 podmienkach a vý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ke jednotlivých druhov záruk alebo iných zabezpe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ení, o pô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a ich podmienkach (vý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úrokov, celková suma pô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čky, suma splatenej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žičky, suma odpustenej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žičky), 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pou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ití majetku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 na súkromné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čely;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 jednotlivé orgány (informácie sa neuvádzajú vtedy, ak by umo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žnili identifik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áciu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čnej situ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 konkrétnej fyzickej osoby):</w:t>
      </w:r>
    </w:p>
    <w:tbl>
      <w:tblPr/>
      <w:tblGrid>
        <w:gridCol w:w="6312"/>
        <w:gridCol w:w="1701"/>
        <w:gridCol w:w="1701"/>
      </w:tblGrid>
      <w:tr>
        <w:trPr>
          <w:trHeight w:val="780" w:hRule="auto"/>
          <w:jc w:val="center"/>
        </w:trPr>
        <w:tc>
          <w:tcPr>
            <w:tcW w:w="63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Orgány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67" w:hRule="auto"/>
          <w:jc w:val="center"/>
        </w:trPr>
        <w:tc>
          <w:tcPr>
            <w:tcW w:w="63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árny orgán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4" w:hRule="auto"/>
          <w:jc w:val="center"/>
        </w:trPr>
        <w:tc>
          <w:tcPr>
            <w:tcW w:w="63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72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Ing. Róbert Ku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nír - konate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1" w:hRule="auto"/>
          <w:jc w:val="center"/>
        </w:trPr>
        <w:tc>
          <w:tcPr>
            <w:tcW w:w="63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1" w:hRule="auto"/>
          <w:jc w:val="center"/>
        </w:trPr>
        <w:tc>
          <w:tcPr>
            <w:tcW w:w="63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Iný orgán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61" w:hRule="auto"/>
          <w:jc w:val="center"/>
        </w:trPr>
        <w:tc>
          <w:tcPr>
            <w:tcW w:w="63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84"/>
              </w:numPr>
              <w:spacing w:before="0" w:after="0" w:line="240"/>
              <w:ind w:right="0" w:left="720" w:hanging="36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druh príjmu (výhody):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ánok III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INFORMÁCIE O PRIJATÝCH POSTUPOCH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1) Informácia, 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zostavená za splnenia predpokladu, 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nepretr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 minim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 12 mesiacov po závierkovom dni v zmysle § 7 ods. 4 zákona o 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tovníctve. Ak by tento predpoklad nebol splnený, uvedie sa aj dopad do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závierky (napr. zru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rezerv): 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50" w:hanging="45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 závierka bola zostavená za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ého trvania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čnosti (going concern).</w:t>
      </w:r>
    </w:p>
    <w:p>
      <w:pPr>
        <w:spacing w:before="0" w:after="0" w:line="240"/>
        <w:ind w:right="0" w:left="450" w:hanging="567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Informácia o aplikácii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zásad a 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ktoré sú dôle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ité na posúdenie majetku, záväzkov,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čnej situ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 a výsledku hospodárenia. Informácia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zmenách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tovných zásad a zmenách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a to s uvedením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dôvodu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ich uplatnenia a ich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vplyvu na hodnotu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majetku, záväzkov, vlastného imania a výsledku hospodárenia. Ak v dôsledku 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zásad a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 nie sú hodnoty za bezprostredne predchádzajúce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v jednotlivých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častiach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porovnate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é, uvádza sa vysvetlenie v neporovnate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hodnotách: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50" w:hanging="45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čtovnou jednotkou 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é. V priebehu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ého obdobia nedo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šlo k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ásadným zmenám  týchto zásad a metód.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3) Informácie o charaktere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transakci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í, ktoré sa neuvádzajú v súvahe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sa uvádza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vplyv týchto transakcií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jednotku, ak sú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riziká alebo prínosy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vyplývajúce z týchto transakcií významné a ak uvedenie týchto rizík alebo prínosov je potrebné na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ely posúdenia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čnej situ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 (napr.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údne spory, zmluvy, 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asovo limitované licencie a oprávnenia, podnikové kombinácie, záväzky investova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dopad legislatívy, celkový pokles v hospodárskom segmente):  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Spôsob a ur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enie oce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majetku a záväzkov (vrátane rozhodujúcich odhadov):</w:t>
      </w:r>
    </w:p>
    <w:p>
      <w:pPr>
        <w:spacing w:before="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ovania majetku a záväzkov (§ 25 ZoU):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706"/>
        <w:gridCol w:w="5300"/>
        <w:gridCol w:w="3600"/>
      </w:tblGrid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externe kúpený: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interne vytvorený: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obstaraný inak (darom):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Reproduk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</w:t>
            </w:r>
            <w:r>
              <w:rPr>
                <w:rFonts w:ascii="Arial Narrow" w:hAnsi="Arial Narrow" w:cs="Arial Narrow" w:eastAsia="Arial Narrow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interne vytvorený: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 obstaraný inak (darom):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Reproduk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majetok: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 Narrow" w:hAnsi="Arial Narrow" w:cs="Arial Narrow" w:eastAsia="Arial Narrow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 Narrow" w:hAnsi="Arial Narrow" w:cs="Arial Narrow" w:eastAsia="Arial Narrow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 Narrow" w:hAnsi="Arial Narrow" w:cs="Arial Narrow" w:eastAsia="Arial Narrow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 Narrow" w:hAnsi="Arial Narrow" w:cs="Arial Narrow" w:eastAsia="Arial Narrow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10.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soby obstarané inak (darom):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Reproduk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 a zákazková výstavba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12.1.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12.2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 Narrow" w:hAnsi="Arial Narrow" w:cs="Arial Narrow" w:eastAsia="Arial Narrow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Tahoma" w:hAnsi="Tahoma" w:cs="Tahoma" w:eastAsia="Tahoma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14.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rozlí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na strane akt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ív súvahy: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Záväzky, vrátane rezerv, dlhopisov, pô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žičiek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úverov: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rozlí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na strane pas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ív súvahy: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 Narrow" w:hAnsi="Arial Narrow" w:cs="Arial Narrow" w:eastAsia="Arial Narrow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-1"/>
                <w:position w:val="0"/>
                <w:sz w:val="22"/>
                <w:shd w:fill="auto" w:val="clear"/>
              </w:rPr>
              <w:t xml:space="preserve">18.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a záväzky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derivátmi: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20.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 a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príjmov: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Trvalé zní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ženie hodnoty majetku nebolo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é. Prechodné zní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ženie hodnoty majetku je za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formou opravnej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stanoven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odborným odhadom bonity klienta resp. odhadom rizika.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Záväzky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tovná jednotka ocenila menovitou hodnotou záväzkov. Rezervy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tovná jednotka ocenila odborným odhadom budúcej menovitej hodnoty potrebnej na ich úhradu.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čenie ocenenia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finančn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nástrojov alebo majetku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ktorý nie je finan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ným nástrojom pri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reálnou hodnotou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čenie ocenenia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finančn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nástrojov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pri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obstarávacou cenou alebo vlastnými nákladmi: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Komentár k 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ňovaniu majetku 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áväzkov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</w:t>
      </w:r>
    </w:p>
    <w:p>
      <w:pPr>
        <w:numPr>
          <w:ilvl w:val="0"/>
          <w:numId w:val="159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é nástroje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definuje § 5 zákona 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.566/2001 Z.z. o cenných papieroch v znení neskor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to napr. cenné papiere (akcie, dlhopisy, do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listy), deriváty (opcie, futures, swapy, forwardy), nástroje pe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trhu (pokladni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pouká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žky, vkladov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listy).</w:t>
      </w:r>
    </w:p>
    <w:p>
      <w:pPr>
        <w:numPr>
          <w:ilvl w:val="0"/>
          <w:numId w:val="159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Opravné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žky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majetku, okrem dlhodobej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 a dlhodobej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žičky, stanovila UJ odborn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odhadom bonity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majetku.</w:t>
      </w:r>
    </w:p>
    <w:p>
      <w:pPr>
        <w:numPr>
          <w:ilvl w:val="0"/>
          <w:numId w:val="159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Opravnú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žku 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 dlhodobej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ávke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ani opravnú polo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ku k dlhodobej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žičke UJ nevytv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árala, nemala k tomu vecnú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ň,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prípade jej tvorby by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met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ódu odúro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enia na sú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asnú hodnotu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(§ 18/8 PU; § 21/6 PU).</w:t>
      </w:r>
    </w:p>
    <w:p>
      <w:pPr>
        <w:numPr>
          <w:ilvl w:val="0"/>
          <w:numId w:val="159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Rezervy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ocenila UJ kalkula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metódou kvalifikovaného odhadu ich menovitej hodnoty na pokrytie budúcich záväzkov.</w:t>
      </w:r>
    </w:p>
    <w:p>
      <w:pPr>
        <w:numPr>
          <w:ilvl w:val="0"/>
          <w:numId w:val="159"/>
        </w:numPr>
        <w:spacing w:before="0" w:after="120" w:line="240"/>
        <w:ind w:right="0" w:left="227" w:hanging="227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(§ 25 ZoU), ani k závierkovému d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 (§ 27 ZoU) nepou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ila ocenenie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reálnou hodnotou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lebo nemala k tomu vecnú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ň.</w:t>
      </w:r>
    </w:p>
    <w:p>
      <w:pPr>
        <w:numPr>
          <w:ilvl w:val="0"/>
          <w:numId w:val="159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pri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úbytku rovnakého druhu zásob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met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ódu FIFO (§ 25/5 ZoU; § 22/1 PU).</w:t>
      </w:r>
    </w:p>
    <w:p>
      <w:pPr>
        <w:numPr>
          <w:ilvl w:val="0"/>
          <w:numId w:val="159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pri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prírastku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cudzej meny v hotovosti alebo na bankový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et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zmen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árenský kurz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konkrétnej banky (§ 24/3 ZoU).</w:t>
      </w:r>
    </w:p>
    <w:p>
      <w:pPr>
        <w:numPr>
          <w:ilvl w:val="0"/>
          <w:numId w:val="159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pri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úbytku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cudzej meny v hotovosti alebo z bankového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ákladné pravidlo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(D-1), teda kurz zo d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predchádzajúceho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prípadu (§ 24/2/a; § 24/6 ZoU).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žila dobrovoľn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ňovanie obchodn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podielov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metódou vlastného imania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(§ 27/9 ZoU).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tabs>
          <w:tab w:val="left" w:pos="1005" w:leader="none"/>
        </w:tabs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 odpisy:</w:t>
      </w:r>
    </w:p>
    <w:tbl>
      <w:tblPr/>
      <w:tblGrid>
        <w:gridCol w:w="4218"/>
        <w:gridCol w:w="1013"/>
        <w:gridCol w:w="2107"/>
        <w:gridCol w:w="2268"/>
      </w:tblGrid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a nehmotný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odpisovaný majetok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íslo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čtu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 rokov)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odpisová sadzba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(%)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Software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013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014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021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 s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príslu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enstvom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022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Dopravné prostriedky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023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4-6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25-16,67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Výrobná  a ost. technológia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022.A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6-12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16,67-8,33</w:t>
            </w:r>
          </w:p>
        </w:tc>
      </w:tr>
      <w:tr>
        <w:trPr>
          <w:trHeight w:val="1" w:hRule="atLeast"/>
          <w:jc w:val="left"/>
        </w:trPr>
        <w:tc>
          <w:tcPr>
            <w:tcW w:w="42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Ost. drobný dlhodobý hmotný majetok</w:t>
            </w:r>
          </w:p>
        </w:tc>
        <w:tc>
          <w:tcPr>
            <w:tcW w:w="10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022.A</w:t>
            </w:r>
          </w:p>
        </w:tc>
        <w:tc>
          <w:tcPr>
            <w:tcW w:w="21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2-3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50-33,33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Komentár k odpisovému plánu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</w:t>
      </w:r>
    </w:p>
    <w:p>
      <w:pPr>
        <w:numPr>
          <w:ilvl w:val="0"/>
          <w:numId w:val="190"/>
        </w:numPr>
        <w:spacing w:before="0" w:after="120" w:line="240"/>
        <w:ind w:right="0" w:left="227" w:hanging="227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tovné odpisy nezávisle na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odpisoch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Majetok sa za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ína 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mesiaci, kedy bol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zaradený do 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ívania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tovné odpisy vychádzajú z predpokladanej doby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ívania majetku. Dlhodobý nehmotný majetok sa odpisuje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5 rokov od jeho obstarania.</w:t>
      </w:r>
    </w:p>
    <w:p>
      <w:pPr>
        <w:numPr>
          <w:ilvl w:val="0"/>
          <w:numId w:val="190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rovnomerné odpisovanie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dlhodobého hmotného majetku a dlhodobého nehmotného majetku. Podrobný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 odpisový plán po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sa vedie v podsystéme Majetok s podporou softvéru Tangram (taktie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odpisy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ákona o dani z príjmov).</w:t>
      </w:r>
    </w:p>
    <w:p>
      <w:pPr>
        <w:numPr>
          <w:ilvl w:val="0"/>
          <w:numId w:val="190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odpisuje jednotlivé veci alebo relevantné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súbory hnute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ných vecí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(napr. po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íta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sie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ť,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ábytková zostava). UJ nepou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komponentné odpisovanie (odpisovanie 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astí majetku - komponentov).</w:t>
      </w:r>
    </w:p>
    <w:p>
      <w:pPr>
        <w:numPr>
          <w:ilvl w:val="0"/>
          <w:numId w:val="190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jednorazov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 odpis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dlhodobého majetku z dôvodu jednorazového trvalého zní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 hodnoty majetku (§ 21/5 PU).</w:t>
      </w:r>
    </w:p>
    <w:p>
      <w:pPr>
        <w:numPr>
          <w:ilvl w:val="0"/>
          <w:numId w:val="190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nepou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íva kategóriu drobného dlhodobého nehmotného majetku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polo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pod 2 400 eur jednotkovej ceny so 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ivotnos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 nad jeden rok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190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pou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íva kategóriu drobného dlhodobého hmotného majetku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- polo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pod 1 700 eur jednotkovej ceny so 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ivotnos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 nad jeden rok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  a takýto majetok odpisuje v zmysle odpisového plánu</w:t>
      </w:r>
    </w:p>
    <w:p>
      <w:pPr>
        <w:numPr>
          <w:ilvl w:val="0"/>
          <w:numId w:val="190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nepou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ého technického zhodnotenia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do odpisovaného dlhodobého majetku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technické zhodnotenie pod 1 700 eur za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(§ 21/3 PU; § 29/2 ZDP).</w:t>
      </w:r>
    </w:p>
    <w:p>
      <w:pPr>
        <w:numPr>
          <w:ilvl w:val="0"/>
          <w:numId w:val="190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nepou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ú kapitalizáciu úrokov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do obstarávacej ceny odpisovaného dlhodobého hmotného majetku alebo dlhodobého nehmotného majetku (§ 34/1 PU; § 35/2/h PU).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Informácia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 poskytnutých dotáciách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pri dotáciách na obstaranie majetku sa uvedú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majetku a ich ocenenie: nebola poskytnutá dotácia. </w:t>
      </w: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o oprave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významných chýb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 uvedením sumy vplyvu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 nerozdelený zisk minulých rokov alebo na neuhradenú stratu minulých rokov.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tovná jednotka mô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 uvies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aj informácie o oprave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nevýznamných chýb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čnosť ne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čtovala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významných opravách chýb minulých období 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/>
      <w:tblGrid>
        <w:gridCol w:w="3075"/>
        <w:gridCol w:w="1040"/>
        <w:gridCol w:w="1039"/>
        <w:gridCol w:w="1928"/>
        <w:gridCol w:w="2519"/>
      </w:tblGrid>
      <w:tr>
        <w:trPr>
          <w:trHeight w:val="1" w:hRule="atLeast"/>
          <w:jc w:val="left"/>
        </w:trPr>
        <w:tc>
          <w:tcPr>
            <w:tcW w:w="30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Opis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prípadu</w:t>
            </w:r>
          </w:p>
        </w:tc>
        <w:tc>
          <w:tcPr>
            <w:tcW w:w="1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Suma</w:t>
            </w:r>
          </w:p>
        </w:tc>
        <w:tc>
          <w:tcPr>
            <w:tcW w:w="10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MD/DAL</w:t>
            </w:r>
          </w:p>
        </w:tc>
        <w:tc>
          <w:tcPr>
            <w:tcW w:w="19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na výsledok</w:t>
            </w:r>
          </w:p>
        </w:tc>
        <w:tc>
          <w:tcPr>
            <w:tcW w:w="2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Vplyv na vlastné imanie</w:t>
            </w:r>
          </w:p>
        </w:tc>
      </w:tr>
      <w:tr>
        <w:trPr>
          <w:trHeight w:val="1" w:hRule="atLeast"/>
          <w:jc w:val="left"/>
        </w:trPr>
        <w:tc>
          <w:tcPr>
            <w:tcW w:w="30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Vysvetlivky k oprave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období:</w:t>
      </w:r>
    </w:p>
    <w:p>
      <w:pPr>
        <w:numPr>
          <w:ilvl w:val="0"/>
          <w:numId w:val="205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 schválení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valnom zhroma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dení 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 otv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knihy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a prípadné opravy sa vykonajú v 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(§ 16/10,11 ZoU).</w:t>
      </w:r>
    </w:p>
    <w:p>
      <w:pPr>
        <w:numPr>
          <w:ilvl w:val="0"/>
          <w:numId w:val="205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Opravy nevýznamných nákladov a nevýznamných výnosov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sa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ako výsledkové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prípady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(§ 5/1 PU).  </w:t>
      </w:r>
    </w:p>
    <w:p>
      <w:pPr>
        <w:numPr>
          <w:ilvl w:val="0"/>
          <w:numId w:val="205"/>
        </w:numPr>
        <w:spacing w:before="0" w:after="120" w:line="240"/>
        <w:ind w:right="0" w:left="227" w:hanging="227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Významné opravy chýb minulých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období sa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(§ 59/13 PU) - 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minul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výsledkom hospodárenia (vo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imaniu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428 alebo 429). </w:t>
      </w:r>
    </w:p>
    <w:p>
      <w:pPr>
        <w:numPr>
          <w:ilvl w:val="0"/>
          <w:numId w:val="205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Hranicu významnosti si UJ stanoví individuálne v internej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smernici (napr. 1 tis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ícina z brutto aktív).</w:t>
      </w:r>
    </w:p>
    <w:p>
      <w:pPr>
        <w:numPr>
          <w:ilvl w:val="0"/>
          <w:numId w:val="205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 ukladaní pokuty za nesprávnosti v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tovníctve prihliadne da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ový úrad aj na to,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UJ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ísomne ohlásila obsah a sumu vykonanej opravy chýb minulých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období (§ 38/5 ZoU).</w:t>
      </w:r>
    </w:p>
    <w:p>
      <w:pPr>
        <w:numPr>
          <w:ilvl w:val="0"/>
          <w:numId w:val="205"/>
        </w:numPr>
        <w:spacing w:before="0" w:after="120" w:line="240"/>
        <w:ind w:right="0" w:left="227" w:hanging="227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Opravy chýb minulých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období sa da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ovo vysporiadajú pod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pravidiel v zákone o dani z príjmov (§ 17/15,29 ZDP) a pravidiel v da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ovom poriadku (§ 16).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ánok IV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INFORMÁCIE, KTORÉ VYSVET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UJÚ A DOP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ĹŇ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AJÚ SÚVAHU A VÝKAZ ZISKOV A STRÁT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Dlhodobý nehmotný majetok, ktorým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goodwill alebo záporný goodwill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dôvod jeho vzniku, spôsob výpo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tu a prehodnotenie opodstatnenosti jeho 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šky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odpisu jeho hodnoty: neú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tovala o goodwille alebo zápornom goodwille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[Vysvetlivky: Záporný goodwill sa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odpí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 do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ýnosov (075/551) jednorázovo v roku jeho vzniku (§ 37 PU).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ňovo sa goodwill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podnikových kombinácií spravidla odpisuje najdlh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šie počas 7 rokov podľa pravidiel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zákone o dani z príjmov (§ 17/11; § 17a - 17e ZDP)]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Informácie o významných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polo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kách derivátov, majetku a záväzkoch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derivátmi (§ 16 PU):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2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derivátoch ani o majetku nimi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čenom.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Pritom sa uvádza forma tohto zabezpe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 a uvádza sa zmena reálnej hodnoty v priebehu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(§ 27 ZoU). Pre ka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dý druh derivátov sa uvádza informácia o rozsahu a povahe týchto derivátov vrátane významných podmienok, ktoré mô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žu ovplyvniť sumu, načasovanie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mieru istoty budúcich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v tabu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kovej forme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informácia zobrazujúca pohyby v 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ovacích rozdieloch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 ocenenia reálnou hodnotou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obdobia.</w:t>
      </w:r>
    </w:p>
    <w:tbl>
      <w:tblPr/>
      <w:tblGrid>
        <w:gridCol w:w="3655"/>
        <w:gridCol w:w="1135"/>
        <w:gridCol w:w="1135"/>
        <w:gridCol w:w="1844"/>
        <w:gridCol w:w="1836"/>
      </w:tblGrid>
      <w:tr>
        <w:trPr>
          <w:trHeight w:val="153" w:hRule="auto"/>
          <w:jc w:val="left"/>
        </w:trPr>
        <w:tc>
          <w:tcPr>
            <w:tcW w:w="36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átov</w:t>
            </w:r>
          </w:p>
        </w:tc>
        <w:tc>
          <w:tcPr>
            <w:tcW w:w="11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Suma</w:t>
            </w:r>
          </w:p>
        </w:tc>
        <w:tc>
          <w:tcPr>
            <w:tcW w:w="11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MD/DAL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na výsledok</w:t>
            </w:r>
          </w:p>
        </w:tc>
        <w:tc>
          <w:tcPr>
            <w:tcW w:w="18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Vplyv na imanie</w:t>
            </w:r>
          </w:p>
        </w:tc>
      </w:tr>
      <w:tr>
        <w:trPr>
          <w:trHeight w:val="62" w:hRule="auto"/>
          <w:jc w:val="left"/>
        </w:trPr>
        <w:tc>
          <w:tcPr>
            <w:tcW w:w="36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9" w:hRule="auto"/>
          <w:jc w:val="left"/>
        </w:trPr>
        <w:tc>
          <w:tcPr>
            <w:tcW w:w="36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-471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12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Komentár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Prvotné ocenenie reálnou hodnotou (§ 25 ZoU) po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bez 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áplne.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[Vysvetlivky: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Reálnou hodnotou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k závierkovému d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ú, okrem iného, aj deriváty a majetok a záväzky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derivátmi (§ 27/1 ZoU); precenenie na reálnu hodnotu k závierkovému d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 sa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16 PU) - výsledkovo (ú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ty 56x, 66x) alebo súvahovo (ú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et 414)].</w:t>
      </w:r>
    </w:p>
    <w:p>
      <w:pPr>
        <w:spacing w:before="0" w:after="12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3a) Celková suma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záväzkov so zostatkovou dobou splatnosti dlh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ou ako 5 rokov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 </w:t>
      </w:r>
    </w:p>
    <w:tbl>
      <w:tblPr/>
      <w:tblGrid>
        <w:gridCol w:w="4785"/>
        <w:gridCol w:w="2553"/>
        <w:gridCol w:w="2376"/>
      </w:tblGrid>
      <w:tr>
        <w:trPr>
          <w:trHeight w:val="693" w:hRule="auto"/>
          <w:jc w:val="center"/>
        </w:trPr>
        <w:tc>
          <w:tcPr>
            <w:tcW w:w="47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5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07" w:hRule="auto"/>
          <w:jc w:val="center"/>
        </w:trPr>
        <w:tc>
          <w:tcPr>
            <w:tcW w:w="47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5 rokov</w:t>
            </w:r>
          </w:p>
        </w:tc>
        <w:tc>
          <w:tcPr>
            <w:tcW w:w="25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410945</w:t>
            </w:r>
          </w:p>
        </w:tc>
        <w:tc>
          <w:tcPr>
            <w:tcW w:w="2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436445</w:t>
            </w:r>
          </w:p>
        </w:tc>
      </w:tr>
    </w:tbl>
    <w:p>
      <w:pPr>
        <w:spacing w:before="120" w:after="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[Vysvetlivky: Zostatková doba splatnosti záväzku alebo jeho 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 rozdiel medzi dohodnutou dobou splatnosti záväzkov a závierkovým d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(§ 12 PU).]</w:t>
      </w:r>
    </w:p>
    <w:p>
      <w:pPr>
        <w:spacing w:before="120" w:after="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14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3b) Celková suma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zabezpe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ených záväzkov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opis a spôsob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áväzkov: </w:t>
      </w:r>
    </w:p>
    <w:tbl>
      <w:tblPr/>
      <w:tblGrid>
        <w:gridCol w:w="4396"/>
        <w:gridCol w:w="2831"/>
        <w:gridCol w:w="2411"/>
      </w:tblGrid>
      <w:tr>
        <w:trPr>
          <w:trHeight w:val="1" w:hRule="atLeast"/>
          <w:jc w:val="center"/>
        </w:trPr>
        <w:tc>
          <w:tcPr>
            <w:tcW w:w="4396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záväzky</w:t>
            </w:r>
          </w:p>
        </w:tc>
        <w:tc>
          <w:tcPr>
            <w:tcW w:w="524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396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4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záväzkov</w:t>
            </w:r>
          </w:p>
        </w:tc>
      </w:tr>
      <w:tr>
        <w:trPr>
          <w:trHeight w:val="69" w:hRule="auto"/>
          <w:jc w:val="center"/>
        </w:trPr>
        <w:tc>
          <w:tcPr>
            <w:tcW w:w="43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</w:t>
            </w:r>
          </w:p>
        </w:tc>
        <w:tc>
          <w:tcPr>
            <w:tcW w:w="2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17" w:hRule="auto"/>
          <w:jc w:val="center"/>
        </w:trPr>
        <w:tc>
          <w:tcPr>
            <w:tcW w:w="43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iným spôsobom </w:t>
            </w:r>
          </w:p>
        </w:tc>
        <w:tc>
          <w:tcPr>
            <w:tcW w:w="2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17" w:hRule="auto"/>
          <w:jc w:val="center"/>
        </w:trPr>
        <w:tc>
          <w:tcPr>
            <w:tcW w:w="43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suma 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záväzkov:</w:t>
            </w:r>
          </w:p>
        </w:tc>
        <w:tc>
          <w:tcPr>
            <w:tcW w:w="28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4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Informácie o vlastných akciách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dôvod nadobudnutia vlastných akcií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obdobia: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b1)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menovitá hodnota nadobudnutých vlastných akcií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menovitá hodnota prevedených vlastných akcií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pri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percentuálna hodnota týchto vlastných akcií na upísanom základnom imaní: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b2)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protihodnota, za ktorú sa vlastné akcie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nadobudli a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protihodnota, za ktorú sa vlastné akcie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previedli na inú osobu: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čet, menovit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hodnota a protihodnota, za ktorú sa vlastné akcie nadobudli a ktoré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má v dr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žbe 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poslednému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obdobia; uvádza sa aj ich percentuálny podiel na upísanom základnom imaní: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5) Informácie o sume a dôvodoch vzniku jednotlivých polo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nákladov alebo výnosov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výnimo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ný rozsah alebo výskyt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(napr. výnosy z predaja podniku alebo jeho 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asti, náklady z dôvodu predaja podniku alebo jeho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časti, škody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dôvodu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živeln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pohrôm): UJ neú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tovala o 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nákladoch a výnosoch.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120" w:line="240"/>
        <w:ind w:right="-471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ánok V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–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 INÝCH AKTÍVACH A INÝCH PASÍVACH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1a)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Podmienený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opis a hodnota pravdepodobného majetku, ktorým sa rozumie 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majetok, ktorý vznikol v dôsledku minulých udalostí a ktorého existencia alebo vlastníctvo závisí od toho,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nastane alebo nenastane jeden alebo viac neist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udalostí v budúcnosti, ktorých vznik nezávisí od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ýmto majetkom sú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napr. 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 zo servisných zmlúv, poistných zmlúv, koncesionárskych zmlúv, licen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zmlúv: UJ nemá takýto majetok.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1b)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Podmienené záväzky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opis a hodnota podmienených záväzkov vyplývajúcich napr. zo súdnych rozhodnutí, z poskytnutých záruk, zo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šeobecne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áväzných právnych predpisov, z 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 podľa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druhov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čenia; tak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podmienenými záväzkami sú: </w:t>
      </w:r>
    </w:p>
    <w:p>
      <w:pPr>
        <w:numPr>
          <w:ilvl w:val="0"/>
          <w:numId w:val="264"/>
        </w:numPr>
        <w:spacing w:before="0" w:after="120" w:line="240"/>
        <w:ind w:right="0" w:left="227" w:hanging="227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 a ktorej existencia závisí od toho,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nastane lebo nenastane jedna alebo viac neist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udalostí v budúcnosti, ktorých vznik nezávisí od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120" w:line="240"/>
        <w:ind w:right="0" w:left="227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66"/>
        </w:numPr>
        <w:spacing w:before="0" w:after="0" w:line="240"/>
        <w:ind w:right="0" w:left="227" w:hanging="227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udalosti, ale ktorá sa nevykazuje v súvahe, preto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nie je pravdepodobn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na splnenie tejto povinnosti bude potrebn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úbytok ekonomických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žitkov, alebo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ška tejto povinnosti sa ned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ľahlivo oceniť: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Ostatné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né povinnosti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ktoré sa nevykazujú v 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výkazoch - napríklad zákonná povinnos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alebo zmluvn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odobrať určit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mno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žstvo produktu, uskutočniť invest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ície a ve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opravy:  UJ nemá takéto povinnosti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3)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Podsúvahové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ty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uvádzajú sa informácie o významných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sledovaných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85 PU): UJ nevedie takýto majetok</w:t>
      </w:r>
    </w:p>
    <w:tbl>
      <w:tblPr/>
      <w:tblGrid>
        <w:gridCol w:w="6311"/>
        <w:gridCol w:w="1701"/>
        <w:gridCol w:w="1593"/>
      </w:tblGrid>
      <w:tr>
        <w:trPr>
          <w:trHeight w:val="780" w:hRule="auto"/>
          <w:jc w:val="center"/>
        </w:trPr>
        <w:tc>
          <w:tcPr>
            <w:tcW w:w="63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podsúvahovej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67" w:hRule="auto"/>
          <w:jc w:val="center"/>
        </w:trPr>
        <w:tc>
          <w:tcPr>
            <w:tcW w:w="63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Prenajatý majetok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44" w:hRule="auto"/>
          <w:jc w:val="center"/>
        </w:trPr>
        <w:tc>
          <w:tcPr>
            <w:tcW w:w="63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prijatý do úschovy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1" w:hRule="auto"/>
          <w:jc w:val="center"/>
        </w:trPr>
        <w:tc>
          <w:tcPr>
            <w:tcW w:w="63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opcií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161" w:hRule="auto"/>
          <w:jc w:val="center"/>
        </w:trPr>
        <w:tc>
          <w:tcPr>
            <w:tcW w:w="63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z opcií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61" w:hRule="auto"/>
          <w:jc w:val="center"/>
        </w:trPr>
        <w:tc>
          <w:tcPr>
            <w:tcW w:w="63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Odpísané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61" w:hRule="auto"/>
          <w:jc w:val="center"/>
        </w:trPr>
        <w:tc>
          <w:tcPr>
            <w:tcW w:w="63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............................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ánok VI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– UDALOSTI,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NASTALI PO ZÁVIERKOVOM DNI</w:t>
      </w: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(Následné udalosti)</w:t>
      </w: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Uvádzajú sa informácie o charaktere a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čnom vplyve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udalostí, ktoré nastali v 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ase po závierkovom dni - do d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zostavenia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(t.j. do d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podpísania výkazov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17/5 ZoU) a ktoré nie sú zoh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adnené v súvahe alebo vo výkaze ziskov a strát, napríklad: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Pokles alebo zvý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enie trhovej ceny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ého majetku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ako dôsledku udalostí, ktoré nastali po dni, ku ktorému sa zostavuje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tovná závierka do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zostavenia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s uvedením dôvodu týchto zmien: neeviduje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Dôvody pre zmenu vý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ky rezerv a opravných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žiek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v dôsledku udalostí po dni, ku ktorému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do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zostavenia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neeviduje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Zmena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íkov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nenastala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Prijaté rozhodnutia o predaji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 alebo jej časti: nenastalo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Zmeny významných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dlhodob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majetku: nenastali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čatie alebo ukončenie činnosti časti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jednotky, napr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íklad 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štepn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závodu, organiza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čnej zložky, prev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ádzkarne: nenastalo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Vydané dlhopisy a iné cenné papiere: neboli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Zlú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čenie, splynutie, rozdelenie a zmena 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ávnej formy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nenastalo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Mimoriadne udalosti, ak majú vplyv na hospodárenie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jednotky, napr. živeln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pohroma: nestali sa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Získanie alebo odobratie licencií alebo iných povolení významných pre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nenastalo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[Vysvetlivky: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Následná udalos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udalos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sa stala následne po závierkovom dni do d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podpísania výkazov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sa v poznámkach.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Upravujúci závierkový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 prípad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stal sa do závierkového d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a, len bol zistený do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podp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ísania výkazov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riadne sa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 do hlavnej knihy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riadne sa vykazuje vo výkazoch (§ 17/8 ZoU; § 2a; § 18/9; § 19/6; § 48/3; § 50/6 PU).]</w:t>
      </w: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ánok VII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– OSTATN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INFORMÁCIE</w:t>
      </w:r>
    </w:p>
    <w:p>
      <w:pPr>
        <w:spacing w:before="0" w:after="0" w:line="240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1) Informácie o výlu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práve poskytova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 vo verejnom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áujme: UJ neposkytuje slu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by vo verejnom záujme,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Informácie o osobitnej kategórii priemyselnej výroby (§ 23d/6 ZoU): UJ nie je v osobitnej kategórii priem. Výroby,</w:t>
      </w:r>
    </w:p>
    <w:p>
      <w:pPr>
        <w:spacing w:before="0" w:after="120" w:line="240"/>
        <w:ind w:right="-471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3) Informácie o 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vz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ťahoch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orgánmi verejnej moci (§ 23d/6 ZoU): UJ nemá finan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né vz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ťahy 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orgánmi verejnej moci.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num w:numId="84">
    <w:abstractNumId w:val="30"/>
  </w:num>
  <w:num w:numId="159">
    <w:abstractNumId w:val="24"/>
  </w:num>
  <w:num w:numId="190">
    <w:abstractNumId w:val="18"/>
  </w:num>
  <w:num w:numId="205">
    <w:abstractNumId w:val="12"/>
  </w:num>
  <w:num w:numId="264">
    <w:abstractNumId w:val="6"/>
  </w:num>
  <w:num w:numId="26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