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ackground w:color="FFFFFF"/>
  <w:body>
    <w:p w:rsidR="00B87364" w:rsidRDefault="001044E0">
      <w:pPr>
        <w:spacing w:after="120" w:line="240" w:lineRule="auto"/>
        <w:jc w:val="center"/>
      </w:pPr>
      <w:r>
        <w:rPr>
          <w:rFonts w:ascii="Calibri" w:eastAsia="Calibri" w:hAnsi="Calibri" w:cs="Calibri"/>
          <w:b/>
          <w:sz w:val="24"/>
          <w:szCs w:val="24"/>
        </w:rPr>
        <w:t>POZNÁMKY K ÚČTOVNEJ ZÁVIERKE 201</w:t>
      </w:r>
      <w:r w:rsidR="004E0699">
        <w:rPr>
          <w:rFonts w:ascii="Calibri" w:eastAsia="Calibri" w:hAnsi="Calibri" w:cs="Calibri"/>
          <w:b/>
          <w:sz w:val="24"/>
          <w:szCs w:val="24"/>
        </w:rPr>
        <w:t>8</w:t>
      </w:r>
    </w:p>
    <w:p w:rsidR="00B87364" w:rsidRDefault="001044E0">
      <w:pPr>
        <w:spacing w:line="240" w:lineRule="auto"/>
        <w:jc w:val="center"/>
      </w:pPr>
      <w:r>
        <w:rPr>
          <w:rFonts w:ascii="Calibri" w:eastAsia="Calibri" w:hAnsi="Calibri" w:cs="Calibri"/>
          <w:sz w:val="24"/>
          <w:szCs w:val="24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 w:rsidR="00B87364" w:rsidRDefault="001044E0">
      <w:pPr>
        <w:spacing w:line="240" w:lineRule="auto"/>
        <w:jc w:val="center"/>
      </w:pPr>
      <w:r>
        <w:rPr>
          <w:rFonts w:ascii="Calibri" w:eastAsia="Calibri" w:hAnsi="Calibri" w:cs="Calibri"/>
          <w:b/>
          <w:sz w:val="24"/>
          <w:szCs w:val="24"/>
        </w:rPr>
        <w:t xml:space="preserve">pre </w:t>
      </w:r>
      <w:r w:rsidR="004E0699">
        <w:rPr>
          <w:rFonts w:ascii="Calibri" w:eastAsia="Calibri" w:hAnsi="Calibri" w:cs="Calibri"/>
          <w:b/>
          <w:sz w:val="24"/>
          <w:szCs w:val="24"/>
        </w:rPr>
        <w:t>mikro</w:t>
      </w:r>
      <w:r>
        <w:rPr>
          <w:rFonts w:ascii="Calibri" w:eastAsia="Calibri" w:hAnsi="Calibri" w:cs="Calibri"/>
          <w:b/>
          <w:sz w:val="24"/>
          <w:szCs w:val="24"/>
        </w:rPr>
        <w:t xml:space="preserve"> účtovné jednotky</w:t>
      </w: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B87364">
      <w:pPr>
        <w:spacing w:line="240" w:lineRule="auto"/>
      </w:pPr>
    </w:p>
    <w:p w:rsidR="00B87364" w:rsidRDefault="001044E0">
      <w:pPr>
        <w:spacing w:line="240" w:lineRule="auto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I – VŠEOBECNÉ INFORMÁCIE</w:t>
      </w:r>
    </w:p>
    <w:p w:rsidR="00B87364" w:rsidRDefault="00B87364">
      <w:pPr>
        <w:spacing w:line="240" w:lineRule="auto"/>
      </w:pPr>
    </w:p>
    <w:p w:rsidR="00B87364" w:rsidRDefault="001044E0">
      <w:pPr>
        <w:spacing w:line="240" w:lineRule="auto"/>
      </w:pPr>
      <w:r>
        <w:rPr>
          <w:rFonts w:ascii="Calibri" w:eastAsia="Calibri" w:hAnsi="Calibri" w:cs="Calibri"/>
          <w:sz w:val="24"/>
          <w:szCs w:val="24"/>
        </w:rPr>
        <w:t>1) Základné informácie o účtovnej jednotke:</w:t>
      </w:r>
    </w:p>
    <w:p w:rsidR="00B87364" w:rsidRDefault="00B87364">
      <w:pPr>
        <w:spacing w:line="240" w:lineRule="auto"/>
      </w:pPr>
    </w:p>
    <w:tbl>
      <w:tblPr>
        <w:tblStyle w:val="a"/>
        <w:tblW w:w="9714" w:type="dxa"/>
        <w:tblInd w:w="-108" w:type="dxa"/>
        <w:tblLayout w:type="fixed"/>
        <w:tblLook w:val="0000" w:firstRow="0" w:lastRow="0" w:firstColumn="0" w:lastColumn="0" w:noHBand="0" w:noVBand="0"/>
      </w:tblPr>
      <w:tblGrid>
        <w:gridCol w:w="2835"/>
        <w:gridCol w:w="6879"/>
      </w:tblGrid>
      <w:tr w:rsidR="00B87364">
        <w:trPr>
          <w:trHeight w:val="340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Obchodné meno:</w:t>
            </w:r>
          </w:p>
        </w:tc>
        <w:tc>
          <w:tcPr>
            <w:tcW w:w="6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F835F6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  <w:highlight w:val="white"/>
              </w:rPr>
              <w:t>VIKA EFEKT PLUS</w:t>
            </w:r>
            <w:r w:rsidR="001044E0">
              <w:rPr>
                <w:rFonts w:ascii="Calibri" w:eastAsia="Calibri" w:hAnsi="Calibri" w:cs="Calibri"/>
                <w:sz w:val="24"/>
                <w:szCs w:val="24"/>
                <w:highlight w:val="white"/>
              </w:rPr>
              <w:t>, s.r.o.</w:t>
            </w:r>
          </w:p>
        </w:tc>
      </w:tr>
      <w:tr w:rsidR="00B87364">
        <w:trPr>
          <w:trHeight w:val="380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Sídlo:</w:t>
            </w:r>
          </w:p>
        </w:tc>
        <w:tc>
          <w:tcPr>
            <w:tcW w:w="6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F835F6" w:rsidP="00F835F6">
            <w:pPr>
              <w:spacing w:line="240" w:lineRule="auto"/>
              <w:jc w:val="both"/>
            </w:pPr>
            <w:r>
              <w:t>022 01 Čadca, Námestie slobody 1016</w:t>
            </w:r>
          </w:p>
        </w:tc>
      </w:tr>
      <w:tr w:rsidR="00B87364">
        <w:trPr>
          <w:trHeight w:val="180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Právna forma:</w:t>
            </w:r>
          </w:p>
        </w:tc>
        <w:tc>
          <w:tcPr>
            <w:tcW w:w="6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Spoločnosť s ručením obmedzeným</w:t>
            </w:r>
          </w:p>
        </w:tc>
      </w:tr>
      <w:tr w:rsidR="00B87364">
        <w:trPr>
          <w:trHeight w:val="220"/>
        </w:trPr>
        <w:tc>
          <w:tcPr>
            <w:tcW w:w="28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Dátum vzniku:</w:t>
            </w:r>
          </w:p>
        </w:tc>
        <w:tc>
          <w:tcPr>
            <w:tcW w:w="68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</w:tcPr>
          <w:p w:rsidR="00B87364" w:rsidRDefault="001044E0" w:rsidP="00F835F6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Zápis do obchodného registra: </w:t>
            </w:r>
            <w:r w:rsidR="00F835F6">
              <w:rPr>
                <w:rFonts w:ascii="Calibri" w:eastAsia="Calibri" w:hAnsi="Calibri" w:cs="Calibri"/>
                <w:sz w:val="24"/>
                <w:szCs w:val="24"/>
              </w:rPr>
              <w:t>22.01.2003</w:t>
            </w:r>
          </w:p>
        </w:tc>
      </w:tr>
      <w:tr w:rsidR="00B87364">
        <w:trPr>
          <w:trHeight w:val="260"/>
        </w:trPr>
        <w:tc>
          <w:tcPr>
            <w:tcW w:w="28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B87364" w:rsidRDefault="001044E0">
            <w:pPr>
              <w:spacing w:line="240" w:lineRule="auto"/>
              <w:ind w:right="1027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Hlavný predmet podnikania:</w:t>
            </w:r>
          </w:p>
        </w:tc>
        <w:tc>
          <w:tcPr>
            <w:tcW w:w="68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</w:tcPr>
          <w:p w:rsidR="00B87364" w:rsidRDefault="00B87364">
            <w:pPr>
              <w:spacing w:line="240" w:lineRule="auto"/>
              <w:jc w:val="both"/>
            </w:pPr>
          </w:p>
          <w:p w:rsidR="00B87364" w:rsidRDefault="00F835F6" w:rsidP="00F835F6">
            <w:pPr>
              <w:spacing w:line="240" w:lineRule="auto"/>
              <w:jc w:val="both"/>
            </w:pPr>
            <w:r>
              <w:t xml:space="preserve">Účtovnícke činnosti, vedenie účtovných kníh ... </w:t>
            </w:r>
          </w:p>
        </w:tc>
      </w:tr>
      <w:tr w:rsidR="00B87364">
        <w:trPr>
          <w:trHeight w:val="520"/>
        </w:trPr>
        <w:tc>
          <w:tcPr>
            <w:tcW w:w="28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Subjekt verejného záujmu:</w:t>
            </w:r>
          </w:p>
        </w:tc>
        <w:tc>
          <w:tcPr>
            <w:tcW w:w="68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</w:tcPr>
          <w:p w:rsidR="00B87364" w:rsidRDefault="001044E0" w:rsidP="00F835F6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Spoločnosť </w:t>
            </w:r>
            <w:r w:rsidR="00F835F6">
              <w:rPr>
                <w:rFonts w:ascii="Calibri" w:eastAsia="Calibri" w:hAnsi="Calibri" w:cs="Calibri"/>
                <w:sz w:val="24"/>
                <w:szCs w:val="24"/>
              </w:rPr>
              <w:t xml:space="preserve">VIKA EFEKT PLUS, 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s.r.o. nie je subjektom verejného záujmu (§ 2/14 ZoU).</w:t>
            </w:r>
          </w:p>
        </w:tc>
      </w:tr>
      <w:tr w:rsidR="00B87364">
        <w:trPr>
          <w:trHeight w:val="300"/>
        </w:trPr>
        <w:tc>
          <w:tcPr>
            <w:tcW w:w="2835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Účtovné obdobie:</w:t>
            </w:r>
          </w:p>
        </w:tc>
        <w:tc>
          <w:tcPr>
            <w:tcW w:w="6879" w:type="dxa"/>
            <w:tcBorders>
              <w:top w:val="single" w:sz="4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B87364" w:rsidRDefault="001044E0" w:rsidP="004E0699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Kalendárny rok 201</w:t>
            </w:r>
            <w:r w:rsidR="004E0699">
              <w:rPr>
                <w:rFonts w:ascii="Calibri" w:eastAsia="Calibri" w:hAnsi="Calibri" w:cs="Calibri"/>
                <w:sz w:val="24"/>
                <w:szCs w:val="24"/>
              </w:rPr>
              <w:t>8</w:t>
            </w:r>
          </w:p>
        </w:tc>
      </w:tr>
    </w:tbl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1044E0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UJ bola v účtovnom období roku 201</w:t>
      </w:r>
      <w:r w:rsidR="004E0699">
        <w:rPr>
          <w:rFonts w:ascii="Calibri" w:eastAsia="Calibri" w:hAnsi="Calibri" w:cs="Calibri"/>
          <w:sz w:val="24"/>
          <w:szCs w:val="24"/>
        </w:rPr>
        <w:t>8</w:t>
      </w:r>
      <w:r>
        <w:rPr>
          <w:rFonts w:ascii="Calibri" w:eastAsia="Calibri" w:hAnsi="Calibri" w:cs="Calibri"/>
          <w:sz w:val="24"/>
          <w:szCs w:val="24"/>
        </w:rPr>
        <w:t xml:space="preserve"> – </w:t>
      </w:r>
      <w:r w:rsidR="00A45FB0">
        <w:rPr>
          <w:rFonts w:ascii="Calibri" w:eastAsia="Calibri" w:hAnsi="Calibri" w:cs="Calibri"/>
          <w:sz w:val="24"/>
          <w:szCs w:val="24"/>
        </w:rPr>
        <w:t>mikro</w:t>
      </w:r>
      <w:r>
        <w:rPr>
          <w:rFonts w:ascii="Calibri" w:eastAsia="Calibri" w:hAnsi="Calibri" w:cs="Calibri"/>
          <w:sz w:val="24"/>
          <w:szCs w:val="24"/>
        </w:rPr>
        <w:t xml:space="preserve"> účtovná jednotka, preto zostavuje účtovnú závierku podľa metodiky pre túto veľkostnú skupinu (Opatrenie č.MF/23378/2014-74).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</w:pPr>
    </w:p>
    <w:p w:rsidR="00B87364" w:rsidRDefault="001044E0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2) Dátum schválenia účtovnej závierky za bezprostredne predchádzajúce účtovné obdobie príslušným orgánom účtovnej jednotky:</w:t>
      </w:r>
    </w:p>
    <w:p w:rsidR="00B87364" w:rsidRDefault="001044E0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1044E0">
      <w:pPr>
        <w:widowControl w:val="0"/>
        <w:spacing w:line="240" w:lineRule="auto"/>
      </w:pPr>
      <w:r>
        <w:rPr>
          <w:rFonts w:ascii="Calibri" w:eastAsia="Calibri" w:hAnsi="Calibri" w:cs="Calibri"/>
          <w:sz w:val="24"/>
          <w:szCs w:val="24"/>
        </w:rPr>
        <w:t>3) Právny dôvod na zostavenie účtovnej závierky: Účtovná závierka Spoločnosti k 31.12.201</w:t>
      </w:r>
      <w:r w:rsidR="004E0699">
        <w:rPr>
          <w:rFonts w:ascii="Calibri" w:eastAsia="Calibri" w:hAnsi="Calibri" w:cs="Calibri"/>
          <w:sz w:val="24"/>
          <w:szCs w:val="24"/>
        </w:rPr>
        <w:t>8</w:t>
      </w:r>
      <w:r>
        <w:rPr>
          <w:rFonts w:ascii="Calibri" w:eastAsia="Calibri" w:hAnsi="Calibri" w:cs="Calibri"/>
          <w:sz w:val="24"/>
          <w:szCs w:val="24"/>
        </w:rPr>
        <w:t>je zostavená ako riadna účtovná závierka podľa §17 ods. 6 Zákona č. 431/2002 Z.z. o účtovníctve za účtovné obdobie od 01. januára 201</w:t>
      </w:r>
      <w:r w:rsidR="004E0699">
        <w:rPr>
          <w:rFonts w:ascii="Calibri" w:eastAsia="Calibri" w:hAnsi="Calibri" w:cs="Calibri"/>
          <w:sz w:val="24"/>
          <w:szCs w:val="24"/>
        </w:rPr>
        <w:t>8</w:t>
      </w:r>
      <w:r>
        <w:rPr>
          <w:rFonts w:ascii="Calibri" w:eastAsia="Calibri" w:hAnsi="Calibri" w:cs="Calibri"/>
          <w:sz w:val="24"/>
          <w:szCs w:val="24"/>
        </w:rPr>
        <w:t xml:space="preserve"> do 31. decembra 201</w:t>
      </w:r>
      <w:r w:rsidR="004E0699">
        <w:rPr>
          <w:rFonts w:ascii="Calibri" w:eastAsia="Calibri" w:hAnsi="Calibri" w:cs="Calibri"/>
          <w:sz w:val="24"/>
          <w:szCs w:val="24"/>
        </w:rPr>
        <w:t>8</w:t>
      </w: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B87364">
      <w:pPr>
        <w:spacing w:line="240" w:lineRule="auto"/>
        <w:ind w:right="-468"/>
        <w:jc w:val="both"/>
      </w:pPr>
    </w:p>
    <w:p w:rsidR="00B87364" w:rsidRDefault="001044E0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4) ÚJ nie je v skupine účtovných jednotiek</w:t>
      </w:r>
    </w:p>
    <w:p w:rsidR="00B87364" w:rsidRDefault="00B87364">
      <w:pPr>
        <w:spacing w:line="240" w:lineRule="auto"/>
        <w:jc w:val="both"/>
      </w:pPr>
    </w:p>
    <w:p w:rsidR="00B87364" w:rsidRDefault="001044E0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5) Priemerný prepočítaný počet zamestnancov účtovnej jednotky:</w:t>
      </w:r>
    </w:p>
    <w:tbl>
      <w:tblPr>
        <w:tblStyle w:val="a0"/>
        <w:tblW w:w="9747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857"/>
        <w:gridCol w:w="2523"/>
        <w:gridCol w:w="2367"/>
      </w:tblGrid>
      <w:tr w:rsidR="00B87364">
        <w:trPr>
          <w:trHeight w:val="520"/>
        </w:trPr>
        <w:tc>
          <w:tcPr>
            <w:tcW w:w="4857" w:type="dxa"/>
            <w:vAlign w:val="center"/>
          </w:tcPr>
          <w:p w:rsidR="00B87364" w:rsidRDefault="001044E0">
            <w:pPr>
              <w:spacing w:line="240" w:lineRule="auto"/>
              <w:ind w:right="459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Názov položky</w:t>
            </w:r>
          </w:p>
        </w:tc>
        <w:tc>
          <w:tcPr>
            <w:tcW w:w="2523" w:type="dxa"/>
            <w:vAlign w:val="center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367" w:type="dxa"/>
            <w:vAlign w:val="center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B87364">
        <w:trPr>
          <w:trHeight w:val="160"/>
        </w:trPr>
        <w:tc>
          <w:tcPr>
            <w:tcW w:w="4857" w:type="dxa"/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Priemerný prepočítaný počet počas účtovného obdobia</w:t>
            </w:r>
          </w:p>
        </w:tc>
        <w:tc>
          <w:tcPr>
            <w:tcW w:w="2523" w:type="dxa"/>
          </w:tcPr>
          <w:p w:rsidR="00B87364" w:rsidRDefault="00F835F6" w:rsidP="00F835F6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3</w:t>
            </w:r>
          </w:p>
        </w:tc>
        <w:tc>
          <w:tcPr>
            <w:tcW w:w="2367" w:type="dxa"/>
          </w:tcPr>
          <w:p w:rsidR="00B87364" w:rsidRDefault="00A45FB0" w:rsidP="00A45FB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3</w:t>
            </w:r>
          </w:p>
        </w:tc>
      </w:tr>
    </w:tbl>
    <w:p w:rsidR="00B87364" w:rsidRDefault="00B87364">
      <w:pPr>
        <w:spacing w:line="240" w:lineRule="auto"/>
        <w:ind w:left="928"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1044E0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II – INFORMÁCIE O ORGÁNOCH SPOLOČNOSTI</w:t>
      </w:r>
    </w:p>
    <w:p w:rsidR="00B87364" w:rsidRDefault="00B87364">
      <w:pPr>
        <w:spacing w:line="240" w:lineRule="auto"/>
        <w:ind w:right="-468"/>
        <w:jc w:val="both"/>
      </w:pPr>
    </w:p>
    <w:p w:rsidR="00B87364" w:rsidRDefault="001044E0">
      <w:pPr>
        <w:spacing w:after="120" w:line="240" w:lineRule="auto"/>
        <w:jc w:val="both"/>
      </w:pPr>
      <w:r>
        <w:rPr>
          <w:rFonts w:ascii="Calibri" w:eastAsia="Calibri" w:hAnsi="Calibri" w:cs="Calibri"/>
          <w:b/>
          <w:sz w:val="24"/>
          <w:szCs w:val="24"/>
        </w:rPr>
        <w:t>Informácie o orgánoch účtovnej jednotky</w:t>
      </w:r>
      <w:r>
        <w:rPr>
          <w:rFonts w:ascii="Calibri" w:eastAsia="Calibri" w:hAnsi="Calibri" w:cs="Calibri"/>
          <w:sz w:val="24"/>
          <w:szCs w:val="24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</w:t>
      </w:r>
    </w:p>
    <w:tbl>
      <w:tblPr>
        <w:tblStyle w:val="a1"/>
        <w:tblW w:w="9817" w:type="dxa"/>
        <w:jc w:val="center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969"/>
        <w:gridCol w:w="2488"/>
        <w:gridCol w:w="2360"/>
      </w:tblGrid>
      <w:tr w:rsidR="00B87364">
        <w:trPr>
          <w:trHeight w:val="860"/>
          <w:jc w:val="center"/>
        </w:trPr>
        <w:tc>
          <w:tcPr>
            <w:tcW w:w="4969" w:type="dxa"/>
            <w:vAlign w:val="center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Orgány účtovnej jednotky</w:t>
            </w:r>
          </w:p>
        </w:tc>
        <w:tc>
          <w:tcPr>
            <w:tcW w:w="2488" w:type="dxa"/>
            <w:vAlign w:val="center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360" w:type="dxa"/>
            <w:vAlign w:val="center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F835F6">
        <w:trPr>
          <w:trHeight w:val="240"/>
          <w:jc w:val="center"/>
        </w:trPr>
        <w:tc>
          <w:tcPr>
            <w:tcW w:w="4969" w:type="dxa"/>
            <w:vAlign w:val="center"/>
          </w:tcPr>
          <w:p w:rsidR="00F835F6" w:rsidRDefault="00F835F6">
            <w:pPr>
              <w:spacing w:line="240" w:lineRule="auto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Štatutárny orgán/Spoločník</w:t>
            </w:r>
          </w:p>
        </w:tc>
        <w:tc>
          <w:tcPr>
            <w:tcW w:w="2488" w:type="dxa"/>
            <w:vAlign w:val="center"/>
          </w:tcPr>
          <w:p w:rsidR="00F835F6" w:rsidRDefault="00F835F6">
            <w:pPr>
              <w:spacing w:line="240" w:lineRule="auto"/>
            </w:pPr>
            <w:r>
              <w:t>Mgr. Grofčíková Jana</w:t>
            </w:r>
          </w:p>
        </w:tc>
        <w:tc>
          <w:tcPr>
            <w:tcW w:w="2360" w:type="dxa"/>
            <w:vAlign w:val="center"/>
          </w:tcPr>
          <w:p w:rsidR="00F835F6" w:rsidRDefault="00F835F6" w:rsidP="00EA6C47">
            <w:pPr>
              <w:spacing w:line="240" w:lineRule="auto"/>
            </w:pPr>
            <w:r>
              <w:t>Mgr. Grofčíková Jana</w:t>
            </w:r>
          </w:p>
        </w:tc>
      </w:tr>
      <w:tr w:rsidR="00F835F6">
        <w:trPr>
          <w:trHeight w:val="240"/>
          <w:jc w:val="center"/>
        </w:trPr>
        <w:tc>
          <w:tcPr>
            <w:tcW w:w="4969" w:type="dxa"/>
            <w:vAlign w:val="center"/>
          </w:tcPr>
          <w:p w:rsidR="00F835F6" w:rsidRDefault="00F835F6">
            <w:pPr>
              <w:numPr>
                <w:ilvl w:val="0"/>
                <w:numId w:val="3"/>
              </w:numPr>
              <w:spacing w:line="240" w:lineRule="auto"/>
              <w:ind w:hanging="360"/>
              <w:rPr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pôžička celkovo</w:t>
            </w:r>
          </w:p>
        </w:tc>
        <w:tc>
          <w:tcPr>
            <w:tcW w:w="2488" w:type="dxa"/>
            <w:vAlign w:val="center"/>
          </w:tcPr>
          <w:p w:rsidR="00F835F6" w:rsidRDefault="00F835F6" w:rsidP="00F835F6">
            <w:pPr>
              <w:spacing w:line="240" w:lineRule="auto"/>
            </w:pPr>
            <w:r>
              <w:t>Mgr. Targošová Silvia</w:t>
            </w:r>
          </w:p>
        </w:tc>
        <w:tc>
          <w:tcPr>
            <w:tcW w:w="2360" w:type="dxa"/>
            <w:vAlign w:val="center"/>
          </w:tcPr>
          <w:p w:rsidR="00F835F6" w:rsidRDefault="00F835F6" w:rsidP="00EA6C47">
            <w:pPr>
              <w:spacing w:line="240" w:lineRule="auto"/>
            </w:pPr>
            <w:r>
              <w:t>Mgr. Targošová Silvia</w:t>
            </w:r>
          </w:p>
        </w:tc>
      </w:tr>
      <w:tr w:rsidR="00F835F6">
        <w:trPr>
          <w:trHeight w:val="140"/>
          <w:jc w:val="center"/>
        </w:trPr>
        <w:tc>
          <w:tcPr>
            <w:tcW w:w="4969" w:type="dxa"/>
            <w:vAlign w:val="center"/>
          </w:tcPr>
          <w:p w:rsidR="00F835F6" w:rsidRDefault="00F835F6">
            <w:pPr>
              <w:numPr>
                <w:ilvl w:val="0"/>
                <w:numId w:val="1"/>
              </w:numPr>
              <w:spacing w:line="240" w:lineRule="auto"/>
              <w:ind w:hanging="360"/>
              <w:rPr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druh príjmu (výhody):</w:t>
            </w:r>
          </w:p>
        </w:tc>
        <w:tc>
          <w:tcPr>
            <w:tcW w:w="2488" w:type="dxa"/>
            <w:vAlign w:val="center"/>
          </w:tcPr>
          <w:p w:rsidR="00F835F6" w:rsidRDefault="00F835F6">
            <w:pPr>
              <w:spacing w:line="240" w:lineRule="auto"/>
            </w:pPr>
            <w:r>
              <w:t>Miháliková Katarína</w:t>
            </w:r>
          </w:p>
        </w:tc>
        <w:tc>
          <w:tcPr>
            <w:tcW w:w="2360" w:type="dxa"/>
            <w:vAlign w:val="center"/>
          </w:tcPr>
          <w:p w:rsidR="00F835F6" w:rsidRDefault="00F835F6" w:rsidP="00EA6C47">
            <w:pPr>
              <w:spacing w:line="240" w:lineRule="auto"/>
            </w:pPr>
            <w:r>
              <w:t>Miháliková Katarína</w:t>
            </w:r>
          </w:p>
        </w:tc>
      </w:tr>
      <w:tr w:rsidR="00F835F6">
        <w:trPr>
          <w:trHeight w:val="160"/>
          <w:jc w:val="center"/>
        </w:trPr>
        <w:tc>
          <w:tcPr>
            <w:tcW w:w="4969" w:type="dxa"/>
            <w:vAlign w:val="center"/>
          </w:tcPr>
          <w:p w:rsidR="00F835F6" w:rsidRDefault="00F835F6">
            <w:pPr>
              <w:spacing w:line="240" w:lineRule="auto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Spoločník</w:t>
            </w:r>
          </w:p>
        </w:tc>
        <w:tc>
          <w:tcPr>
            <w:tcW w:w="2488" w:type="dxa"/>
            <w:vAlign w:val="center"/>
          </w:tcPr>
          <w:p w:rsidR="00F835F6" w:rsidRDefault="00F835F6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F835F6" w:rsidRDefault="00F835F6">
            <w:pPr>
              <w:spacing w:line="240" w:lineRule="auto"/>
            </w:pPr>
          </w:p>
        </w:tc>
      </w:tr>
      <w:tr w:rsidR="00F835F6">
        <w:trPr>
          <w:trHeight w:val="160"/>
          <w:jc w:val="center"/>
        </w:trPr>
        <w:tc>
          <w:tcPr>
            <w:tcW w:w="4969" w:type="dxa"/>
            <w:vAlign w:val="center"/>
          </w:tcPr>
          <w:p w:rsidR="00F835F6" w:rsidRDefault="00F835F6">
            <w:pPr>
              <w:numPr>
                <w:ilvl w:val="0"/>
                <w:numId w:val="1"/>
              </w:numPr>
              <w:spacing w:line="240" w:lineRule="auto"/>
              <w:ind w:hanging="360"/>
              <w:rPr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pôžička celkovo</w:t>
            </w:r>
          </w:p>
        </w:tc>
        <w:tc>
          <w:tcPr>
            <w:tcW w:w="2488" w:type="dxa"/>
            <w:vAlign w:val="center"/>
          </w:tcPr>
          <w:p w:rsidR="00F835F6" w:rsidRDefault="00F835F6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F835F6" w:rsidRDefault="00F835F6">
            <w:pPr>
              <w:spacing w:line="240" w:lineRule="auto"/>
            </w:pPr>
          </w:p>
        </w:tc>
      </w:tr>
      <w:tr w:rsidR="00F835F6">
        <w:trPr>
          <w:trHeight w:val="160"/>
          <w:jc w:val="center"/>
        </w:trPr>
        <w:tc>
          <w:tcPr>
            <w:tcW w:w="4969" w:type="dxa"/>
            <w:vAlign w:val="center"/>
          </w:tcPr>
          <w:p w:rsidR="00F835F6" w:rsidRDefault="00F835F6">
            <w:pPr>
              <w:numPr>
                <w:ilvl w:val="0"/>
                <w:numId w:val="1"/>
              </w:numPr>
              <w:spacing w:line="240" w:lineRule="auto"/>
              <w:ind w:hanging="360"/>
              <w:rPr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druh príjmu (výhody):</w:t>
            </w:r>
          </w:p>
        </w:tc>
        <w:tc>
          <w:tcPr>
            <w:tcW w:w="2488" w:type="dxa"/>
            <w:vAlign w:val="center"/>
          </w:tcPr>
          <w:p w:rsidR="00F835F6" w:rsidRDefault="00F835F6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F835F6" w:rsidRDefault="00F835F6">
            <w:pPr>
              <w:spacing w:line="240" w:lineRule="auto"/>
            </w:pPr>
          </w:p>
        </w:tc>
      </w:tr>
      <w:tr w:rsidR="00F835F6">
        <w:trPr>
          <w:trHeight w:val="160"/>
          <w:jc w:val="center"/>
        </w:trPr>
        <w:tc>
          <w:tcPr>
            <w:tcW w:w="4969" w:type="dxa"/>
            <w:vAlign w:val="center"/>
          </w:tcPr>
          <w:p w:rsidR="00F835F6" w:rsidRDefault="00F835F6">
            <w:pPr>
              <w:spacing w:line="240" w:lineRule="auto"/>
              <w:ind w:left="720"/>
            </w:pPr>
          </w:p>
        </w:tc>
        <w:tc>
          <w:tcPr>
            <w:tcW w:w="2488" w:type="dxa"/>
            <w:vAlign w:val="center"/>
          </w:tcPr>
          <w:p w:rsidR="00F835F6" w:rsidRDefault="00F835F6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F835F6" w:rsidRDefault="00F835F6">
            <w:pPr>
              <w:spacing w:line="240" w:lineRule="auto"/>
            </w:pPr>
          </w:p>
        </w:tc>
      </w:tr>
    </w:tbl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1044E0">
      <w:pPr>
        <w:spacing w:line="240" w:lineRule="auto"/>
        <w:ind w:right="-141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III – INFORMÁCIE O PRIJATÝCH POSTUPOCH</w:t>
      </w:r>
    </w:p>
    <w:p w:rsidR="00B87364" w:rsidRDefault="00B87364">
      <w:pPr>
        <w:spacing w:line="240" w:lineRule="auto"/>
        <w:ind w:right="-141"/>
        <w:jc w:val="both"/>
      </w:pPr>
    </w:p>
    <w:p w:rsidR="00B87364" w:rsidRDefault="001044E0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>1) Účtovná závierka je zostavená za splnenia predpokladu, že ÚJ bude nepretržite pokračovať vo svojej činnosti minimálne 12 mesiacov po závierkovom dni v zmysle § 7 ods. 4 zákona o účtovníctve.</w:t>
      </w:r>
    </w:p>
    <w:p w:rsidR="00B87364" w:rsidRDefault="001044E0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1044E0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>2) Účtovné metódy vychádzajúce z interných smerníc spoločnosti a všeobecné účtovné zásady boli účtovnou jednotkou konzistentne aplikované</w:t>
      </w:r>
    </w:p>
    <w:p w:rsidR="00B87364" w:rsidRDefault="00B87364">
      <w:pPr>
        <w:spacing w:line="240" w:lineRule="auto"/>
        <w:ind w:right="-141"/>
        <w:jc w:val="both"/>
      </w:pPr>
    </w:p>
    <w:p w:rsidR="00B87364" w:rsidRDefault="001044E0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>3) ÚJ neeviduje žiadne transakcie, ktoré sa neuvádzajú v súvahe.</w:t>
      </w:r>
    </w:p>
    <w:p w:rsidR="00B87364" w:rsidRDefault="001044E0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</w:p>
    <w:p w:rsidR="00B87364" w:rsidRDefault="001044E0">
      <w:pPr>
        <w:spacing w:after="120"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>4) Spôsob a určenie oceňovania majetku a záväzkov (vrátane rozhodujúcich odhadov):</w:t>
      </w:r>
    </w:p>
    <w:p w:rsidR="00B87364" w:rsidRDefault="001044E0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>a) Spôsob oceňovania majetku a záväzkov (§ 25 ZoU):</w:t>
      </w:r>
    </w:p>
    <w:p w:rsidR="00B87364" w:rsidRDefault="00B87364">
      <w:pPr>
        <w:widowControl w:val="0"/>
        <w:tabs>
          <w:tab w:val="left" w:pos="808"/>
        </w:tabs>
        <w:spacing w:line="240" w:lineRule="auto"/>
        <w:jc w:val="both"/>
      </w:pPr>
    </w:p>
    <w:tbl>
      <w:tblPr>
        <w:tblStyle w:val="a2"/>
        <w:tblW w:w="9606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706"/>
        <w:gridCol w:w="5300"/>
        <w:gridCol w:w="3600"/>
      </w:tblGrid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Spôsob oceňovania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nehmotný majetok externe kúpený: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nehmotný majetok interne vytvorený: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Vlastné náklady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nehmotný majetok obstaraný inak (darom):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Reprodukčná 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hmotný majetok interne vytvorený: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Vlastné náklady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nehmotný majetok obstaraný inak (darom):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Reprodukčná 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7.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lastRenderedPageBreak/>
              <w:t>8.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Zásoby obstarané kúpou: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9.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Zásoby vytvorené vlastnou činnosťou: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Vlastné náklady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Zásoby obstarané inak (darom):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Reprodukčná 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ZV a zákazková výstavba nehnuteľnosti určenej na predaj: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Vlastné pohľadávky: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Kúpené pohľadávky: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Krátkodobý finančný majetok: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17.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Deriváty: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18.</w:t>
            </w:r>
          </w:p>
        </w:tc>
        <w:tc>
          <w:tcPr>
            <w:tcW w:w="5300" w:type="dxa"/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Majetok a záväzky zabezpečené derivátmi: </w:t>
            </w:r>
          </w:p>
        </w:tc>
        <w:tc>
          <w:tcPr>
            <w:tcW w:w="3600" w:type="dxa"/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19.</w:t>
            </w:r>
          </w:p>
        </w:tc>
        <w:tc>
          <w:tcPr>
            <w:tcW w:w="5300" w:type="dxa"/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Prenajatý majetok a majetok obstaraný na základe zmluvy o kúpe prenajatej veci:</w:t>
            </w:r>
          </w:p>
        </w:tc>
        <w:tc>
          <w:tcPr>
            <w:tcW w:w="3600" w:type="dxa"/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20.</w:t>
            </w:r>
          </w:p>
        </w:tc>
        <w:tc>
          <w:tcPr>
            <w:tcW w:w="5300" w:type="dxa"/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Splatná daň z príjmov a odložená daň z príjmov:</w:t>
            </w:r>
          </w:p>
        </w:tc>
        <w:tc>
          <w:tcPr>
            <w:tcW w:w="3600" w:type="dxa"/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</w:tbl>
    <w:p w:rsidR="00B87364" w:rsidRDefault="00B87364">
      <w:pPr>
        <w:spacing w:line="240" w:lineRule="auto"/>
        <w:jc w:val="both"/>
      </w:pPr>
    </w:p>
    <w:p w:rsidR="00B87364" w:rsidRDefault="001044E0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b) Trvalé zníženie hodnoty majetku nebolo účtované. </w:t>
      </w:r>
    </w:p>
    <w:p w:rsidR="00B87364" w:rsidRDefault="00B87364">
      <w:pPr>
        <w:spacing w:after="120" w:line="240" w:lineRule="auto"/>
        <w:jc w:val="both"/>
      </w:pPr>
    </w:p>
    <w:p w:rsidR="00B87364" w:rsidRDefault="001044E0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c) Záväzky účtovná jednotka ocenila menovitou hodnotou záväzkov. </w:t>
      </w:r>
    </w:p>
    <w:p w:rsidR="00B87364" w:rsidRDefault="00B87364">
      <w:pPr>
        <w:spacing w:after="120" w:line="240" w:lineRule="auto"/>
        <w:jc w:val="both"/>
      </w:pPr>
    </w:p>
    <w:p w:rsidR="00B87364" w:rsidRDefault="001044E0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d) Účtovná jednotka nepoužila dobrovoľné oceňovanie obchodných podielov metódou vlastného imania (§ 27/9 ZoU).</w:t>
      </w:r>
    </w:p>
    <w:p w:rsidR="00B87364" w:rsidRDefault="00B87364">
      <w:pPr>
        <w:keepNext/>
        <w:tabs>
          <w:tab w:val="left" w:pos="1005"/>
        </w:tabs>
        <w:spacing w:after="120" w:line="240" w:lineRule="auto"/>
        <w:jc w:val="both"/>
      </w:pPr>
    </w:p>
    <w:p w:rsidR="00B87364" w:rsidRDefault="001044E0">
      <w:pPr>
        <w:keepNext/>
        <w:tabs>
          <w:tab w:val="left" w:pos="1005"/>
        </w:tabs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f) Tvorba odpisového plánu pre dlhodobý majetok, pričom sa uvádza doba odpisovania, sadzby odpisov a odpisové metódy pre účtovné odpisy:</w:t>
      </w:r>
    </w:p>
    <w:tbl>
      <w:tblPr>
        <w:tblStyle w:val="a3"/>
        <w:tblW w:w="9606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218"/>
        <w:gridCol w:w="1013"/>
        <w:gridCol w:w="2107"/>
        <w:gridCol w:w="2268"/>
      </w:tblGrid>
      <w:tr w:rsidR="00B87364">
        <w:tc>
          <w:tcPr>
            <w:tcW w:w="4218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Dlhodobý hmotný a nehmotný</w:t>
            </w:r>
          </w:p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odpisovaný majetok</w:t>
            </w:r>
          </w:p>
        </w:tc>
        <w:tc>
          <w:tcPr>
            <w:tcW w:w="1013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číslo</w:t>
            </w:r>
          </w:p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účtu</w:t>
            </w:r>
          </w:p>
        </w:tc>
        <w:tc>
          <w:tcPr>
            <w:tcW w:w="2107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doba odpisovania</w:t>
            </w:r>
          </w:p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(počet rokov)</w:t>
            </w:r>
          </w:p>
        </w:tc>
        <w:tc>
          <w:tcPr>
            <w:tcW w:w="2268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 xml:space="preserve">odpisová sadzba </w:t>
            </w:r>
          </w:p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(%)</w:t>
            </w:r>
          </w:p>
        </w:tc>
      </w:tr>
      <w:tr w:rsidR="00B87364">
        <w:tc>
          <w:tcPr>
            <w:tcW w:w="4218" w:type="dxa"/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Software</w:t>
            </w:r>
          </w:p>
        </w:tc>
        <w:tc>
          <w:tcPr>
            <w:tcW w:w="1013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013</w:t>
            </w:r>
          </w:p>
        </w:tc>
        <w:tc>
          <w:tcPr>
            <w:tcW w:w="2107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Ostatný DNM </w:t>
            </w:r>
          </w:p>
        </w:tc>
        <w:tc>
          <w:tcPr>
            <w:tcW w:w="1013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019</w:t>
            </w:r>
          </w:p>
        </w:tc>
        <w:tc>
          <w:tcPr>
            <w:tcW w:w="2107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Stavby</w:t>
            </w:r>
          </w:p>
        </w:tc>
        <w:tc>
          <w:tcPr>
            <w:tcW w:w="1013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021</w:t>
            </w:r>
          </w:p>
        </w:tc>
        <w:tc>
          <w:tcPr>
            <w:tcW w:w="2107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20</w:t>
            </w:r>
          </w:p>
        </w:tc>
        <w:tc>
          <w:tcPr>
            <w:tcW w:w="2268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5</w:t>
            </w:r>
          </w:p>
        </w:tc>
      </w:tr>
      <w:tr w:rsidR="00B87364">
        <w:tc>
          <w:tcPr>
            <w:tcW w:w="4218" w:type="dxa"/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Počítače s príslušenstvom</w:t>
            </w:r>
          </w:p>
        </w:tc>
        <w:tc>
          <w:tcPr>
            <w:tcW w:w="1013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022.A</w:t>
            </w:r>
          </w:p>
        </w:tc>
        <w:tc>
          <w:tcPr>
            <w:tcW w:w="2107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Dopravné prostriedky</w:t>
            </w:r>
          </w:p>
        </w:tc>
        <w:tc>
          <w:tcPr>
            <w:tcW w:w="1013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022</w:t>
            </w:r>
          </w:p>
        </w:tc>
        <w:tc>
          <w:tcPr>
            <w:tcW w:w="2107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Ostatné stroje</w:t>
            </w:r>
          </w:p>
        </w:tc>
        <w:tc>
          <w:tcPr>
            <w:tcW w:w="1013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022.A</w:t>
            </w:r>
          </w:p>
        </w:tc>
        <w:tc>
          <w:tcPr>
            <w:tcW w:w="2107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Ostatný dlhodobý hmotný majetok</w:t>
            </w:r>
          </w:p>
        </w:tc>
        <w:tc>
          <w:tcPr>
            <w:tcW w:w="1013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022</w:t>
            </w:r>
          </w:p>
        </w:tc>
        <w:tc>
          <w:tcPr>
            <w:tcW w:w="2107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</w:tbl>
    <w:p w:rsidR="00B87364" w:rsidRDefault="001044E0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1044E0">
      <w:pPr>
        <w:spacing w:after="120" w:line="240" w:lineRule="auto"/>
      </w:pPr>
      <w:r>
        <w:rPr>
          <w:rFonts w:ascii="Calibri" w:eastAsia="Calibri" w:hAnsi="Calibri" w:cs="Calibri"/>
          <w:sz w:val="24"/>
          <w:szCs w:val="24"/>
        </w:rPr>
        <w:t xml:space="preserve">Komentár k odpisovému plánu: </w:t>
      </w:r>
    </w:p>
    <w:p w:rsidR="00B87364" w:rsidRDefault="001044E0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 xml:space="preserve">UJ používa účtovné odpisy nezávisle na daňových odpisoch. Majetok sa začína odpisovať v mesiaci, kedy bol zaradený do užívania. Účtovné odpisy vychádzajú z predpokladanej doby </w:t>
      </w:r>
      <w:r>
        <w:rPr>
          <w:rFonts w:ascii="Calibri" w:eastAsia="Calibri" w:hAnsi="Calibri" w:cs="Calibri"/>
          <w:sz w:val="24"/>
          <w:szCs w:val="24"/>
        </w:rPr>
        <w:lastRenderedPageBreak/>
        <w:t>používania majetku. Dlhodobý nehmotný majetok sa odpisuje počas 4 rokov od jeho obstarania.</w:t>
      </w:r>
    </w:p>
    <w:p w:rsidR="00B87364" w:rsidRDefault="001044E0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UJ používa rovnomerné odpisovanie dlhodobého hmotného majetku a dlhodobého nehmotného majetku. Podrobný účtovný odpisový plán po položkách sa vedie v podsystéme Majetok (taktiež daňové odpisy podľa zákona o dani z príjmov).</w:t>
      </w:r>
    </w:p>
    <w:p w:rsidR="00B87364" w:rsidRDefault="001044E0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UJ odpisuje jednotlivé veci alebo relevantné súbory hnuteľných vecí (napr. počítačová sieť, nábytková zostava). UJ nepoužíva komponentné odpisovanie (odpisovanie častí majetku - komponentov).</w:t>
      </w:r>
    </w:p>
    <w:p w:rsidR="00B87364" w:rsidRDefault="001044E0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UJ nepoužila jednorazový odpis</w:t>
      </w:r>
      <w:r>
        <w:rPr>
          <w:rFonts w:ascii="Calibri" w:eastAsia="Calibri" w:hAnsi="Calibri" w:cs="Calibri"/>
          <w:b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dlhodobého majetku z dôvodu jednorazového trvalého zníženia hodnoty majetku (§ 21/5 PU).</w:t>
      </w:r>
    </w:p>
    <w:p w:rsidR="00B87364" w:rsidRDefault="001044E0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ÚJ nepoužíva kategóriu drobného dlhodobého nehmotného majetku - položky pod 2 400 eur jednotkovej ceny so životnosťou nad jeden rok (§ 13/2 PU).</w:t>
      </w:r>
    </w:p>
    <w:p w:rsidR="00B87364" w:rsidRDefault="001044E0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ÚJ nepoužíva kategóriu drobného dlhodobého hmotného majetku - položky pod 1 700 eur jednotkovej ceny so životnosťou nad jeden rok (§ 13/6 PU).</w:t>
      </w:r>
    </w:p>
    <w:p w:rsidR="00B87364" w:rsidRDefault="001044E0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ÚJ nepoužíva dobrovoľné účtovanie podlimitného technického zhodnotenia do odpisovaného dlhodobého majetku – technické zhodnotenie pod 1 700 eur za účtovné obdobie (§ 21/3 PU; § 29/2 ZDP).</w:t>
      </w:r>
    </w:p>
    <w:p w:rsidR="00B87364" w:rsidRDefault="001044E0">
      <w:pPr>
        <w:numPr>
          <w:ilvl w:val="0"/>
          <w:numId w:val="2"/>
        </w:numPr>
        <w:spacing w:after="120" w:line="240" w:lineRule="auto"/>
        <w:ind w:hanging="360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ÚJ nepoužíva dobrovoľnú kapitalizáciu úrokov do obstarávacej ceny odpisovaného dlhodobého hmotného majetku alebo dlhodobého nehmotného majetku (§ 34/1 PU; § 35/2/h PU).</w:t>
      </w:r>
    </w:p>
    <w:p w:rsidR="00B87364" w:rsidRDefault="00B87364">
      <w:pPr>
        <w:spacing w:after="120" w:line="240" w:lineRule="auto"/>
        <w:jc w:val="both"/>
      </w:pPr>
    </w:p>
    <w:p w:rsidR="00B87364" w:rsidRDefault="001044E0">
      <w:pPr>
        <w:spacing w:line="240" w:lineRule="auto"/>
      </w:pPr>
      <w:r>
        <w:rPr>
          <w:rFonts w:ascii="Calibri" w:eastAsia="Calibri" w:hAnsi="Calibri" w:cs="Calibri"/>
          <w:sz w:val="24"/>
          <w:szCs w:val="24"/>
        </w:rPr>
        <w:t>g) ÚJ neboli v zdaňovacom období roku 201</w:t>
      </w:r>
      <w:r w:rsidR="004E0699">
        <w:rPr>
          <w:rFonts w:ascii="Calibri" w:eastAsia="Calibri" w:hAnsi="Calibri" w:cs="Calibri"/>
          <w:sz w:val="24"/>
          <w:szCs w:val="24"/>
        </w:rPr>
        <w:t>8</w:t>
      </w:r>
      <w:r>
        <w:rPr>
          <w:rFonts w:ascii="Calibri" w:eastAsia="Calibri" w:hAnsi="Calibri" w:cs="Calibri"/>
          <w:sz w:val="24"/>
          <w:szCs w:val="24"/>
        </w:rPr>
        <w:t xml:space="preserve"> poskytnuté žiadne dotácie</w:t>
      </w:r>
    </w:p>
    <w:p w:rsidR="00B87364" w:rsidRDefault="00B87364">
      <w:pPr>
        <w:keepNext/>
        <w:spacing w:after="120" w:line="240" w:lineRule="auto"/>
        <w:jc w:val="both"/>
      </w:pPr>
    </w:p>
    <w:p w:rsidR="00B87364" w:rsidRDefault="001044E0">
      <w:pPr>
        <w:spacing w:line="240" w:lineRule="auto"/>
      </w:pPr>
      <w:r>
        <w:rPr>
          <w:rFonts w:ascii="Calibri" w:eastAsia="Calibri" w:hAnsi="Calibri" w:cs="Calibri"/>
          <w:sz w:val="24"/>
          <w:szCs w:val="24"/>
        </w:rPr>
        <w:t>5) ÚJ v zdaňovacom období roku 201</w:t>
      </w:r>
      <w:r w:rsidR="004E0699">
        <w:rPr>
          <w:rFonts w:ascii="Calibri" w:eastAsia="Calibri" w:hAnsi="Calibri" w:cs="Calibri"/>
          <w:sz w:val="24"/>
          <w:szCs w:val="24"/>
        </w:rPr>
        <w:t xml:space="preserve">8 </w:t>
      </w:r>
      <w:bookmarkStart w:id="0" w:name="_GoBack"/>
      <w:bookmarkEnd w:id="0"/>
      <w:r>
        <w:rPr>
          <w:rFonts w:ascii="Calibri" w:eastAsia="Calibri" w:hAnsi="Calibri" w:cs="Calibri"/>
          <w:sz w:val="24"/>
          <w:szCs w:val="24"/>
        </w:rPr>
        <w:t>nevykonala žiadne opravy významných chýb.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1044E0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IV – INFORMÁCIE, KTORÉ VYSVETĽUJÚ A DOPĹŇAJÚ SÚVAHU A VÝKAZ ZISKOV A STRÁT</w:t>
      </w:r>
    </w:p>
    <w:p w:rsidR="00B87364" w:rsidRDefault="00B87364">
      <w:pPr>
        <w:spacing w:line="240" w:lineRule="auto"/>
        <w:ind w:right="-468"/>
        <w:jc w:val="both"/>
      </w:pPr>
    </w:p>
    <w:p w:rsidR="00B87364" w:rsidRDefault="001044E0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1) ÚJ neeviduje žiadne položky nehmotného majetku.</w:t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1044E0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2) ÚJ neeviduje žiadne položky významných derivátov, majetku a záväzkoch zabezpečených derivátmi.</w:t>
      </w:r>
    </w:p>
    <w:p w:rsidR="00B87364" w:rsidRDefault="00B87364">
      <w:pPr>
        <w:spacing w:after="120" w:line="240" w:lineRule="auto"/>
        <w:jc w:val="both"/>
      </w:pPr>
    </w:p>
    <w:p w:rsidR="00B87364" w:rsidRDefault="001044E0">
      <w:pPr>
        <w:spacing w:after="120"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3a) ÚJ neeviduje žiadne položky zabezpečených záväzkov so zostatkovou dobou splatnosti dlhšou </w:t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  <w:t xml:space="preserve"> ako 5 rokov:  </w:t>
      </w:r>
    </w:p>
    <w:p w:rsidR="00B87364" w:rsidRDefault="00B87364">
      <w:pPr>
        <w:spacing w:after="120" w:line="240" w:lineRule="auto"/>
        <w:ind w:right="-141"/>
        <w:jc w:val="both"/>
      </w:pPr>
    </w:p>
    <w:tbl>
      <w:tblPr>
        <w:tblStyle w:val="a4"/>
        <w:tblW w:w="9714" w:type="dxa"/>
        <w:jc w:val="center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785"/>
        <w:gridCol w:w="2553"/>
        <w:gridCol w:w="2376"/>
      </w:tblGrid>
      <w:tr w:rsidR="00B87364">
        <w:trPr>
          <w:trHeight w:val="680"/>
          <w:jc w:val="center"/>
        </w:trPr>
        <w:tc>
          <w:tcPr>
            <w:tcW w:w="4785" w:type="dxa"/>
            <w:vAlign w:val="center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Názov položky</w:t>
            </w:r>
          </w:p>
        </w:tc>
        <w:tc>
          <w:tcPr>
            <w:tcW w:w="2553" w:type="dxa"/>
            <w:vAlign w:val="center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376" w:type="dxa"/>
            <w:vAlign w:val="center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B87364">
        <w:trPr>
          <w:trHeight w:val="200"/>
          <w:jc w:val="center"/>
        </w:trPr>
        <w:tc>
          <w:tcPr>
            <w:tcW w:w="4785" w:type="dxa"/>
            <w:vAlign w:val="center"/>
          </w:tcPr>
          <w:p w:rsidR="00B87364" w:rsidRDefault="001044E0">
            <w:pPr>
              <w:spacing w:line="240" w:lineRule="auto"/>
            </w:pPr>
            <w:r>
              <w:rPr>
                <w:rFonts w:ascii="Calibri" w:eastAsia="Calibri" w:hAnsi="Calibri" w:cs="Calibri"/>
                <w:sz w:val="24"/>
                <w:szCs w:val="24"/>
              </w:rPr>
              <w:lastRenderedPageBreak/>
              <w:t>Záväzky so zostatkovou dobou splatnosti nad 5 rokov</w:t>
            </w:r>
          </w:p>
        </w:tc>
        <w:tc>
          <w:tcPr>
            <w:tcW w:w="2553" w:type="dxa"/>
            <w:vAlign w:val="center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</w:t>
            </w:r>
          </w:p>
        </w:tc>
        <w:tc>
          <w:tcPr>
            <w:tcW w:w="2376" w:type="dxa"/>
            <w:vAlign w:val="center"/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</w:t>
            </w:r>
          </w:p>
        </w:tc>
      </w:tr>
    </w:tbl>
    <w:p w:rsidR="00B87364" w:rsidRDefault="00B87364">
      <w:pPr>
        <w:spacing w:before="120" w:line="240" w:lineRule="auto"/>
        <w:ind w:right="-471"/>
        <w:jc w:val="both"/>
      </w:pPr>
    </w:p>
    <w:p w:rsidR="00B87364" w:rsidRDefault="001044E0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3b) ÚJ neeviduje žiadne položky zabezpečených záväzkov.</w:t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1044E0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4) ÚJ neeviduje žiadne vlastné akcie.</w:t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1044E0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5) ÚJ neeviduje žiadne položky nákladov alebo výnosov, ktoré majú výnimočný rozsah alebo výskyt.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1044E0">
      <w:pPr>
        <w:spacing w:after="120" w:line="240" w:lineRule="auto"/>
        <w:ind w:right="-471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V – INFORMÁCIE O INÝCH AKTÍVACH A INÝCH PASÍVACH</w:t>
      </w:r>
    </w:p>
    <w:p w:rsidR="00B87364" w:rsidRDefault="00B87364">
      <w:pPr>
        <w:spacing w:after="120" w:line="240" w:lineRule="auto"/>
        <w:ind w:right="-471"/>
        <w:jc w:val="center"/>
      </w:pPr>
    </w:p>
    <w:p w:rsidR="00B87364" w:rsidRDefault="001044E0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1a) ÚJ neeviduje žiadne položky podmieneného majetku.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1044E0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1b) ÚJ neeviduje žiadne položky podmienených záväzkov.</w:t>
      </w:r>
    </w:p>
    <w:p w:rsidR="00B87364" w:rsidRDefault="00B87364">
      <w:pPr>
        <w:spacing w:after="120"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1044E0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2) ÚJ neeviduje žiadne ostatné finančné povinnosti, ktoré a nevykazujú v účtovných výkazoch.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1044E0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3 V účtovníctve ÚJ sa nenachádzajú žiadne položky evidované na podsúvahových účtoch.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ind w:right="-468"/>
        <w:jc w:val="center"/>
      </w:pPr>
    </w:p>
    <w:p w:rsidR="00B87364" w:rsidRDefault="001044E0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VI – UDALOSTI, KTORÉ NASTALI PO ZÁVIERKOVOM DNI</w:t>
      </w:r>
    </w:p>
    <w:p w:rsidR="00B87364" w:rsidRDefault="001044E0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(Následné udalosti)</w:t>
      </w:r>
    </w:p>
    <w:p w:rsidR="00B87364" w:rsidRDefault="00B87364">
      <w:pPr>
        <w:spacing w:line="240" w:lineRule="auto"/>
        <w:ind w:right="-468"/>
        <w:jc w:val="center"/>
      </w:pPr>
    </w:p>
    <w:p w:rsidR="00B87364" w:rsidRDefault="001044E0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ÚJ neeviduje žiadne udalosti, ktoré nastali po závierkovom dni.</w:t>
      </w:r>
    </w:p>
    <w:p w:rsidR="00B87364" w:rsidRDefault="00B87364">
      <w:pPr>
        <w:spacing w:line="240" w:lineRule="auto"/>
        <w:ind w:right="-468"/>
        <w:jc w:val="center"/>
      </w:pPr>
    </w:p>
    <w:p w:rsidR="00B87364" w:rsidRDefault="00B87364">
      <w:pPr>
        <w:spacing w:line="240" w:lineRule="auto"/>
        <w:ind w:right="-468"/>
        <w:jc w:val="center"/>
      </w:pPr>
    </w:p>
    <w:p w:rsidR="00B87364" w:rsidRDefault="001044E0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VII – OSTATNÉ INFORMÁCIE</w:t>
      </w:r>
    </w:p>
    <w:p w:rsidR="00B87364" w:rsidRDefault="00B87364">
      <w:pPr>
        <w:spacing w:line="240" w:lineRule="auto"/>
        <w:ind w:right="-468"/>
        <w:jc w:val="both"/>
      </w:pPr>
    </w:p>
    <w:p w:rsidR="00B87364" w:rsidRDefault="001044E0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1) ÚJ nemá žiadne právo poskytovať služby vo verejnom záujme.</w:t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1044E0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2) ÚJ nemá žiadnu priemyselnú výrobu. (§ 23d/6 ZoU)</w:t>
      </w:r>
    </w:p>
    <w:p w:rsidR="00B87364" w:rsidRDefault="001044E0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</w:p>
    <w:p w:rsidR="00B87364" w:rsidRDefault="001044E0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3) ÚJ nemá žiadne finančné vzťahy s orgánmi verejnej moci. (§ 23d/6 ZoU)</w:t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B87364">
      <w:pPr>
        <w:spacing w:after="120" w:line="240" w:lineRule="auto"/>
      </w:pPr>
    </w:p>
    <w:p w:rsidR="00B87364" w:rsidRDefault="001044E0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</w:p>
    <w:sectPr w:rsidR="00B87364">
      <w:headerReference w:type="default" r:id="rId7"/>
      <w:footerReference w:type="default" r:id="rId8"/>
      <w:pgSz w:w="11907" w:h="16840"/>
      <w:pgMar w:top="1417" w:right="992" w:bottom="1417" w:left="1417" w:header="708" w:footer="708" w:gutter="0"/>
      <w:pgNumType w:start="1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26C4A" w:rsidRDefault="001044E0">
      <w:pPr>
        <w:spacing w:line="240" w:lineRule="auto"/>
      </w:pPr>
      <w:r>
        <w:separator/>
      </w:r>
    </w:p>
  </w:endnote>
  <w:endnote w:type="continuationSeparator" w:id="0">
    <w:p w:rsidR="00226C4A" w:rsidRDefault="001044E0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87364" w:rsidRDefault="001044E0">
    <w:pPr>
      <w:tabs>
        <w:tab w:val="center" w:pos="4536"/>
        <w:tab w:val="right" w:pos="9072"/>
      </w:tabs>
      <w:spacing w:line="240" w:lineRule="auto"/>
      <w:jc w:val="right"/>
    </w:pPr>
    <w:r>
      <w:fldChar w:fldCharType="begin"/>
    </w:r>
    <w:r>
      <w:instrText>PAGE</w:instrText>
    </w:r>
    <w:r>
      <w:fldChar w:fldCharType="separate"/>
    </w:r>
    <w:r w:rsidR="004E0699">
      <w:rPr>
        <w:noProof/>
      </w:rPr>
      <w:t>1</w:t>
    </w:r>
    <w:r>
      <w:fldChar w:fldCharType="end"/>
    </w:r>
  </w:p>
  <w:p w:rsidR="00B87364" w:rsidRDefault="00B87364">
    <w:pPr>
      <w:tabs>
        <w:tab w:val="center" w:pos="4536"/>
        <w:tab w:val="right" w:pos="9072"/>
      </w:tabs>
      <w:spacing w:after="567" w:line="240" w:lineRule="auto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26C4A" w:rsidRDefault="001044E0">
      <w:pPr>
        <w:spacing w:line="240" w:lineRule="auto"/>
      </w:pPr>
      <w:r>
        <w:separator/>
      </w:r>
    </w:p>
  </w:footnote>
  <w:footnote w:type="continuationSeparator" w:id="0">
    <w:p w:rsidR="00226C4A" w:rsidRDefault="001044E0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87364" w:rsidRDefault="001044E0">
    <w:pPr>
      <w:widowControl w:val="0"/>
      <w:tabs>
        <w:tab w:val="left" w:pos="2990"/>
        <w:tab w:val="left" w:pos="6348"/>
      </w:tabs>
      <w:spacing w:before="567" w:line="240" w:lineRule="auto"/>
      <w:ind w:left="-397"/>
      <w:jc w:val="center"/>
    </w:pPr>
    <w:r>
      <w:t xml:space="preserve"> Poznámky Úč POD 3 – 01          </w:t>
    </w:r>
    <w:r>
      <w:rPr>
        <w:color w:val="707070"/>
        <w:sz w:val="18"/>
        <w:szCs w:val="18"/>
        <w:highlight w:val="white"/>
      </w:rPr>
      <w:tab/>
    </w:r>
    <w:r>
      <w:t xml:space="preserve">                 IČO: </w:t>
    </w:r>
    <w:r w:rsidR="00F835F6">
      <w:t>36409405</w:t>
    </w:r>
    <w:r>
      <w:t xml:space="preserve">         DIČ: </w:t>
    </w:r>
    <w:r w:rsidR="00F835F6">
      <w:t>2021707424</w:t>
    </w:r>
    <w:r>
      <w:t xml:space="preserve">  </w:t>
    </w:r>
  </w:p>
  <w:p w:rsidR="00B87364" w:rsidRDefault="00B87364">
    <w:pPr>
      <w:tabs>
        <w:tab w:val="center" w:pos="4703"/>
        <w:tab w:val="right" w:pos="9406"/>
      </w:tabs>
      <w:spacing w:line="240" w:lineRule="aut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9F64C91"/>
    <w:multiLevelType w:val="multilevel"/>
    <w:tmpl w:val="1EECCF62"/>
    <w:lvl w:ilvl="0">
      <w:numFmt w:val="bullet"/>
      <w:lvlText w:val="-"/>
      <w:lvlJc w:val="left"/>
      <w:pPr>
        <w:ind w:left="720" w:firstLine="360"/>
      </w:pPr>
      <w:rPr>
        <w:rFonts w:ascii="Arial" w:eastAsia="Arial" w:hAnsi="Arial" w:cs="Arial"/>
        <w:vertAlign w:val="baseline"/>
      </w:rPr>
    </w:lvl>
    <w:lvl w:ilvl="1">
      <w:start w:val="1"/>
      <w:numFmt w:val="bullet"/>
      <w:lvlText w:val="o"/>
      <w:lvlJc w:val="left"/>
      <w:pPr>
        <w:ind w:left="1440" w:firstLine="1080"/>
      </w:pPr>
      <w:rPr>
        <w:rFonts w:ascii="Arial" w:eastAsia="Arial" w:hAnsi="Arial" w:cs="Arial"/>
        <w:vertAlign w:val="baseline"/>
      </w:rPr>
    </w:lvl>
    <w:lvl w:ilvl="2">
      <w:start w:val="1"/>
      <w:numFmt w:val="bullet"/>
      <w:lvlText w:val="▪"/>
      <w:lvlJc w:val="left"/>
      <w:pPr>
        <w:ind w:left="2160" w:firstLine="1800"/>
      </w:pPr>
      <w:rPr>
        <w:rFonts w:ascii="Arial" w:eastAsia="Arial" w:hAnsi="Arial" w:cs="Arial"/>
        <w:vertAlign w:val="baseline"/>
      </w:rPr>
    </w:lvl>
    <w:lvl w:ilvl="3">
      <w:start w:val="1"/>
      <w:numFmt w:val="bullet"/>
      <w:lvlText w:val="●"/>
      <w:lvlJc w:val="left"/>
      <w:pPr>
        <w:ind w:left="2880" w:firstLine="2520"/>
      </w:pPr>
      <w:rPr>
        <w:rFonts w:ascii="Arial" w:eastAsia="Arial" w:hAnsi="Arial" w:cs="Arial"/>
        <w:vertAlign w:val="baseline"/>
      </w:rPr>
    </w:lvl>
    <w:lvl w:ilvl="4">
      <w:start w:val="1"/>
      <w:numFmt w:val="bullet"/>
      <w:lvlText w:val="o"/>
      <w:lvlJc w:val="left"/>
      <w:pPr>
        <w:ind w:left="3600" w:firstLine="3240"/>
      </w:pPr>
      <w:rPr>
        <w:rFonts w:ascii="Arial" w:eastAsia="Arial" w:hAnsi="Arial" w:cs="Arial"/>
        <w:vertAlign w:val="baseline"/>
      </w:rPr>
    </w:lvl>
    <w:lvl w:ilvl="5">
      <w:start w:val="1"/>
      <w:numFmt w:val="bullet"/>
      <w:lvlText w:val="▪"/>
      <w:lvlJc w:val="left"/>
      <w:pPr>
        <w:ind w:left="4320" w:firstLine="3960"/>
      </w:pPr>
      <w:rPr>
        <w:rFonts w:ascii="Arial" w:eastAsia="Arial" w:hAnsi="Arial" w:cs="Arial"/>
        <w:vertAlign w:val="baseline"/>
      </w:rPr>
    </w:lvl>
    <w:lvl w:ilvl="6">
      <w:start w:val="1"/>
      <w:numFmt w:val="bullet"/>
      <w:lvlText w:val="●"/>
      <w:lvlJc w:val="left"/>
      <w:pPr>
        <w:ind w:left="5040" w:firstLine="4680"/>
      </w:pPr>
      <w:rPr>
        <w:rFonts w:ascii="Arial" w:eastAsia="Arial" w:hAnsi="Arial" w:cs="Arial"/>
        <w:vertAlign w:val="baseline"/>
      </w:rPr>
    </w:lvl>
    <w:lvl w:ilvl="7">
      <w:start w:val="1"/>
      <w:numFmt w:val="bullet"/>
      <w:lvlText w:val="o"/>
      <w:lvlJc w:val="left"/>
      <w:pPr>
        <w:ind w:left="5760" w:firstLine="5400"/>
      </w:pPr>
      <w:rPr>
        <w:rFonts w:ascii="Arial" w:eastAsia="Arial" w:hAnsi="Arial" w:cs="Arial"/>
        <w:vertAlign w:val="baseline"/>
      </w:rPr>
    </w:lvl>
    <w:lvl w:ilvl="8">
      <w:start w:val="1"/>
      <w:numFmt w:val="bullet"/>
      <w:lvlText w:val="▪"/>
      <w:lvlJc w:val="left"/>
      <w:pPr>
        <w:ind w:left="6480" w:firstLine="6120"/>
      </w:pPr>
      <w:rPr>
        <w:rFonts w:ascii="Arial" w:eastAsia="Arial" w:hAnsi="Arial" w:cs="Arial"/>
        <w:vertAlign w:val="baseline"/>
      </w:rPr>
    </w:lvl>
  </w:abstractNum>
  <w:abstractNum w:abstractNumId="1" w15:restartNumberingAfterBreak="0">
    <w:nsid w:val="286D243E"/>
    <w:multiLevelType w:val="multilevel"/>
    <w:tmpl w:val="5072A10A"/>
    <w:lvl w:ilvl="0">
      <w:start w:val="6"/>
      <w:numFmt w:val="bullet"/>
      <w:lvlText w:val="-"/>
      <w:lvlJc w:val="left"/>
      <w:pPr>
        <w:ind w:left="720" w:firstLine="360"/>
      </w:pPr>
      <w:rPr>
        <w:rFonts w:ascii="Arial" w:eastAsia="Arial" w:hAnsi="Arial" w:cs="Arial"/>
        <w:vertAlign w:val="baseline"/>
      </w:rPr>
    </w:lvl>
    <w:lvl w:ilvl="1">
      <w:start w:val="1"/>
      <w:numFmt w:val="bullet"/>
      <w:lvlText w:val="o"/>
      <w:lvlJc w:val="left"/>
      <w:pPr>
        <w:ind w:left="1440" w:firstLine="1080"/>
      </w:pPr>
      <w:rPr>
        <w:rFonts w:ascii="Arial" w:eastAsia="Arial" w:hAnsi="Arial" w:cs="Arial"/>
        <w:vertAlign w:val="baseline"/>
      </w:rPr>
    </w:lvl>
    <w:lvl w:ilvl="2">
      <w:start w:val="1"/>
      <w:numFmt w:val="bullet"/>
      <w:lvlText w:val="▪"/>
      <w:lvlJc w:val="left"/>
      <w:pPr>
        <w:ind w:left="2160" w:firstLine="1800"/>
      </w:pPr>
      <w:rPr>
        <w:rFonts w:ascii="Arial" w:eastAsia="Arial" w:hAnsi="Arial" w:cs="Arial"/>
        <w:vertAlign w:val="baseline"/>
      </w:rPr>
    </w:lvl>
    <w:lvl w:ilvl="3">
      <w:start w:val="1"/>
      <w:numFmt w:val="bullet"/>
      <w:lvlText w:val="●"/>
      <w:lvlJc w:val="left"/>
      <w:pPr>
        <w:ind w:left="2880" w:firstLine="2520"/>
      </w:pPr>
      <w:rPr>
        <w:rFonts w:ascii="Arial" w:eastAsia="Arial" w:hAnsi="Arial" w:cs="Arial"/>
        <w:vertAlign w:val="baseline"/>
      </w:rPr>
    </w:lvl>
    <w:lvl w:ilvl="4">
      <w:start w:val="1"/>
      <w:numFmt w:val="bullet"/>
      <w:lvlText w:val="o"/>
      <w:lvlJc w:val="left"/>
      <w:pPr>
        <w:ind w:left="3600" w:firstLine="3240"/>
      </w:pPr>
      <w:rPr>
        <w:rFonts w:ascii="Arial" w:eastAsia="Arial" w:hAnsi="Arial" w:cs="Arial"/>
        <w:vertAlign w:val="baseline"/>
      </w:rPr>
    </w:lvl>
    <w:lvl w:ilvl="5">
      <w:start w:val="1"/>
      <w:numFmt w:val="bullet"/>
      <w:lvlText w:val="▪"/>
      <w:lvlJc w:val="left"/>
      <w:pPr>
        <w:ind w:left="4320" w:firstLine="3960"/>
      </w:pPr>
      <w:rPr>
        <w:rFonts w:ascii="Arial" w:eastAsia="Arial" w:hAnsi="Arial" w:cs="Arial"/>
        <w:vertAlign w:val="baseline"/>
      </w:rPr>
    </w:lvl>
    <w:lvl w:ilvl="6">
      <w:start w:val="1"/>
      <w:numFmt w:val="bullet"/>
      <w:lvlText w:val="●"/>
      <w:lvlJc w:val="left"/>
      <w:pPr>
        <w:ind w:left="5040" w:firstLine="4680"/>
      </w:pPr>
      <w:rPr>
        <w:rFonts w:ascii="Arial" w:eastAsia="Arial" w:hAnsi="Arial" w:cs="Arial"/>
        <w:vertAlign w:val="baseline"/>
      </w:rPr>
    </w:lvl>
    <w:lvl w:ilvl="7">
      <w:start w:val="1"/>
      <w:numFmt w:val="bullet"/>
      <w:lvlText w:val="o"/>
      <w:lvlJc w:val="left"/>
      <w:pPr>
        <w:ind w:left="5760" w:firstLine="5400"/>
      </w:pPr>
      <w:rPr>
        <w:rFonts w:ascii="Arial" w:eastAsia="Arial" w:hAnsi="Arial" w:cs="Arial"/>
        <w:vertAlign w:val="baseline"/>
      </w:rPr>
    </w:lvl>
    <w:lvl w:ilvl="8">
      <w:start w:val="1"/>
      <w:numFmt w:val="bullet"/>
      <w:lvlText w:val="▪"/>
      <w:lvlJc w:val="left"/>
      <w:pPr>
        <w:ind w:left="6480" w:firstLine="6120"/>
      </w:pPr>
      <w:rPr>
        <w:rFonts w:ascii="Arial" w:eastAsia="Arial" w:hAnsi="Arial" w:cs="Arial"/>
        <w:vertAlign w:val="baseline"/>
      </w:rPr>
    </w:lvl>
  </w:abstractNum>
  <w:abstractNum w:abstractNumId="2" w15:restartNumberingAfterBreak="0">
    <w:nsid w:val="4CAE6D9F"/>
    <w:multiLevelType w:val="multilevel"/>
    <w:tmpl w:val="6D68A1C2"/>
    <w:lvl w:ilvl="0">
      <w:start w:val="1"/>
      <w:numFmt w:val="bullet"/>
      <w:lvlText w:val="➢"/>
      <w:lvlJc w:val="left"/>
      <w:pPr>
        <w:ind w:left="360" w:firstLine="0"/>
      </w:pPr>
      <w:rPr>
        <w:rFonts w:ascii="Arial" w:eastAsia="Arial" w:hAnsi="Arial" w:cs="Arial"/>
        <w:vertAlign w:val="baseline"/>
      </w:rPr>
    </w:lvl>
    <w:lvl w:ilvl="1">
      <w:start w:val="1"/>
      <w:numFmt w:val="bullet"/>
      <w:lvlText w:val="o"/>
      <w:lvlJc w:val="left"/>
      <w:pPr>
        <w:ind w:left="1080" w:firstLine="720"/>
      </w:pPr>
      <w:rPr>
        <w:rFonts w:ascii="Arial" w:eastAsia="Arial" w:hAnsi="Arial" w:cs="Arial"/>
        <w:vertAlign w:val="baseline"/>
      </w:rPr>
    </w:lvl>
    <w:lvl w:ilvl="2">
      <w:start w:val="1"/>
      <w:numFmt w:val="bullet"/>
      <w:lvlText w:val="▪"/>
      <w:lvlJc w:val="left"/>
      <w:pPr>
        <w:ind w:left="1800" w:firstLine="1440"/>
      </w:pPr>
      <w:rPr>
        <w:rFonts w:ascii="Arial" w:eastAsia="Arial" w:hAnsi="Arial" w:cs="Arial"/>
        <w:vertAlign w:val="baseline"/>
      </w:rPr>
    </w:lvl>
    <w:lvl w:ilvl="3">
      <w:start w:val="1"/>
      <w:numFmt w:val="bullet"/>
      <w:lvlText w:val="●"/>
      <w:lvlJc w:val="left"/>
      <w:pPr>
        <w:ind w:left="2520" w:firstLine="2160"/>
      </w:pPr>
      <w:rPr>
        <w:rFonts w:ascii="Arial" w:eastAsia="Arial" w:hAnsi="Arial" w:cs="Arial"/>
        <w:vertAlign w:val="baseline"/>
      </w:rPr>
    </w:lvl>
    <w:lvl w:ilvl="4">
      <w:start w:val="1"/>
      <w:numFmt w:val="bullet"/>
      <w:lvlText w:val="o"/>
      <w:lvlJc w:val="left"/>
      <w:pPr>
        <w:ind w:left="3240" w:firstLine="2880"/>
      </w:pPr>
      <w:rPr>
        <w:rFonts w:ascii="Arial" w:eastAsia="Arial" w:hAnsi="Arial" w:cs="Arial"/>
        <w:vertAlign w:val="baseline"/>
      </w:rPr>
    </w:lvl>
    <w:lvl w:ilvl="5">
      <w:start w:val="1"/>
      <w:numFmt w:val="bullet"/>
      <w:lvlText w:val="▪"/>
      <w:lvlJc w:val="left"/>
      <w:pPr>
        <w:ind w:left="3960" w:firstLine="3600"/>
      </w:pPr>
      <w:rPr>
        <w:rFonts w:ascii="Arial" w:eastAsia="Arial" w:hAnsi="Arial" w:cs="Arial"/>
        <w:vertAlign w:val="baseline"/>
      </w:rPr>
    </w:lvl>
    <w:lvl w:ilvl="6">
      <w:start w:val="1"/>
      <w:numFmt w:val="bullet"/>
      <w:lvlText w:val="●"/>
      <w:lvlJc w:val="left"/>
      <w:pPr>
        <w:ind w:left="4680" w:firstLine="4320"/>
      </w:pPr>
      <w:rPr>
        <w:rFonts w:ascii="Arial" w:eastAsia="Arial" w:hAnsi="Arial" w:cs="Arial"/>
        <w:vertAlign w:val="baseline"/>
      </w:rPr>
    </w:lvl>
    <w:lvl w:ilvl="7">
      <w:start w:val="1"/>
      <w:numFmt w:val="bullet"/>
      <w:lvlText w:val="o"/>
      <w:lvlJc w:val="left"/>
      <w:pPr>
        <w:ind w:left="5400" w:firstLine="5040"/>
      </w:pPr>
      <w:rPr>
        <w:rFonts w:ascii="Arial" w:eastAsia="Arial" w:hAnsi="Arial" w:cs="Arial"/>
        <w:vertAlign w:val="baseline"/>
      </w:rPr>
    </w:lvl>
    <w:lvl w:ilvl="8">
      <w:start w:val="1"/>
      <w:numFmt w:val="bullet"/>
      <w:lvlText w:val="▪"/>
      <w:lvlJc w:val="left"/>
      <w:pPr>
        <w:ind w:left="6120" w:firstLine="5760"/>
      </w:pPr>
      <w:rPr>
        <w:rFonts w:ascii="Arial" w:eastAsia="Arial" w:hAnsi="Arial" w:cs="Arial"/>
        <w:vertAlign w:val="baseline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7364"/>
    <w:rsid w:val="001044E0"/>
    <w:rsid w:val="00226C4A"/>
    <w:rsid w:val="002335CE"/>
    <w:rsid w:val="004E0699"/>
    <w:rsid w:val="009C1AB4"/>
    <w:rsid w:val="00A45FB0"/>
    <w:rsid w:val="00B87364"/>
    <w:rsid w:val="00F835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95CE2B4"/>
  <w15:docId w15:val="{B9B78C72-5829-40FD-BB2D-328CB1D3F3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Arial" w:hAnsi="Arial" w:cs="Arial"/>
        <w:color w:val="000000"/>
        <w:sz w:val="22"/>
        <w:szCs w:val="22"/>
        <w:lang w:val="sk-SK" w:eastAsia="sk-SK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</w:style>
  <w:style w:type="paragraph" w:styleId="Nadpis1">
    <w:name w:val="heading 1"/>
    <w:basedOn w:val="Normlny"/>
    <w:next w:val="Normlny"/>
    <w:pPr>
      <w:keepNext/>
      <w:keepLines/>
      <w:spacing w:before="480" w:after="120"/>
      <w:contextualSpacing/>
      <w:outlineLvl w:val="0"/>
    </w:pPr>
    <w:rPr>
      <w:b/>
      <w:sz w:val="48"/>
      <w:szCs w:val="48"/>
    </w:rPr>
  </w:style>
  <w:style w:type="paragraph" w:styleId="Nadpis2">
    <w:name w:val="heading 2"/>
    <w:basedOn w:val="Normlny"/>
    <w:next w:val="Normlny"/>
    <w:pPr>
      <w:keepNext/>
      <w:keepLines/>
      <w:spacing w:before="360" w:after="80"/>
      <w:contextualSpacing/>
      <w:outlineLvl w:val="1"/>
    </w:pPr>
    <w:rPr>
      <w:b/>
      <w:sz w:val="36"/>
      <w:szCs w:val="36"/>
    </w:rPr>
  </w:style>
  <w:style w:type="paragraph" w:styleId="Nadpis3">
    <w:name w:val="heading 3"/>
    <w:basedOn w:val="Normlny"/>
    <w:next w:val="Normlny"/>
    <w:pPr>
      <w:keepNext/>
      <w:keepLines/>
      <w:spacing w:before="280" w:after="80"/>
      <w:contextualSpacing/>
      <w:outlineLvl w:val="2"/>
    </w:pPr>
    <w:rPr>
      <w:b/>
      <w:sz w:val="28"/>
      <w:szCs w:val="28"/>
    </w:rPr>
  </w:style>
  <w:style w:type="paragraph" w:styleId="Nadpis4">
    <w:name w:val="heading 4"/>
    <w:basedOn w:val="Normlny"/>
    <w:next w:val="Normlny"/>
    <w:pPr>
      <w:keepNext/>
      <w:keepLines/>
      <w:spacing w:before="240" w:after="40"/>
      <w:contextualSpacing/>
      <w:outlineLvl w:val="3"/>
    </w:pPr>
    <w:rPr>
      <w:b/>
      <w:sz w:val="24"/>
      <w:szCs w:val="24"/>
    </w:rPr>
  </w:style>
  <w:style w:type="paragraph" w:styleId="Nadpis5">
    <w:name w:val="heading 5"/>
    <w:basedOn w:val="Normlny"/>
    <w:next w:val="Normlny"/>
    <w:pPr>
      <w:keepNext/>
      <w:keepLines/>
      <w:spacing w:before="220" w:after="40"/>
      <w:contextualSpacing/>
      <w:outlineLvl w:val="4"/>
    </w:pPr>
    <w:rPr>
      <w:b/>
    </w:rPr>
  </w:style>
  <w:style w:type="paragraph" w:styleId="Nadpis6">
    <w:name w:val="heading 6"/>
    <w:basedOn w:val="Normlny"/>
    <w:next w:val="Normlny"/>
    <w:pPr>
      <w:keepNext/>
      <w:keepLines/>
      <w:spacing w:before="200" w:after="40"/>
      <w:contextualSpacing/>
      <w:outlineLvl w:val="5"/>
    </w:pPr>
    <w:rPr>
      <w:b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Nzov">
    <w:name w:val="Title"/>
    <w:basedOn w:val="Normlny"/>
    <w:next w:val="Normlny"/>
    <w:pPr>
      <w:keepNext/>
      <w:keepLines/>
      <w:spacing w:before="480" w:after="120"/>
      <w:contextualSpacing/>
    </w:pPr>
    <w:rPr>
      <w:b/>
      <w:sz w:val="72"/>
      <w:szCs w:val="72"/>
    </w:rPr>
  </w:style>
  <w:style w:type="paragraph" w:styleId="Podtitul">
    <w:name w:val="Subtitle"/>
    <w:basedOn w:val="Normlny"/>
    <w:next w:val="Normlny"/>
    <w:pPr>
      <w:keepNext/>
      <w:keepLines/>
      <w:spacing w:before="360" w:after="80"/>
      <w:contextualSpacing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1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2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3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4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F835F6"/>
    <w:pPr>
      <w:tabs>
        <w:tab w:val="center" w:pos="4536"/>
        <w:tab w:val="right" w:pos="9072"/>
      </w:tabs>
      <w:spacing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835F6"/>
  </w:style>
  <w:style w:type="paragraph" w:styleId="Pta">
    <w:name w:val="footer"/>
    <w:basedOn w:val="Normlny"/>
    <w:link w:val="PtaChar"/>
    <w:uiPriority w:val="99"/>
    <w:unhideWhenUsed/>
    <w:rsid w:val="00F835F6"/>
    <w:pPr>
      <w:tabs>
        <w:tab w:val="center" w:pos="4536"/>
        <w:tab w:val="right" w:pos="9072"/>
      </w:tabs>
      <w:spacing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835F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6</Pages>
  <Words>1219</Words>
  <Characters>6953</Characters>
  <Application>Microsoft Office Word</Application>
  <DocSecurity>0</DocSecurity>
  <Lines>57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8156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Katka</dc:creator>
  <cp:lastModifiedBy>kata.mihalikova@gmail.com</cp:lastModifiedBy>
  <cp:revision>2</cp:revision>
  <dcterms:created xsi:type="dcterms:W3CDTF">2019-06-28T13:45:00Z</dcterms:created>
  <dcterms:modified xsi:type="dcterms:W3CDTF">2019-06-28T13:45:00Z</dcterms:modified>
</cp:coreProperties>
</file>