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enter" w:pos="4536" w:leader="none"/>
        </w:tabs>
        <w:jc w:val="center"/>
        <w:rPr>
          <w:rFonts w:ascii="Traditional Arabic" w:hAnsi="Traditional Arabic" w:cs="Traditional Arabic"/>
          <w:color w:val="0033CC"/>
        </w:rPr>
      </w:pPr>
      <w:r>
        <mc:AlternateContent>
          <mc:Choice Requires="wps">
            <w:drawing>
              <wp:anchor behindDoc="0" distT="0" distB="0" distL="113665" distR="114300" simplePos="0" locked="0" layoutInCell="1" allowOverlap="1" relativeHeight="2" wp14:anchorId="3E067EED">
                <wp:simplePos x="0" y="0"/>
                <wp:positionH relativeFrom="column">
                  <wp:posOffset>-4445</wp:posOffset>
                </wp:positionH>
                <wp:positionV relativeFrom="paragraph">
                  <wp:posOffset>-4445</wp:posOffset>
                </wp:positionV>
                <wp:extent cx="300990" cy="255905"/>
                <wp:effectExtent l="122555" t="122555" r="21590" b="28575"/>
                <wp:wrapNone/>
                <wp:docPr id="1" name="AutoShape 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0240" cy="255240"/>
                        </a:xfrm>
                        <a:prstGeom prst="cube">
                          <a:avLst>
                            <a:gd name="adj" fmla="val 25000"/>
                          </a:avLst>
                        </a:prstGeom>
                        <a:solidFill>
                          <a:srgbClr val="4f81bd"/>
                        </a:solidFill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shapetype_16" coordsize="21600,21600" o:spt="16" adj="5400" path="m0@0l@5@0l@5,21600l,21600xnsem@5@0l21600,l21600@1l@5,21600xnsem0@0l@0,l21600,l@5@0xnsem0@0l@0,l21600,l21600@1l@5,21600l,21600xm0@0l@5@0l21600,m@5@0l@5,21600nfe">
                <v:stroke joinstyle="miter"/>
                <v:formulas>
                  <v:f eqn="val #0"/>
                  <v:f eqn="sum height 0 @0"/>
                  <v:f eqn="prod @1 1 2"/>
                  <v:f eqn="sum @0 height 0"/>
                  <v:f eqn="prod 1 @3 2"/>
                  <v:f eqn="sum width 0 @0"/>
                  <v:f eqn="prod @5 1 2"/>
                  <v:f eqn="sum @0 width 0"/>
                  <v:f eqn="prod 1 @7 2"/>
                </v:formulas>
                <v:path gradientshapeok="t" o:connecttype="rect" textboxrect="0,@0,@5,21600"/>
                <v:handles>
                  <v:h position="0,@0"/>
                </v:handles>
              </v:shapetype>
              <v:shape id="shape_0" ID="AutoShape 2" fillcolor="#4f81bd" stroked="f" style="position:absolute;margin-left:-0.35pt;margin-top:-0.35pt;width:23.6pt;height:20.05pt" wp14:anchorId="3E067EED" type="shapetype_16">
                <w10:wrap type="none"/>
                <v:fill o:detectmouseclick="t" type="solid" color2="#b07e42"/>
                <v:stroke color="#3465a4" joinstyle="round" endcap="flat"/>
              </v:shape>
            </w:pict>
          </mc:Fallback>
        </mc:AlternateContent>
        <mc:AlternateContent>
          <mc:Choice Requires="wps">
            <w:drawing>
              <wp:anchor behindDoc="0" distT="0" distB="0" distL="114300" distR="114300" simplePos="0" locked="0" layoutInCell="1" allowOverlap="1" relativeHeight="3" wp14:anchorId="3DADFFBE">
                <wp:simplePos x="0" y="0"/>
                <wp:positionH relativeFrom="column">
                  <wp:posOffset>0</wp:posOffset>
                </wp:positionH>
                <wp:positionV relativeFrom="paragraph">
                  <wp:posOffset>247650</wp:posOffset>
                </wp:positionV>
                <wp:extent cx="5829935" cy="1270"/>
                <wp:effectExtent l="12700" t="19050" r="25400" b="19050"/>
                <wp:wrapNone/>
                <wp:docPr id="2" name="Line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480" cy="7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0033cc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0pt,19.5pt" to="458.95pt,19.5pt" ID="Line 3" stroked="t" style="position:absolute" wp14:anchorId="3DADFFBE">
                <v:stroke color="#0033cc" weight="9360" joinstyle="round" endcap="flat"/>
                <v:fill o:detectmouseclick="t" on="false"/>
              </v:line>
            </w:pict>
          </mc:Fallback>
        </mc:AlternateContent>
      </w:r>
      <w:r>
        <w:rPr>
          <w:rFonts w:cs="Traditional Arabic" w:ascii="Traditional Arabic" w:hAnsi="Traditional Arabic"/>
          <w:color w:val="0033CC"/>
        </w:rPr>
        <w:t>ALLEA, n.o., Komenského 1310/103, 024 01 Kysucké Nové Mesto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  <w:t>VÝROČNÁ SPRÁVA</w:t>
      </w:r>
    </w:p>
    <w:p>
      <w:pPr>
        <w:pStyle w:val="Normal"/>
        <w:jc w:val="center"/>
        <w:rPr>
          <w:b/>
          <w:b/>
          <w:sz w:val="32"/>
          <w:szCs w:val="32"/>
        </w:rPr>
      </w:pPr>
      <w:r>
        <w:rPr>
          <w:b/>
          <w:sz w:val="32"/>
          <w:szCs w:val="32"/>
        </w:rPr>
        <w:t>ZA ROK 2018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Kysucké Nové Mesto</w:t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jún 2019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/>
      </w:pPr>
      <w:r>
        <w:rPr/>
        <w:t>Predkladá:    Ing. Beáta Topoľská</w:t>
      </w:r>
    </w:p>
    <w:p>
      <w:pPr>
        <w:pStyle w:val="Normal"/>
        <w:rPr/>
      </w:pPr>
      <w:r>
        <w:rPr/>
        <w:t xml:space="preserve">                     </w:t>
      </w:r>
      <w:r>
        <w:rPr/>
        <w:t>riaditeľka n. o.</w:t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Základné údaje o neziskovej organizácii</w:t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  <w:t>Názov:</w:t>
        <w:tab/>
        <w:tab/>
      </w:r>
      <w:r>
        <w:rPr>
          <w:b/>
          <w:sz w:val="28"/>
          <w:szCs w:val="28"/>
        </w:rPr>
        <w:t>ALLEA, n.o.</w:t>
      </w:r>
    </w:p>
    <w:p>
      <w:pPr>
        <w:pStyle w:val="Normal"/>
        <w:spacing w:lineRule="auto" w:line="360"/>
        <w:jc w:val="both"/>
        <w:rPr>
          <w:b/>
          <w:b/>
          <w:sz w:val="28"/>
          <w:szCs w:val="28"/>
        </w:rPr>
      </w:pPr>
      <w:r>
        <w:rPr>
          <w:sz w:val="28"/>
          <w:szCs w:val="28"/>
        </w:rPr>
        <w:t>Právna forma:</w:t>
        <w:tab/>
      </w:r>
      <w:r>
        <w:rPr>
          <w:b/>
          <w:sz w:val="28"/>
          <w:szCs w:val="28"/>
        </w:rPr>
        <w:t>nezisková organizácia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  <w:t>Sídlo:</w:t>
        <w:tab/>
        <w:tab/>
        <w:tab/>
      </w:r>
      <w:r>
        <w:rPr>
          <w:b/>
          <w:sz w:val="28"/>
          <w:szCs w:val="28"/>
        </w:rPr>
        <w:t>Komenského 1310/103, 024 01 Kysucké Nové Mesto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  <w:t>IČO:</w:t>
        <w:tab/>
        <w:tab/>
        <w:tab/>
      </w:r>
      <w:r>
        <w:rPr>
          <w:b/>
          <w:sz w:val="28"/>
          <w:szCs w:val="28"/>
        </w:rPr>
        <w:t>42165732</w:t>
      </w:r>
    </w:p>
    <w:p>
      <w:pPr>
        <w:pStyle w:val="Normal"/>
        <w:spacing w:lineRule="auto" w:line="360"/>
        <w:jc w:val="both"/>
        <w:rPr>
          <w:b/>
          <w:b/>
          <w:sz w:val="28"/>
          <w:szCs w:val="28"/>
        </w:rPr>
      </w:pPr>
      <w:r>
        <w:rPr>
          <w:sz w:val="28"/>
          <w:szCs w:val="28"/>
        </w:rPr>
        <w:t>DIČ:</w:t>
        <w:tab/>
        <w:tab/>
        <w:tab/>
      </w:r>
      <w:r>
        <w:rPr>
          <w:b/>
          <w:sz w:val="28"/>
          <w:szCs w:val="28"/>
        </w:rPr>
        <w:t>2022724737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Registrácia:</w:t>
        <w:tab/>
        <w:tab/>
        <w:t>dňa 11.10.2008 pod č. OVVS/NO-15/08 ako nezisková organizácia poskytujúce všeobecne prospešné služby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Doba trvania:</w:t>
        <w:tab/>
        <w:t>nezisková organizácia založená na dobu neurčitú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Zakladatelia:</w:t>
        <w:tab/>
        <w:t>Naďa Ďurčeková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ab/>
        <w:t>Ing. Beáta Topoľská</w:t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left="2120" w:hanging="2120"/>
        <w:jc w:val="both"/>
        <w:rPr>
          <w:sz w:val="28"/>
          <w:szCs w:val="28"/>
        </w:rPr>
      </w:pPr>
      <w:r>
        <w:rPr>
          <w:sz w:val="28"/>
          <w:szCs w:val="28"/>
        </w:rPr>
        <w:t>Kontakt:</w:t>
        <w:tab/>
        <w:t>Ing. Beáta Topoľská, riaditeľka n.o.</w:t>
      </w:r>
    </w:p>
    <w:p>
      <w:pPr>
        <w:pStyle w:val="Normal"/>
        <w:spacing w:lineRule="auto" w:line="360"/>
        <w:ind w:left="2120" w:hanging="0"/>
        <w:jc w:val="both"/>
        <w:rPr/>
      </w:pPr>
      <w:r>
        <w:rPr>
          <w:sz w:val="28"/>
          <w:szCs w:val="28"/>
        </w:rPr>
        <w:t xml:space="preserve">e-mail: </w:t>
      </w:r>
      <w:hyperlink r:id="rId2">
        <w:r>
          <w:rPr>
            <w:rStyle w:val="Internetovodkaz"/>
            <w:color w:val="auto"/>
            <w:sz w:val="28"/>
            <w:szCs w:val="28"/>
            <w:u w:val="none"/>
          </w:rPr>
          <w:t>alleanosk@gmail.com</w:t>
        </w:r>
      </w:hyperlink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ind w:left="2120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História a identifikácia neziskovej organizácie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ALLEA, n.o. vznikla na základe Zakladacej listiny zo dňa 14.8.2008 a podľa zákona NR SR č. 213/1997 Z.z. o neziskových organizáciách poskytujúcich všetobecne prospešné služby.</w:t>
      </w:r>
    </w:p>
    <w:p>
      <w:pPr>
        <w:pStyle w:val="Normal"/>
        <w:jc w:val="both"/>
        <w:rPr/>
      </w:pPr>
      <w:r>
        <w:rPr/>
        <w:t>Nezisková organizácia ALLEA, n.o. bola právoplatne zaregistrovaná na Obvodno úrade v Žiline. Dňa 10.11.2008 nadobudlo rozhodnutie o registrácii právoplatnosť a bola zapísaná do Registra neziskových organizácií.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Predmetom činnosti neziskovej organizácie bolo do apríla 2018 poskytovanie nasledujúcich všeobecne prospešných služieb:</w:t>
      </w:r>
    </w:p>
    <w:p>
      <w:pPr>
        <w:pStyle w:val="Normal"/>
        <w:jc w:val="both"/>
        <w:rPr/>
      </w:pPr>
      <w:r>
        <w:rPr/>
      </w:r>
    </w:p>
    <w:p>
      <w:pPr>
        <w:pStyle w:val="ListParagraph"/>
        <w:numPr>
          <w:ilvl w:val="0"/>
          <w:numId w:val="1"/>
        </w:numPr>
        <w:ind w:left="426" w:hanging="360"/>
        <w:jc w:val="both"/>
        <w:rPr/>
      </w:pPr>
      <w:r>
        <w:rPr/>
        <w:t>celoživotné vzdelávanie a výchova dospelých v oblasti práva, financií, daní a účtovníctva, riadenia a rozvoja ľudských zdrojov, marketingu a obchodu, manažmentu, európskej integrácie, výpočtovej techniky, jazykov, cestovného ruchu a umenia,</w:t>
      </w:r>
    </w:p>
    <w:p>
      <w:pPr>
        <w:pStyle w:val="ListParagraph"/>
        <w:numPr>
          <w:ilvl w:val="0"/>
          <w:numId w:val="1"/>
        </w:numPr>
        <w:ind w:left="426" w:hanging="360"/>
        <w:jc w:val="both"/>
        <w:rPr/>
      </w:pPr>
      <w:r>
        <w:rPr/>
        <w:t>kariérne poradenstvo pre študentov základných, stredných a vysokých škôl,</w:t>
      </w:r>
    </w:p>
    <w:p>
      <w:pPr>
        <w:pStyle w:val="ListParagraph"/>
        <w:numPr>
          <w:ilvl w:val="0"/>
          <w:numId w:val="1"/>
        </w:numPr>
        <w:ind w:left="426" w:hanging="360"/>
        <w:jc w:val="both"/>
        <w:rPr/>
      </w:pPr>
      <w:r>
        <w:rPr/>
        <w:t>organizovanie rôznych kultúrnych, spoločenských, športových a iných aktivít,</w:t>
      </w:r>
    </w:p>
    <w:p>
      <w:pPr>
        <w:pStyle w:val="ListParagraph"/>
        <w:numPr>
          <w:ilvl w:val="0"/>
          <w:numId w:val="1"/>
        </w:numPr>
        <w:ind w:left="426" w:hanging="360"/>
        <w:jc w:val="both"/>
        <w:rPr/>
      </w:pPr>
      <w:r>
        <w:rPr/>
        <w:t>organizovanie víkendových programov (táborov) pre deti  a mládež,</w:t>
      </w:r>
    </w:p>
    <w:p>
      <w:pPr>
        <w:pStyle w:val="ListParagraph"/>
        <w:numPr>
          <w:ilvl w:val="0"/>
          <w:numId w:val="1"/>
        </w:numPr>
        <w:ind w:left="426" w:hanging="360"/>
        <w:jc w:val="both"/>
        <w:rPr/>
      </w:pPr>
      <w:r>
        <w:rPr/>
        <w:t>organizovanie turistických jedno aj viacdňových výletov s cieľom prehĺbenia vzťahu detí, mldeže a dospelých k prírode,</w:t>
      </w:r>
    </w:p>
    <w:p>
      <w:pPr>
        <w:pStyle w:val="ListParagraph"/>
        <w:numPr>
          <w:ilvl w:val="0"/>
          <w:numId w:val="1"/>
        </w:numPr>
        <w:ind w:left="426" w:hanging="360"/>
        <w:jc w:val="both"/>
        <w:rPr/>
      </w:pPr>
      <w:r>
        <w:rPr/>
        <w:t>organizačné poradenstvo (tvorba grantoých proejktov, analýza ponukových možností, poskytovanie prehľadov grantových schém),</w:t>
      </w:r>
    </w:p>
    <w:p>
      <w:pPr>
        <w:pStyle w:val="ListParagraph"/>
        <w:numPr>
          <w:ilvl w:val="0"/>
          <w:numId w:val="1"/>
        </w:numPr>
        <w:ind w:left="426" w:hanging="360"/>
        <w:jc w:val="both"/>
        <w:rPr/>
      </w:pPr>
      <w:r>
        <w:rPr/>
        <w:t>vorba, odborná asistencia, vyplňovanie formulárov a manažovanie európskych projektov,</w:t>
      </w:r>
    </w:p>
    <w:p>
      <w:pPr>
        <w:pStyle w:val="ListParagraph"/>
        <w:numPr>
          <w:ilvl w:val="0"/>
          <w:numId w:val="1"/>
        </w:numPr>
        <w:ind w:left="426" w:hanging="360"/>
        <w:jc w:val="both"/>
        <w:rPr/>
      </w:pPr>
      <w:r>
        <w:rPr/>
        <w:t>spracovanie a manažovanie grantových schém, posudzovanie a hodnotenie projektov.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Dňa  6.4.2018 podala ALLEA, n.o. na Okresný úrad v Žilina na základe rozhodnutia správnej rady zachyteného v Zápisnici zo zasadnutia správnej rady neziskovej organizácie ALLEA, n. o. zo dňa 3.4.2018 Návrh na zmeny v registri neziskových organizácií a Dodatok č. 1 k štatútu neziskovej organizácie. Týmto sa do druhu všeobecne prosešných služieb doplnilo celoživotné vzdelávanie o oblasť tvorby a ochrany životného prostredia a ochrany zdravia obyvateľstva – viď nižšie.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Platné nové znenie: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>
          <w:b/>
          <w:b/>
        </w:rPr>
      </w:pPr>
      <w:r>
        <w:rPr>
          <w:b/>
        </w:rPr>
        <w:t>Všeobecne prospešné služby, ktoré nezisková organizácia poskytuje:</w:t>
      </w:r>
    </w:p>
    <w:p>
      <w:pPr>
        <w:pStyle w:val="ListParagraph"/>
        <w:numPr>
          <w:ilvl w:val="0"/>
          <w:numId w:val="5"/>
        </w:numPr>
        <w:ind w:left="426" w:hanging="360"/>
        <w:jc w:val="both"/>
        <w:rPr/>
      </w:pPr>
      <w:r>
        <w:rPr/>
        <w:t xml:space="preserve">celoživotné vzdelávanie a výchova dospelých a mládeže v oblasti práva, financií, daní a účtovníctva, riadenia a rozvoja ľudských zdrojov, marketingu a obchodu, manažmentu, európskej integrácie, výpočtovej techniky, jazykov, tvorby a ochrany životného prostredia </w:t>
      </w:r>
    </w:p>
    <w:p>
      <w:pPr>
        <w:pStyle w:val="ListParagraph"/>
        <w:numPr>
          <w:ilvl w:val="0"/>
          <w:numId w:val="5"/>
        </w:numPr>
        <w:ind w:left="426" w:hanging="360"/>
        <w:jc w:val="both"/>
        <w:rPr/>
      </w:pPr>
      <w:r>
        <w:rPr/>
        <w:t>a ochrany zdravia obyvateľstva, cestovného ruchu a umenia,</w:t>
      </w:r>
    </w:p>
    <w:p>
      <w:pPr>
        <w:pStyle w:val="ListParagraph"/>
        <w:numPr>
          <w:ilvl w:val="0"/>
          <w:numId w:val="5"/>
        </w:numPr>
        <w:ind w:left="426" w:hanging="360"/>
        <w:jc w:val="both"/>
        <w:rPr/>
      </w:pPr>
      <w:r>
        <w:rPr/>
        <w:t>kariérne poradenstvo pre študentov základných, stredných a vysokých škôl,</w:t>
      </w:r>
    </w:p>
    <w:p>
      <w:pPr>
        <w:pStyle w:val="ListParagraph"/>
        <w:numPr>
          <w:ilvl w:val="0"/>
          <w:numId w:val="5"/>
        </w:numPr>
        <w:ind w:left="426" w:hanging="360"/>
        <w:jc w:val="both"/>
        <w:rPr/>
      </w:pPr>
      <w:r>
        <w:rPr/>
        <w:t>organizovanie rôznych kultúrnych, spoločenských, športových a iných aktivít,</w:t>
      </w:r>
    </w:p>
    <w:p>
      <w:pPr>
        <w:pStyle w:val="ListParagraph"/>
        <w:numPr>
          <w:ilvl w:val="0"/>
          <w:numId w:val="5"/>
        </w:numPr>
        <w:ind w:left="426" w:hanging="360"/>
        <w:jc w:val="both"/>
        <w:rPr/>
      </w:pPr>
      <w:r>
        <w:rPr/>
        <w:t>organizovanie víkendových programov (táborov) pre deti a mládež,</w:t>
      </w:r>
    </w:p>
    <w:p>
      <w:pPr>
        <w:pStyle w:val="ListParagraph"/>
        <w:numPr>
          <w:ilvl w:val="0"/>
          <w:numId w:val="5"/>
        </w:numPr>
        <w:ind w:left="426" w:hanging="360"/>
        <w:jc w:val="both"/>
        <w:rPr/>
      </w:pPr>
      <w:r>
        <w:rPr/>
        <w:t>organizovanie turistických jedno aj viacdňových výletov s cieľom prehĺbenia vzťahu detí, mládeže a dospelých k prírode,</w:t>
      </w:r>
    </w:p>
    <w:p>
      <w:pPr>
        <w:pStyle w:val="ListParagraph"/>
        <w:numPr>
          <w:ilvl w:val="0"/>
          <w:numId w:val="5"/>
        </w:numPr>
        <w:ind w:left="426" w:hanging="360"/>
        <w:jc w:val="both"/>
        <w:rPr/>
      </w:pPr>
      <w:r>
        <w:rPr/>
        <w:t>organizačné poradenstvo (tvorba grantových projektov, analýza ponukových možností, poskytovanie prehľadov grantových schém),</w:t>
      </w:r>
    </w:p>
    <w:p>
      <w:pPr>
        <w:pStyle w:val="ListParagraph"/>
        <w:numPr>
          <w:ilvl w:val="0"/>
          <w:numId w:val="5"/>
        </w:numPr>
        <w:ind w:left="426" w:hanging="360"/>
        <w:jc w:val="both"/>
        <w:rPr/>
      </w:pPr>
      <w:r>
        <w:rPr/>
        <w:t xml:space="preserve">tvorba, odborná asistencia, vyplňovanie formulárov a manažovanie európskych projektov, </w:t>
      </w:r>
    </w:p>
    <w:p>
      <w:pPr>
        <w:pStyle w:val="ListParagraph"/>
        <w:numPr>
          <w:ilvl w:val="0"/>
          <w:numId w:val="5"/>
        </w:numPr>
        <w:ind w:left="426" w:hanging="360"/>
        <w:jc w:val="both"/>
        <w:rPr/>
      </w:pPr>
      <w:r>
        <w:rPr/>
        <w:t>spracovanie a manažovanie grantových schém, posudzovanie a hodnotenie projektov.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Orgány neziskovej organizácie: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Správna rada  -  je najvyšší orgán</w:t>
      </w:r>
    </w:p>
    <w:p>
      <w:pPr>
        <w:pStyle w:val="Normal"/>
        <w:jc w:val="both"/>
        <w:rPr/>
      </w:pPr>
      <w:r>
        <w:rPr/>
        <w:t>Riaditeľ          -  je štatutárnym orgánom</w:t>
      </w:r>
    </w:p>
    <w:p>
      <w:pPr>
        <w:pStyle w:val="Normal"/>
        <w:jc w:val="both"/>
        <w:rPr/>
      </w:pPr>
      <w:r>
        <w:rPr/>
        <w:t>Revízor          -  je kontrolný orgán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Správna rada neziskovej organizácie má troch členov, z ktorých na prvom stretnutí bola jednomyseľne zvolená PhDr. Renáta Švarcová za predsedu správnej rady.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Členmi správnej rady sú :</w:t>
      </w:r>
    </w:p>
    <w:p>
      <w:pPr>
        <w:pStyle w:val="Normal"/>
        <w:jc w:val="both"/>
        <w:rPr/>
      </w:pPr>
      <w:r>
        <w:rPr/>
        <w:t>PhDr. Renáta Švarcová</w:t>
      </w:r>
    </w:p>
    <w:p>
      <w:pPr>
        <w:pStyle w:val="Normal"/>
        <w:jc w:val="both"/>
        <w:rPr/>
      </w:pPr>
      <w:r>
        <w:rPr/>
        <w:t>JUDr. Gabriela Marčanová</w:t>
      </w:r>
    </w:p>
    <w:p>
      <w:pPr>
        <w:pStyle w:val="Normal"/>
        <w:jc w:val="both"/>
        <w:rPr/>
      </w:pPr>
      <w:r>
        <w:rPr/>
        <w:t>MUDr. Katarína Vargová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Riaditeľom neziskovej organizácie je :</w:t>
      </w:r>
    </w:p>
    <w:p>
      <w:pPr>
        <w:pStyle w:val="Normal"/>
        <w:jc w:val="both"/>
        <w:rPr/>
      </w:pPr>
      <w:r>
        <w:rPr/>
        <w:t>Ing. Beáta Topoľská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Revízor neziskovej organizácie:</w:t>
      </w:r>
    </w:p>
    <w:p>
      <w:pPr>
        <w:pStyle w:val="Normal"/>
        <w:jc w:val="both"/>
        <w:rPr/>
      </w:pPr>
      <w:r>
        <w:rPr/>
        <w:t>Bc. Jana Závodská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 orgánoch neziskovej organizácie ALLEA, n.o. v priebehu roka 2018 nenastali nijaké personálne ani organizačné zmeny.</w:t>
      </w:r>
    </w:p>
    <w:p>
      <w:pPr>
        <w:pStyle w:val="Normal"/>
        <w:ind w:left="360" w:hanging="0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</w:t>
      </w:r>
      <w:r>
        <w:rPr/>
        <w:tab/>
        <w:tab/>
        <w:tab/>
      </w:r>
    </w:p>
    <w:p>
      <w:pPr>
        <w:pStyle w:val="Normal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  <w:t>Prehľad činnosti a hospodárenia neziskovej organizácie v roku 2018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>V období od 1.1.2018 do 31.12.2018 vykonala nezisková organizácia všetky všeobecne prospešné služby uvedené v zakladacej listine a štatúre. Zrealizovala najmä nasledujúce činnosti: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celoživotné vzdelávanie a výchova dospelých – realizácia vzdelávania so zameraním na mäkké zručnosti,</w:t>
      </w:r>
    </w:p>
    <w:p>
      <w:pPr>
        <w:pStyle w:val="ListParagraph"/>
        <w:numPr>
          <w:ilvl w:val="0"/>
          <w:numId w:val="1"/>
        </w:numPr>
        <w:jc w:val="both"/>
        <w:rPr/>
      </w:pPr>
      <w:r>
        <w:rPr/>
        <w:t>kariérne poradenstvo – spolupráca pri poskytovaní kariérneho poradenstva stredoškolským žiakom,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/>
        <w:t>organizovanie rôznych kultúrnych, spoločenských, športových a iných aktivít – pomocné činnosti pri organizovaní viacerých spoločenských a kultúrnych podujatí,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organizovanie víkendových programov pre deti a mládež – deviaty tematicky zameraný víkendový pobyt pre deti, mládež a dospelých v Kalinčiakove vrátane návštevy kúpaliska Margita a Ilona v Leviciach, 3-dňový pobyt v Jabloňovciach,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organizovanie výletov – jednodňový turistický výlet na Chatu pod Suchý v decembri 2018,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Mikulášske posedenie pre deti členov Rybárskeho zväzu, miestna organizácia Kysucké Nové Mesto,</w:t>
      </w:r>
    </w:p>
    <w:p>
      <w:pPr>
        <w:pStyle w:val="ListParagraph"/>
        <w:numPr>
          <w:ilvl w:val="0"/>
          <w:numId w:val="1"/>
        </w:numPr>
        <w:jc w:val="both"/>
        <w:rPr>
          <w:lang w:val="en-US"/>
        </w:rPr>
      </w:pPr>
      <w:r>
        <w:rPr>
          <w:lang w:val="en-US"/>
        </w:rPr>
        <w:t>organizačné poradenstvo, asistencia a manažovanie – gratny a projekty – subjekty súktromného aj verejného sektora.</w:t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  <w:t xml:space="preserve">V roku 2018  nebola ALLEA, n.o. prijímateľom 2% dane z príjmov. </w:t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</w:r>
    </w:p>
    <w:p>
      <w:pPr>
        <w:pStyle w:val="Normal"/>
        <w:jc w:val="both"/>
        <w:rPr>
          <w:lang w:val="en-US"/>
        </w:rPr>
      </w:pPr>
      <w:r>
        <w:rPr>
          <w:lang w:val="en-US"/>
        </w:rPr>
        <w:t xml:space="preserve">V decembri 2018 ALLEA, n.o. požiadala o registráciu do notárskeho centrálneho registra určených právnických osôb a v roku 2019 sa stane prijímateľom 2 % dane z príjmov. </w:t>
      </w:r>
    </w:p>
    <w:p>
      <w:pPr>
        <w:pStyle w:val="ListParagraph"/>
        <w:jc w:val="both"/>
        <w:rPr>
          <w:lang w:val="en-US"/>
        </w:rPr>
      </w:pPr>
      <w:r>
        <w:rPr>
          <w:lang w:val="en-US"/>
        </w:rPr>
      </w:r>
    </w:p>
    <w:p>
      <w:pPr>
        <w:pStyle w:val="Normal"/>
        <w:jc w:val="center"/>
        <w:rPr>
          <w:b/>
          <w:b/>
        </w:rPr>
      </w:pPr>
      <w:r>
        <w:rPr>
          <w:b/>
        </w:rPr>
        <w:t>Prehľad o peňažných príjmoch podľa zdrojov a peňažných výdavkoch neziskovej organizácie za rok 2018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numPr>
          <w:ilvl w:val="0"/>
          <w:numId w:val="2"/>
        </w:numPr>
        <w:jc w:val="both"/>
        <w:rPr>
          <w:b/>
          <w:b/>
          <w:highlight w:val="yellow"/>
        </w:rPr>
      </w:pPr>
      <w:r>
        <w:rPr>
          <w:b/>
          <w:highlight w:val="yellow"/>
        </w:rPr>
        <w:t xml:space="preserve">Peňažné príjmy </w:t>
      </w:r>
    </w:p>
    <w:p>
      <w:pPr>
        <w:pStyle w:val="Normal"/>
        <w:numPr>
          <w:ilvl w:val="0"/>
          <w:numId w:val="4"/>
        </w:numPr>
        <w:jc w:val="both"/>
        <w:rPr/>
      </w:pPr>
      <w:r>
        <w:rPr>
          <w:highlight w:val="yellow"/>
        </w:rPr>
        <w:t>úhrada pohľadávok za poskytované služby:</w:t>
        <w:tab/>
        <w:tab/>
        <w:t xml:space="preserve"> EUR                             </w:t>
      </w:r>
      <w:r>
        <w:rPr>
          <w:b/>
          <w:highlight w:val="yellow"/>
        </w:rPr>
        <w:t>620,-</w:t>
      </w:r>
    </w:p>
    <w:p>
      <w:pPr>
        <w:pStyle w:val="Normal"/>
        <w:numPr>
          <w:ilvl w:val="0"/>
          <w:numId w:val="4"/>
        </w:numPr>
        <w:jc w:val="both"/>
        <w:rPr/>
      </w:pPr>
      <w:r>
        <w:rPr>
          <w:highlight w:val="yellow"/>
        </w:rPr>
        <w:t>kreditné bankové úroky:</w:t>
        <w:tab/>
        <w:tab/>
        <w:tab/>
        <w:tab/>
        <w:t xml:space="preserve"> EUR</w:t>
      </w:r>
      <w:r>
        <w:rPr>
          <w:b/>
          <w:highlight w:val="yellow"/>
        </w:rPr>
        <w:tab/>
      </w:r>
      <w:r>
        <w:rPr>
          <w:highlight w:val="yellow"/>
        </w:rPr>
        <w:t xml:space="preserve">                          0</w:t>
      </w:r>
    </w:p>
    <w:p>
      <w:pPr>
        <w:pStyle w:val="Normal"/>
        <w:jc w:val="both"/>
        <w:rPr>
          <w:b/>
          <w:b/>
          <w:highlight w:val="yellow"/>
        </w:rPr>
      </w:pPr>
      <w:r>
        <w:rPr>
          <w:b/>
          <w:highlight w:val="yellow"/>
        </w:rPr>
      </w:r>
    </w:p>
    <w:p>
      <w:pPr>
        <w:pStyle w:val="Normal"/>
        <w:ind w:firstLine="360"/>
        <w:jc w:val="both"/>
        <w:rPr/>
      </w:pPr>
      <w:r>
        <w:rPr/>
        <w:t>Nezisková organizácia neprijala v roku 201</w:t>
      </w:r>
      <w:r>
        <w:rPr/>
        <w:t>8</w:t>
      </w:r>
      <w:r>
        <w:rPr/>
        <w:t xml:space="preserve"> žiadne dary pre svoju vla</w:t>
      </w:r>
      <w:r>
        <w:rPr/>
        <w:t>s</w:t>
      </w:r>
      <w:r>
        <w:rPr/>
        <w:t>tnú činnosť.</w:t>
      </w:r>
    </w:p>
    <w:p>
      <w:pPr>
        <w:pStyle w:val="Normal"/>
        <w:jc w:val="both"/>
        <w:rPr>
          <w:b/>
          <w:b/>
          <w:highlight w:val="yellow"/>
        </w:rPr>
      </w:pPr>
      <w:r>
        <w:rPr>
          <w:b/>
          <w:highlight w:val="yellow"/>
        </w:rPr>
      </w:r>
    </w:p>
    <w:p>
      <w:pPr>
        <w:pStyle w:val="Normal"/>
        <w:numPr>
          <w:ilvl w:val="0"/>
          <w:numId w:val="2"/>
        </w:numPr>
        <w:jc w:val="both"/>
        <w:rPr>
          <w:b/>
          <w:b/>
          <w:highlight w:val="yellow"/>
        </w:rPr>
      </w:pPr>
      <w:r>
        <w:rPr>
          <w:b/>
          <w:highlight w:val="yellow"/>
        </w:rPr>
        <w:t>Peňažné výdavky</w:t>
      </w:r>
    </w:p>
    <w:p>
      <w:pPr>
        <w:pStyle w:val="Normal"/>
        <w:numPr>
          <w:ilvl w:val="0"/>
          <w:numId w:val="3"/>
        </w:numPr>
        <w:jc w:val="both"/>
        <w:rPr/>
      </w:pPr>
      <w:r>
        <w:rPr>
          <w:highlight w:val="yellow"/>
        </w:rPr>
        <w:t>spotreba materiálu:</w:t>
        <w:tab/>
        <w:tab/>
        <w:tab/>
        <w:tab/>
        <w:tab/>
        <w:t xml:space="preserve"> EUR                        </w:t>
      </w:r>
      <w:r>
        <w:rPr>
          <w:highlight w:val="yellow"/>
        </w:rPr>
        <w:t xml:space="preserve">    12,47 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>
          <w:highlight w:val="yellow"/>
        </w:rPr>
        <w:t>reprezentačné:</w:t>
        <w:tab/>
        <w:tab/>
        <w:tab/>
        <w:tab/>
        <w:tab/>
        <w:tab/>
        <w:t xml:space="preserve"> EUR                            0,00</w:t>
      </w:r>
    </w:p>
    <w:p>
      <w:pPr>
        <w:pStyle w:val="Normal"/>
        <w:numPr>
          <w:ilvl w:val="0"/>
          <w:numId w:val="3"/>
        </w:numPr>
        <w:jc w:val="both"/>
        <w:rPr/>
      </w:pPr>
      <w:r>
        <w:rPr>
          <w:highlight w:val="yellow"/>
        </w:rPr>
        <w:t>poštovné, kolkové známky a overovanie:</w:t>
        <w:tab/>
        <w:t xml:space="preserve">             EUR                            </w:t>
      </w:r>
      <w:r>
        <w:rPr>
          <w:highlight w:val="yellow"/>
        </w:rPr>
        <w:t>22,55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>
          <w:highlight w:val="yellow"/>
        </w:rPr>
        <w:t>prenájom priestorov:</w:t>
        <w:tab/>
        <w:tab/>
        <w:tab/>
        <w:tab/>
        <w:t xml:space="preserve">             EUR                            0,00</w:t>
      </w:r>
    </w:p>
    <w:p>
      <w:pPr>
        <w:pStyle w:val="Normal"/>
        <w:numPr>
          <w:ilvl w:val="0"/>
          <w:numId w:val="3"/>
        </w:numPr>
        <w:jc w:val="both"/>
        <w:rPr/>
      </w:pPr>
      <w:r>
        <w:rPr>
          <w:highlight w:val="yellow"/>
        </w:rPr>
        <w:t>bankové a servisné poplatky:</w:t>
        <w:tab/>
        <w:tab/>
        <w:tab/>
        <w:t xml:space="preserve">   </w:t>
        <w:tab/>
        <w:t xml:space="preserve"> EUR                            </w:t>
      </w:r>
      <w:r>
        <w:rPr>
          <w:highlight w:val="yellow"/>
        </w:rPr>
        <w:t>96,50</w:t>
      </w:r>
    </w:p>
    <w:p>
      <w:pPr>
        <w:pStyle w:val="Normal"/>
        <w:numPr>
          <w:ilvl w:val="0"/>
          <w:numId w:val="3"/>
        </w:numPr>
        <w:jc w:val="both"/>
        <w:rPr>
          <w:highlight w:val="yellow"/>
        </w:rPr>
      </w:pPr>
      <w:r>
        <w:rPr>
          <w:highlight w:val="yellow"/>
        </w:rPr>
        <w:t>zrážková daň z úrokov:</w:t>
        <w:tab/>
        <w:tab/>
        <w:tab/>
        <w:tab/>
        <w:t xml:space="preserve"> EUR                             0,10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</w:r>
    </w:p>
    <w:p>
      <w:pPr>
        <w:pStyle w:val="Normal"/>
        <w:numPr>
          <w:ilvl w:val="0"/>
          <w:numId w:val="2"/>
        </w:numPr>
        <w:jc w:val="both"/>
        <w:rPr>
          <w:b/>
          <w:b/>
          <w:highlight w:val="yellow"/>
        </w:rPr>
      </w:pPr>
      <w:r>
        <w:rPr>
          <w:b/>
          <w:highlight w:val="yellow"/>
        </w:rPr>
        <w:t>Mzdové a sociálne náklady</w:t>
      </w:r>
    </w:p>
    <w:p>
      <w:pPr>
        <w:pStyle w:val="Normal"/>
        <w:numPr>
          <w:ilvl w:val="0"/>
          <w:numId w:val="3"/>
        </w:numPr>
        <w:jc w:val="both"/>
        <w:rPr/>
      </w:pPr>
      <w:r>
        <w:rPr>
          <w:highlight w:val="yellow"/>
        </w:rPr>
        <w:t xml:space="preserve">predpis miezd (dohody v zmysle Zákonníka práce): EUR            </w:t>
        <w:tab/>
        <w:t xml:space="preserve">         </w:t>
      </w:r>
    </w:p>
    <w:p>
      <w:pPr>
        <w:pStyle w:val="Normal"/>
        <w:numPr>
          <w:ilvl w:val="0"/>
          <w:numId w:val="3"/>
        </w:numPr>
        <w:jc w:val="both"/>
        <w:rPr/>
      </w:pPr>
      <w:r>
        <w:rPr>
          <w:highlight w:val="yellow"/>
        </w:rPr>
        <w:t>zákonné sociálne poistenie:</w:t>
        <w:tab/>
        <w:tab/>
        <w:tab/>
        <w:tab/>
        <w:t xml:space="preserve"> EUR                          </w:t>
      </w:r>
    </w:p>
    <w:p>
      <w:pPr>
        <w:pStyle w:val="Normal"/>
        <w:numPr>
          <w:ilvl w:val="0"/>
          <w:numId w:val="3"/>
        </w:numPr>
        <w:jc w:val="both"/>
        <w:rPr/>
      </w:pPr>
      <w:r>
        <w:rPr>
          <w:highlight w:val="yellow"/>
        </w:rPr>
        <w:t>daň zo závislej činnosti:</w:t>
        <w:tab/>
        <w:tab/>
        <w:tab/>
        <w:tab/>
        <w:t xml:space="preserve"> EUR</w:t>
        <w:tab/>
        <w:tab/>
        <w:t xml:space="preserve">          </w:t>
        <w:tab/>
        <w:tab/>
        <w:tab/>
        <w:tab/>
      </w:r>
    </w:p>
    <w:p>
      <w:pPr>
        <w:pStyle w:val="Normal"/>
        <w:jc w:val="both"/>
        <w:rPr>
          <w:b/>
          <w:b/>
          <w:highlight w:val="yellow"/>
        </w:rPr>
      </w:pPr>
      <w:r>
        <w:rPr>
          <w:b/>
          <w:highlight w:val="yellow"/>
        </w:rPr>
      </w:r>
    </w:p>
    <w:p>
      <w:pPr>
        <w:pStyle w:val="Normal"/>
        <w:jc w:val="center"/>
        <w:rPr/>
      </w:pPr>
      <w:r>
        <w:rPr>
          <w:b/>
          <w:highlight w:val="yellow"/>
        </w:rPr>
        <w:t xml:space="preserve"> </w:t>
      </w:r>
      <w:r>
        <w:rPr>
          <w:b/>
          <w:highlight w:val="yellow"/>
        </w:rPr>
        <w:t>Stav a pohyb majetku a záväzkov neziskovej organizácie</w:t>
      </w:r>
    </w:p>
    <w:p>
      <w:pPr>
        <w:pStyle w:val="Normal"/>
        <w:jc w:val="both"/>
        <w:rPr/>
      </w:pPr>
      <w:r>
        <w:rPr>
          <w:b/>
          <w:highlight w:val="yellow"/>
        </w:rPr>
        <w:t>Inventarizovaný majetok, záväzky a vlastné imanie k 31.12.201</w:t>
      </w:r>
      <w:r>
        <w:rPr>
          <w:b/>
          <w:highlight w:val="yellow"/>
        </w:rPr>
        <w:t>8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</w:r>
    </w:p>
    <w:p>
      <w:pPr>
        <w:pStyle w:val="Normal"/>
        <w:jc w:val="both"/>
        <w:rPr/>
      </w:pPr>
      <w:r>
        <w:rPr>
          <w:highlight w:val="yellow"/>
        </w:rPr>
        <w:t>Pokladnica:</w:t>
        <w:tab/>
        <w:tab/>
        <w:t xml:space="preserve">   EUR                                             2</w:t>
      </w:r>
      <w:r>
        <w:rPr>
          <w:highlight w:val="yellow"/>
        </w:rPr>
        <w:t>15,43</w:t>
      </w:r>
    </w:p>
    <w:p>
      <w:pPr>
        <w:pStyle w:val="Normal"/>
        <w:jc w:val="both"/>
        <w:rPr/>
      </w:pPr>
      <w:r>
        <w:rPr>
          <w:highlight w:val="yellow"/>
        </w:rPr>
        <w:t>Bankové účty:</w:t>
        <w:tab/>
        <w:tab/>
        <w:t xml:space="preserve">   EUR                                             </w:t>
      </w:r>
      <w:r>
        <w:rPr>
          <w:highlight w:val="yellow"/>
        </w:rPr>
        <w:t>20030,80</w:t>
      </w:r>
    </w:p>
    <w:p>
      <w:pPr>
        <w:pStyle w:val="Normal"/>
        <w:jc w:val="both"/>
        <w:rPr/>
      </w:pPr>
      <w:r>
        <w:rPr>
          <w:highlight w:val="yellow"/>
        </w:rPr>
        <w:t>Dodávatelia:</w:t>
        <w:tab/>
        <w:tab/>
        <w:t xml:space="preserve">   EUR                                                 </w:t>
      </w:r>
      <w:r>
        <w:rPr>
          <w:highlight w:val="yellow"/>
        </w:rPr>
        <w:t>72</w:t>
      </w:r>
    </w:p>
    <w:p>
      <w:pPr>
        <w:pStyle w:val="Normal"/>
        <w:jc w:val="both"/>
        <w:rPr/>
      </w:pPr>
      <w:r>
        <w:rPr>
          <w:highlight w:val="yellow"/>
        </w:rPr>
        <w:t>Ostatné záväzky:</w:t>
        <w:tab/>
        <w:t xml:space="preserve">   EUR                                               </w:t>
      </w:r>
    </w:p>
    <w:p>
      <w:pPr>
        <w:pStyle w:val="Normal"/>
        <w:jc w:val="both"/>
        <w:rPr>
          <w:highlight w:val="yellow"/>
        </w:rPr>
      </w:pPr>
      <w:r>
        <w:rPr>
          <w:highlight w:val="yellow"/>
        </w:rPr>
        <w:t>Základné imanie:</w:t>
        <w:tab/>
        <w:t xml:space="preserve">   EUR                                                  66,39</w:t>
      </w:r>
    </w:p>
    <w:p>
      <w:pPr>
        <w:pStyle w:val="Normal"/>
        <w:jc w:val="both"/>
        <w:rPr/>
      </w:pPr>
      <w:r>
        <w:rPr>
          <w:highlight w:val="yellow"/>
        </w:rPr>
        <w:t>Odberatelia:</w:t>
        <w:tab/>
        <w:tab/>
        <w:t xml:space="preserve">   EUR                                               </w:t>
      </w:r>
    </w:p>
    <w:p>
      <w:pPr>
        <w:pStyle w:val="Normal"/>
        <w:jc w:val="both"/>
        <w:rPr/>
      </w:pPr>
      <w:r>
        <w:rPr>
          <w:highlight w:val="yellow"/>
        </w:rPr>
        <w:t>Nerozdelený zisk m.r.:  EUR                                                    0,00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Majetok neziskovej organizácie tvoria len peňažné prostriedky v pokladni a na bankovom účte organizácie. </w:t>
      </w:r>
      <w:r>
        <w:rPr>
          <w:b/>
        </w:rPr>
        <w:t xml:space="preserve"> </w:t>
      </w:r>
    </w:p>
    <w:p>
      <w:pPr>
        <w:pStyle w:val="Normal"/>
        <w:jc w:val="both"/>
        <w:rPr/>
      </w:pPr>
      <w:r>
        <w:rPr/>
        <w:t>Nezisková organizácie vedie účtovníctvo podľa zákona č. 431/2002 Z.z. o účtovníctve v znení neskorších predpisov. Ročná účtovná závierka a daňové priznanie boli spracované dodávateľským spôsobom.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>
          <w:b/>
          <w:b/>
        </w:rPr>
      </w:pPr>
      <w:r>
        <w:rPr>
          <w:b/>
        </w:rPr>
        <w:t>Záver</w:t>
      </w:r>
    </w:p>
    <w:p>
      <w:pPr>
        <w:pStyle w:val="Normal"/>
        <w:jc w:val="both"/>
        <w:rPr>
          <w:b/>
          <w:b/>
        </w:rPr>
      </w:pPr>
      <w:r>
        <w:rPr>
          <w:b/>
        </w:rPr>
      </w:r>
    </w:p>
    <w:p>
      <w:pPr>
        <w:pStyle w:val="Normal"/>
        <w:jc w:val="both"/>
        <w:rPr/>
      </w:pPr>
      <w:r>
        <w:rPr/>
        <w:t xml:space="preserve">Výročná správa neziskovej organizácie ALLEA, n.o za rok 2018 bude zverejnená po schválení správnou radou vo verejnej časti registra účtovných závierok najneskôr do 15.7.2019.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bookmarkStart w:id="0" w:name="_GoBack"/>
      <w:bookmarkEnd w:id="0"/>
      <w:r>
        <w:rPr/>
        <w:t>Spracovala: Ing. Beáta Topoľská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raditional Arabic"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ja-JP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76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uiPriority="0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50ccb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sk-SK" w:val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ovodkaz">
    <w:name w:val="Internetový odkaz"/>
    <w:basedOn w:val="DefaultParagraphFont"/>
    <w:uiPriority w:val="99"/>
    <w:unhideWhenUsed/>
    <w:rsid w:val="00d26def"/>
    <w:rPr>
      <w:color w:val="0000FF" w:themeColor="hyperlink"/>
      <w:u w:val="single"/>
    </w:rPr>
  </w:style>
  <w:style w:type="character" w:styleId="ListLabel1">
    <w:name w:val="ListLabel 1"/>
    <w:qFormat/>
    <w:rPr>
      <w:rFonts w:eastAsia="Times New Roman" w:cs="Times New Roman"/>
    </w:rPr>
  </w:style>
  <w:style w:type="character" w:styleId="ListLabel2">
    <w:name w:val="ListLabel 2"/>
    <w:qFormat/>
    <w:rPr>
      <w:rFonts w:eastAsia="Times New Roman" w:cs="Times New Roman"/>
    </w:rPr>
  </w:style>
  <w:style w:type="character" w:styleId="ListLabel3">
    <w:name w:val="ListLabel 3"/>
    <w:qFormat/>
    <w:rPr>
      <w:rFonts w:eastAsia="Times New Roman" w:cs="Times New Roman"/>
    </w:rPr>
  </w:style>
  <w:style w:type="character" w:styleId="ListLabel4">
    <w:name w:val="ListLabel 4"/>
    <w:qFormat/>
    <w:rPr>
      <w:rFonts w:eastAsia="Times New Roman" w:cs="Times New Roman"/>
    </w:rPr>
  </w:style>
  <w:style w:type="character" w:styleId="ListLabel5">
    <w:name w:val="ListLabel 5"/>
    <w:qFormat/>
    <w:rPr>
      <w:rFonts w:cs="Courier New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Courier New"/>
    </w:rPr>
  </w:style>
  <w:style w:type="character" w:styleId="ListLabel8">
    <w:name w:val="ListLabel 8"/>
    <w:qFormat/>
    <w:rPr>
      <w:rFonts w:eastAsia="Times New Roman" w:cs="Times New Roman"/>
      <w:b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Courier New"/>
    </w:rPr>
  </w:style>
  <w:style w:type="character" w:styleId="ListLabel11">
    <w:name w:val="ListLabel 11"/>
    <w:qFormat/>
    <w:rPr>
      <w:rFonts w:cs="Courier New"/>
    </w:rPr>
  </w:style>
  <w:style w:type="character" w:styleId="ListLabel12">
    <w:name w:val="ListLabel 12"/>
    <w:qFormat/>
    <w:rPr>
      <w:color w:val="auto"/>
      <w:sz w:val="28"/>
      <w:szCs w:val="28"/>
      <w:u w:val="none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semiHidden/>
    <w:unhideWhenUsed/>
    <w:qFormat/>
    <w:rsid w:val="00250ccb"/>
    <w:pPr>
      <w:spacing w:beforeAutospacing="1" w:afterAutospacing="1"/>
    </w:pPr>
    <w:rPr/>
  </w:style>
  <w:style w:type="paragraph" w:styleId="ListParagraph">
    <w:name w:val="List Paragraph"/>
    <w:basedOn w:val="Normal"/>
    <w:uiPriority w:val="34"/>
    <w:qFormat/>
    <w:rsid w:val="00250ccb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alleanosk@gmail.com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Application>LibreOffice/6.0.7.3$Windows_X86_64 LibreOffice_project/dc89aa7a9eabfd848af146d5086077aeed2ae4a5</Application>
  <Pages>5</Pages>
  <Words>945</Words>
  <Characters>6115</Characters>
  <CharactersWithSpaces>7706</CharactersWithSpaces>
  <Paragraphs>99</Paragraphs>
  <Company>PU Prešov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2017-06-17T14:06:00Z</dcterms:created>
  <dc:creator>strakova</dc:creator>
  <dc:description/>
  <dc:language>sk-SK</dc:language>
  <cp:lastModifiedBy/>
  <dcterms:modified xsi:type="dcterms:W3CDTF">2019-06-29T13:18:15Z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PU Prešov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