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4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62"/>
        <w:gridCol w:w="307"/>
        <w:gridCol w:w="513"/>
        <w:gridCol w:w="308"/>
        <w:gridCol w:w="292"/>
        <w:gridCol w:w="293"/>
        <w:gridCol w:w="293"/>
        <w:gridCol w:w="293"/>
        <w:gridCol w:w="293"/>
        <w:gridCol w:w="292"/>
        <w:gridCol w:w="293"/>
        <w:gridCol w:w="293"/>
        <w:gridCol w:w="307"/>
        <w:gridCol w:w="504"/>
        <w:gridCol w:w="307"/>
        <w:gridCol w:w="293"/>
        <w:gridCol w:w="293"/>
        <w:gridCol w:w="293"/>
        <w:gridCol w:w="293"/>
        <w:gridCol w:w="292"/>
        <w:gridCol w:w="293"/>
        <w:gridCol w:w="293"/>
        <w:gridCol w:w="293"/>
        <w:gridCol w:w="293"/>
        <w:gridCol w:w="292"/>
      </w:tblGrid>
      <w:tr w:rsidR="00A47E2E" w:rsidTr="00A47E2E">
        <w:trPr>
          <w:trHeight w:val="298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Múj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3-01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F757B6" w:rsidP="00F75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</w:tr>
    </w:tbl>
    <w:p w:rsidR="00F225A1" w:rsidRDefault="00F225A1"/>
    <w:p w:rsidR="00A47E2E" w:rsidRDefault="00A47E2E" w:rsidP="00A47E2E">
      <w:pPr>
        <w:pStyle w:val="Default"/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Čl. 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A47E2E" w:rsidRDefault="00F757B6" w:rsidP="00A47E2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Randa</w:t>
      </w:r>
      <w:r w:rsidR="00A47E2E">
        <w:rPr>
          <w:b/>
          <w:bCs/>
          <w:sz w:val="23"/>
          <w:szCs w:val="23"/>
        </w:rPr>
        <w:t xml:space="preserve">  s. r. o. , Rozkvet 2051/105</w:t>
      </w:r>
      <w:r>
        <w:rPr>
          <w:b/>
          <w:bCs/>
          <w:sz w:val="23"/>
          <w:szCs w:val="23"/>
        </w:rPr>
        <w:t>-23</w:t>
      </w:r>
      <w:r w:rsidR="00A47E2E">
        <w:rPr>
          <w:b/>
          <w:bCs/>
          <w:sz w:val="23"/>
          <w:szCs w:val="23"/>
        </w:rPr>
        <w:t>, 017 01 Považská Bystrica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Priemerný p</w:t>
      </w:r>
      <w:r w:rsidR="00F757B6">
        <w:rPr>
          <w:sz w:val="23"/>
          <w:szCs w:val="23"/>
        </w:rPr>
        <w:t>repočítaný počet zamestnancov 0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- účtovná závierka zostavená - účtovná jednotka bude nepretržite pokračovať vo svojej činnosti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v cudzej mene sa prepočítajú referenčným kurzom na EUR určeným ECB deň predchádzajúci dňu účtovného prípadu.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Zostatky záväzkov v cudzej mene sa na konci účtovného obdobia prepočítajú kurzom k 31.12.201</w:t>
      </w:r>
      <w:r w:rsidR="00310542">
        <w:rPr>
          <w:sz w:val="23"/>
          <w:szCs w:val="23"/>
        </w:rPr>
        <w:t>8</w:t>
      </w:r>
      <w:r>
        <w:rPr>
          <w:sz w:val="23"/>
          <w:szCs w:val="23"/>
        </w:rPr>
        <w:t xml:space="preserve"> určeným ECB. </w:t>
      </w:r>
    </w:p>
    <w:p w:rsidR="00310542" w:rsidRDefault="00310542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odpisy sa rovnajú daňovým odpisom. </w:t>
      </w:r>
    </w:p>
    <w:p w:rsidR="00C47577" w:rsidRDefault="00C47577" w:rsidP="000B6C17">
      <w:pPr>
        <w:pStyle w:val="Default"/>
        <w:rPr>
          <w:sz w:val="23"/>
          <w:szCs w:val="23"/>
        </w:rPr>
      </w:pPr>
      <w:bookmarkStart w:id="0" w:name="_GoBack"/>
      <w:bookmarkEnd w:id="0"/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pageBreakBefore/>
      </w:pPr>
    </w:p>
    <w:sectPr w:rsidR="00A47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E62B64"/>
    <w:multiLevelType w:val="hybridMultilevel"/>
    <w:tmpl w:val="ADDEC2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E2E"/>
    <w:rsid w:val="000B6C17"/>
    <w:rsid w:val="001B230E"/>
    <w:rsid w:val="00310542"/>
    <w:rsid w:val="00A47E2E"/>
    <w:rsid w:val="00BB60D3"/>
    <w:rsid w:val="00C47577"/>
    <w:rsid w:val="00C502C6"/>
    <w:rsid w:val="00F225A1"/>
    <w:rsid w:val="00F757B6"/>
    <w:rsid w:val="00F95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026AB3-1A12-48E2-944F-C52423AE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7E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Renáta Hájková</cp:lastModifiedBy>
  <cp:revision>2</cp:revision>
  <dcterms:created xsi:type="dcterms:W3CDTF">2019-06-29T15:54:00Z</dcterms:created>
  <dcterms:modified xsi:type="dcterms:W3CDTF">2019-06-29T15:54:00Z</dcterms:modified>
</cp:coreProperties>
</file>